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8.png" ContentType="image/png"/>
  <Override PartName="/word/media/rId44.png" ContentType="image/png"/>
  <Override PartName="/word/media/rId40.png" ContentType="image/png"/>
  <Override PartName="/word/media/rId5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Enforcement</w:t>
      </w:r>
      <w:r>
        <w:t xml:space="preserve"> </w:t>
      </w:r>
      <w:r>
        <w:t xml:space="preserve">Activity</w:t>
      </w:r>
      <w:r>
        <w:t xml:space="preserve"> </w:t>
      </w:r>
      <w:r>
        <w:t xml:space="preserve">in</w:t>
      </w:r>
      <w:r>
        <w:t xml:space="preserve"> </w:t>
      </w:r>
      <w:r>
        <w:t xml:space="preserve">San</w:t>
      </w:r>
      <w:r>
        <w:t xml:space="preserve"> </w:t>
      </w:r>
      <w:r>
        <w:t xml:space="preserve">Francisco,</w:t>
      </w:r>
      <w:r>
        <w:t xml:space="preserve"> </w:t>
      </w:r>
      <w:r>
        <w:t xml:space="preserve">2018-2024</w:t>
      </w:r>
    </w:p>
    <w:p>
      <w:pPr>
        <w:pStyle w:val="Author"/>
      </w:pPr>
      <w:r>
        <w:t xml:space="preserve">Peter</w:t>
      </w:r>
      <w:r>
        <w:t xml:space="preserve"> </w:t>
      </w:r>
      <w:r>
        <w:t xml:space="preserve">Amerkhanian</w:t>
      </w:r>
    </w:p>
    <w:p>
      <w:pPr>
        <w:pStyle w:val="Date"/>
      </w:pPr>
      <w:r>
        <w:t xml:space="preserve">2024-02-17</w:t>
      </w:r>
    </w:p>
    <w:p>
      <w:pPr>
        <w:pStyle w:val="AbstractTitle"/>
      </w:pPr>
      <w:r>
        <w:t xml:space="preserve">Abstract</w:t>
      </w:r>
    </w:p>
    <w:p>
      <w:pPr>
        <w:pStyle w:val="FirstParagraph"/>
      </w:pPr>
      <w:r>
        <w:t xml:space="preserve">In this memo I analyze trends in law enforcement actions – police incident reports that result in arrest or citation – in San Francisco before, during, and after the COVID-19 Pandemic (2018-2024). Enforcement actions decreased before the pandemic, sharply dropped at the outset of the pandemic, and have been consistently low in the post-pandemic.</w:t>
      </w:r>
    </w:p>
    <w:p>
      <w:pPr>
        <w:pStyle w:val="BodyText"/>
      </w:pPr>
      <w:r>
        <w:t xml:space="preserve">Enforcement levels for almost every specific class of crime decreased during the analysis period, except for law enforcement actions related to drug sale, which substantially increased. The vast majority of those increased drug sale enforcement actions took place in the Tenderloin. Indeed, the Tenderloin was an exception to the trend of decreasing enforcement levels in San Francisco – law enforcement actions in the district increased in the post-pandemic, with drug sale enforcement actions driving the increase.</w:t>
      </w:r>
    </w:p>
    <w:p>
      <w:pPr>
        <w:pStyle w:val="BodyText"/>
      </w:pPr>
      <w:r>
        <w:t xml:space="preserve">An important caveat of this analysis is that it examines enforcement actions, a combination of arrests and citations, not</w:t>
      </w:r>
      <w:r>
        <w:t xml:space="preserve"> </w:t>
      </w:r>
      <w:r>
        <w:rPr>
          <w:i/>
          <w:iCs/>
        </w:rPr>
        <w:t xml:space="preserve">crime.</w:t>
      </w:r>
      <w:r>
        <w:t xml:space="preserve"> </w:t>
      </w:r>
      <w:r>
        <w:t xml:space="preserve">Of all crime events, arrests and citations only include those events that are reported to law enforcement and go on to produce an arrest or citation. These trends do not necessarily point to equal trends in crime, rather they point to trends in how the City and Police Department are prioritizing law enforcement resources, specifically policing. Thus I conclude that in the post-pandemic, the City shifted policing resources towards the Tenderloin and prioritized making arrests and issuing citations for drug sale crime.</w:t>
      </w:r>
    </w:p>
    <w:bookmarkStart w:id="29" w:name="Xb82c151f821593e21b36c97ef6d010d06516914"/>
    <w:p>
      <w:pPr>
        <w:pStyle w:val="Heading2"/>
      </w:pPr>
      <w:r>
        <w:t xml:space="preserve">Geographic concentration in the Tenderloin</w:t>
      </w:r>
    </w:p>
    <w:p>
      <w:pPr>
        <w:pStyle w:val="FirstParagraph"/>
      </w:pPr>
      <w:hyperlink w:anchor="fig-tenderloin">
        <w:r>
          <w:rPr>
            <w:rStyle w:val="Hyperlink"/>
          </w:rPr>
          <w:t xml:space="preserve">Figure 1</w:t>
        </w:r>
      </w:hyperlink>
      <w:r>
        <w:t xml:space="preserve"> </w:t>
      </w:r>
      <w:r>
        <w:t xml:space="preserve">shows that law enforcement actions were geographically concentrated in the Tenderloin district over the six-year analysis period. The left-hand panel depicts the general concentration of enforcement actions in downtown police districts – Northern, Central, Southern, the Tenderloin, and the Mission. However, viewing the geographic trends by district obscures more specific patterns illustrated at a block-level in the right panel. Law enforcement actions along the Northern, Central, and Southern districts’ borders with the Tenderloin accounted for the high numbers in those districts.</w:t>
      </w:r>
    </w:p>
    <w:tbl>
      <w:tblPr>
        <w:tblStyle w:val="Table"/>
        <w:tblW w:type="pct" w:w="5000"/>
        <w:tblLayout w:type="fixed"/>
        <w:tblLook w:firstRow="0" w:lastRow="0" w:firstColumn="0" w:lastColumn="0" w:noHBand="0" w:noVBand="0" w:val="0000"/>
      </w:tblPr>
      <w:tblGrid>
        <w:gridCol w:w="7920"/>
      </w:tblGrid>
      <w:tr>
        <w:tc>
          <w:tcPr/>
          <w:bookmarkStart w:id="23" w:name="fig-tenderloin"/>
          <w:p>
            <w:pPr>
              <w:pStyle w:val="Compact"/>
              <w:jc w:val="center"/>
            </w:pPr>
            <w:r>
              <w:drawing>
                <wp:inline>
                  <wp:extent cx="5334000" cy="2908017"/>
                  <wp:effectExtent b="0" l="0" r="0" t="0"/>
                  <wp:docPr descr="" title="" id="21" name="Picture"/>
                  <a:graphic>
                    <a:graphicData uri="http://schemas.openxmlformats.org/drawingml/2006/picture">
                      <pic:pic>
                        <pic:nvPicPr>
                          <pic:cNvPr descr="index_files/figure-docx/fig-tenderloin-output-1.png" id="22" name="Picture"/>
                          <pic:cNvPicPr>
                            <a:picLocks noChangeArrowheads="1" noChangeAspect="1"/>
                          </pic:cNvPicPr>
                        </pic:nvPicPr>
                        <pic:blipFill>
                          <a:blip r:embed="rId20"/>
                          <a:stretch>
                            <a:fillRect/>
                          </a:stretch>
                        </pic:blipFill>
                        <pic:spPr bwMode="auto">
                          <a:xfrm>
                            <a:off x="0" y="0"/>
                            <a:ext cx="5334000" cy="29080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Geographic Trends in Law Enforcement Actions (2018-2024), by Police District (Left) and by Block Segment (Right)</w:t>
            </w:r>
          </w:p>
          <w:bookmarkEnd w:id="23"/>
        </w:tc>
      </w:tr>
    </w:tbl>
    <w:p>
      <w:pPr>
        <w:pStyle w:val="BodyText"/>
      </w:pPr>
      <w:r>
        <w:t xml:space="preserve">At the block level, we can specifically classify</w:t>
      </w:r>
      <w:r>
        <w:t xml:space="preserve"> </w:t>
      </w:r>
      <w:r>
        <w:rPr>
          <w:b/>
          <w:bCs/>
        </w:rPr>
        <w:t xml:space="preserve">“</w:t>
      </w:r>
      <w:r>
        <w:rPr>
          <w:b/>
          <w:bCs/>
        </w:rPr>
        <w:t xml:space="preserve">the greater Tenderloin,</w:t>
      </w:r>
      <w:r>
        <w:rPr>
          <w:b/>
          <w:bCs/>
        </w:rPr>
        <w:t xml:space="preserve">”</w:t>
      </w:r>
      <w:r>
        <w:t xml:space="preserve"> </w:t>
      </w:r>
      <w:r>
        <w:t xml:space="preserve">the area inside of the Tenderloin plus the corners along its border streets,</w:t>
      </w:r>
      <w:r>
        <w:rPr>
          <w:rStyle w:val="FootnoteReference"/>
        </w:rPr>
        <w:footnoteReference w:id="24"/>
      </w:r>
      <w:r>
        <w:t xml:space="preserve"> </w:t>
      </w:r>
      <w:r>
        <w:t xml:space="preserve">as having particularly high law enforcement activity. The greater Tenderloin represents 1.01% of the square miles of San Francisco, but made up 27% of the total law enforcement actions in the City during the analysis period. Of the top ten street corners in San Francisco ranked by total enforcement actions 2018-2024, shown in</w:t>
      </w:r>
      <w:r>
        <w:t xml:space="preserve"> </w:t>
      </w:r>
      <w:hyperlink w:anchor="fig-2">
        <w:r>
          <w:rPr>
            <w:rStyle w:val="Hyperlink"/>
          </w:rPr>
          <w:t xml:space="preserve">Figure 2</w:t>
        </w:r>
      </w:hyperlink>
      <w:r>
        <w:t xml:space="preserve">, almost all of them were in the greater Tenderloin.</w:t>
      </w:r>
    </w:p>
    <w:tbl>
      <w:tblPr>
        <w:tblStyle w:val="Table"/>
        <w:tblW w:type="pct" w:w="5000"/>
        <w:tblLayout w:type="fixed"/>
        <w:tblLook w:firstRow="0" w:lastRow="0" w:firstColumn="0" w:lastColumn="0" w:noHBand="0" w:noVBand="0" w:val="0000"/>
      </w:tblPr>
      <w:tblGrid>
        <w:gridCol w:w="7920"/>
      </w:tblGrid>
      <w:tr>
        <w:tc>
          <w:tcPr/>
          <w:bookmarkStart w:id="28" w:name="fig-2"/>
          <w:p>
            <w:pPr>
              <w:pStyle w:val="Compact"/>
              <w:jc w:val="center"/>
            </w:pPr>
            <w:r>
              <w:drawing>
                <wp:inline>
                  <wp:extent cx="5334000" cy="2023487"/>
                  <wp:effectExtent b="0" l="0" r="0" t="0"/>
                  <wp:docPr descr="" title="" id="26" name="Picture"/>
                  <a:graphic>
                    <a:graphicData uri="http://schemas.openxmlformats.org/drawingml/2006/picture">
                      <pic:pic>
                        <pic:nvPicPr>
                          <pic:cNvPr descr="index_files/figure-docx/fig-2-output-1.png" id="27" name="Picture"/>
                          <pic:cNvPicPr>
                            <a:picLocks noChangeArrowheads="1" noChangeAspect="1"/>
                          </pic:cNvPicPr>
                        </pic:nvPicPr>
                        <pic:blipFill>
                          <a:blip r:embed="rId25"/>
                          <a:stretch>
                            <a:fillRect/>
                          </a:stretch>
                        </pic:blipFill>
                        <pic:spPr bwMode="auto">
                          <a:xfrm>
                            <a:off x="0" y="0"/>
                            <a:ext cx="5334000" cy="20234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 Corners with the Highest Law Enforcement Activity (2018-2024)</w:t>
            </w:r>
          </w:p>
          <w:bookmarkEnd w:id="28"/>
        </w:tc>
      </w:tr>
    </w:tbl>
    <w:bookmarkEnd w:id="29"/>
    <w:bookmarkStart w:id="52" w:name="changes-in-post-pandemic-arrest-patterns"/>
    <w:p>
      <w:pPr>
        <w:pStyle w:val="Heading2"/>
      </w:pPr>
      <w:r>
        <w:t xml:space="preserve">Changes in post-pandemic arrest patterns</w:t>
      </w:r>
    </w:p>
    <w:p>
      <w:pPr>
        <w:pStyle w:val="FirstParagraph"/>
      </w:pPr>
      <w:r>
        <w:t xml:space="preserve">The onset of the pandemic and the accompanying city-wide shelter-in-place order were associated with a large drop in law enforcement activity at the city level. Between February and April 2020 – the immediate outset of the pandemic – monthly enforcement actions decreased by 43% (-441 arrests/citations) in San Francisco. This trend aligns with prior study of the pandemic’s effects on crime and policing. In a national analysis that included San Francisco and 11 other major cities,</w:t>
      </w:r>
      <w:r>
        <w:t xml:space="preserve"> </w:t>
      </w:r>
      <w:r>
        <w:t xml:space="preserve">Abrams (2021)</w:t>
      </w:r>
      <w:r>
        <w:t xml:space="preserve"> </w:t>
      </w:r>
      <w:r>
        <w:t xml:space="preserve">found that shelter-in-place orders and the pandemic itself caused substantial and immediate reductions in many types of criminal behavior and their accompanying arrest activity.</w:t>
      </w:r>
    </w:p>
    <w:tbl>
      <w:tblPr>
        <w:tblStyle w:val="Table"/>
        <w:tblW w:type="pct" w:w="5000"/>
        <w:tblLayout w:type="fixed"/>
        <w:tblLook w:firstRow="0" w:lastRow="0" w:firstColumn="0" w:lastColumn="0" w:noHBand="0" w:noVBand="0" w:val="0000"/>
      </w:tblPr>
      <w:tblGrid>
        <w:gridCol w:w="7920"/>
      </w:tblGrid>
      <w:tr>
        <w:tc>
          <w:tcPr/>
          <w:bookmarkStart w:id="33" w:name="fig-3"/>
          <w:p>
            <w:pPr>
              <w:pStyle w:val="Compact"/>
              <w:jc w:val="center"/>
            </w:pPr>
            <w:r>
              <w:drawing>
                <wp:inline>
                  <wp:extent cx="5334000" cy="2143054"/>
                  <wp:effectExtent b="0" l="0" r="0" t="0"/>
                  <wp:docPr descr="" title="" id="31" name="Picture"/>
                  <a:graphic>
                    <a:graphicData uri="http://schemas.openxmlformats.org/drawingml/2006/picture">
                      <pic:pic>
                        <pic:nvPicPr>
                          <pic:cNvPr descr="index_files/figure-docx/fig-3-output-1.png" id="32" name="Picture"/>
                          <pic:cNvPicPr>
                            <a:picLocks noChangeArrowheads="1" noChangeAspect="1"/>
                          </pic:cNvPicPr>
                        </pic:nvPicPr>
                        <pic:blipFill>
                          <a:blip r:embed="rId30"/>
                          <a:stretch>
                            <a:fillRect/>
                          </a:stretch>
                        </pic:blipFill>
                        <pic:spPr bwMode="auto">
                          <a:xfrm>
                            <a:off x="0" y="0"/>
                            <a:ext cx="5334000" cy="21430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Arrest Totals, City-wide, 2018-2024</w:t>
            </w:r>
          </w:p>
          <w:bookmarkEnd w:id="33"/>
        </w:tc>
      </w:tr>
    </w:tbl>
    <w:p>
      <w:pPr>
        <w:pStyle w:val="BodyText"/>
      </w:pPr>
      <w:r>
        <w:t xml:space="preserve">That short-term drop in law enforcement activity in 2020 can be tied to the immediate disruptions of the Pandemic. However, it is not clear why activity remained depressed for years after the onset of the pandemic.</w:t>
      </w:r>
      <w:r>
        <w:t xml:space="preserve"> </w:t>
      </w:r>
      <w:hyperlink w:anchor="tbl-post">
        <w:r>
          <w:rPr>
            <w:rStyle w:val="Hyperlink"/>
          </w:rPr>
          <w:t xml:space="preserve">Table 1</w:t>
        </w:r>
      </w:hyperlink>
      <w:r>
        <w:t xml:space="preserve"> </w:t>
      </w:r>
      <w:r>
        <w:t xml:space="preserve">defines two distinct, two-year periods:</w:t>
      </w:r>
    </w:p>
    <w:p>
      <w:pPr>
        <w:pStyle w:val="Compact"/>
        <w:numPr>
          <w:ilvl w:val="0"/>
          <w:numId w:val="1001"/>
        </w:numPr>
      </w:pPr>
      <w:r>
        <w:t xml:space="preserve">the</w:t>
      </w:r>
      <w:r>
        <w:t xml:space="preserve"> </w:t>
      </w:r>
      <w:r>
        <w:t xml:space="preserve">“</w:t>
      </w:r>
      <w:r>
        <w:t xml:space="preserve">pre-pandemic,</w:t>
      </w:r>
      <w:r>
        <w:t xml:space="preserve">”</w:t>
      </w:r>
      <w:r>
        <w:t xml:space="preserve"> </w:t>
      </w:r>
      <w:r>
        <w:t xml:space="preserve">1/1/2018-1/1/2020,</w:t>
      </w:r>
      <w:r>
        <w:rPr>
          <w:rStyle w:val="FootnoteReference"/>
        </w:rPr>
        <w:footnoteReference w:id="34"/>
      </w:r>
      <w:r>
        <w:t xml:space="preserve"> </w:t>
      </w:r>
      <w:r>
        <w:t xml:space="preserve">and</w:t>
      </w:r>
    </w:p>
    <w:p>
      <w:pPr>
        <w:pStyle w:val="Compact"/>
        <w:numPr>
          <w:ilvl w:val="0"/>
          <w:numId w:val="1001"/>
        </w:numPr>
      </w:pPr>
      <w:r>
        <w:t xml:space="preserve">the</w:t>
      </w:r>
      <w:r>
        <w:t xml:space="preserve"> </w:t>
      </w:r>
      <w:r>
        <w:t xml:space="preserve">“</w:t>
      </w:r>
      <w:r>
        <w:t xml:space="preserve">post-pandemic,</w:t>
      </w:r>
      <w:r>
        <w:t xml:space="preserve">”</w:t>
      </w:r>
      <w:r>
        <w:t xml:space="preserve"> </w:t>
      </w:r>
      <w:r>
        <w:t xml:space="preserve">1/1/2022-1/1/2024</w:t>
      </w:r>
    </w:p>
    <w:p>
      <w:pPr>
        <w:pStyle w:val="FirstParagraph"/>
      </w:pPr>
      <w:r>
        <w:t xml:space="preserve">The table shows that average weekly enforcement actions in the post-pandemic period were still down -36% from the pre-pandemic.</w:t>
      </w:r>
    </w:p>
    <w:tbl>
      <w:tblPr>
        <w:tblStyle w:val="Table"/>
        <w:tblW w:type="pct" w:w="5000"/>
        <w:tblLayout w:type="fixed"/>
        <w:tblLook w:firstRow="0" w:lastRow="0" w:firstColumn="0" w:lastColumn="0" w:noHBand="0" w:noVBand="0" w:val="0000"/>
      </w:tblPr>
      <w:tblGrid>
        <w:gridCol w:w="7920"/>
      </w:tblGrid>
      <w:tr>
        <w:tc>
          <w:tcPr/>
          <w:bookmarkStart w:id="37" w:name="tbl-post"/>
          <w:p>
            <w:pPr>
              <w:jc w:val="center"/>
            </w:pPr>
            <w:pPr>
              <w:jc w:val="start"/>
              <w:spacing w:before="200"/>
              <w:pStyle w:val="ImageCaption"/>
            </w:pPr>
            <w:r>
              <w:t xml:space="preserve">Table 1: Weekly Arrest Totals in the pre/post pandemic</w:t>
            </w:r>
          </w:p>
          <w:bookmarkStart w:id="36" w:name="T_208e3"/>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Time Period</w:t>
                  </w:r>
                </w:p>
              </w:tc>
              <w:tc>
                <w:tcPr/>
                <w:p>
                  <w:pPr>
                    <w:pStyle w:val="Compact"/>
                    <w:jc w:val="left"/>
                    <w:jc w:val="center"/>
                  </w:pPr>
                  <w:r>
                    <w:t xml:space="preserve">Average Weekly Arrest/Citation Total</w:t>
                  </w:r>
                </w:p>
              </w:tc>
              <w:tc>
                <w:tcPr/>
                <w:p>
                  <w:pPr>
                    <w:pStyle w:val="Compact"/>
                    <w:jc w:val="left"/>
                    <w:jc w:val="center"/>
                  </w:pPr>
                  <w:r>
                    <w:t xml:space="preserve">Difference</w:t>
                  </w:r>
                </w:p>
              </w:tc>
              <w:tc>
                <w:tcPr/>
                <w:p>
                  <w:pPr>
                    <w:pStyle w:val="Compact"/>
                    <w:jc w:val="left"/>
                    <w:jc w:val="center"/>
                  </w:pPr>
                  <w:r>
                    <w:t xml:space="preserve">Percent</w:t>
                  </w:r>
                </w:p>
              </w:tc>
            </w:tr>
            <w:tr>
              <w:tc>
                <w:tcPr/>
                <w:p>
                  <w:pPr>
                    <w:pStyle w:val="Compact"/>
                    <w:jc w:val="left"/>
                    <w:jc w:val="center"/>
                  </w:pPr>
                  <w:r>
                    <w:t xml:space="preserve">Pre Pandemic (2018-20)</w:t>
                  </w:r>
                </w:p>
              </w:tc>
              <w:tc>
                <w:tcPr/>
                <w:p>
                  <w:pPr>
                    <w:pStyle w:val="Compact"/>
                    <w:jc w:val="left"/>
                    <w:jc w:val="center"/>
                  </w:pPr>
                  <w:r>
                    <w:t xml:space="preserve">269</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Post Pandemic (2022-24)</w:t>
                  </w:r>
                </w:p>
              </w:tc>
              <w:tc>
                <w:tcPr/>
                <w:p>
                  <w:pPr>
                    <w:pStyle w:val="Compact"/>
                    <w:jc w:val="left"/>
                    <w:jc w:val="center"/>
                  </w:pPr>
                  <w:r>
                    <w:t xml:space="preserve">171</w:t>
                  </w:r>
                </w:p>
              </w:tc>
              <w:tc>
                <w:tcPr/>
                <w:p>
                  <w:pPr>
                    <w:pStyle w:val="Compact"/>
                    <w:jc w:val="left"/>
                    <w:jc w:val="center"/>
                  </w:pPr>
                  <w:r>
                    <w:t xml:space="preserve">-98</w:t>
                  </w:r>
                </w:p>
              </w:tc>
              <w:tc>
                <w:tcPr/>
                <w:p>
                  <w:pPr>
                    <w:pStyle w:val="Compact"/>
                    <w:jc w:val="left"/>
                    <w:jc w:val="center"/>
                  </w:pPr>
                  <w:r>
                    <w:t xml:space="preserve">-36%</w:t>
                  </w:r>
                </w:p>
              </w:tc>
            </w:tr>
          </w:tbl>
          <w:bookmarkEnd w:id="36"/>
          <w:bookmarkEnd w:id="37"/>
          <w:p/>
        </w:tc>
      </w:tr>
    </w:tbl>
    <w:p>
      <w:pPr>
        <w:pStyle w:val="BodyText"/>
      </w:pPr>
      <w:r>
        <w:t xml:space="preserve">The general decrease in law enforcement activity in the post-pandemic was driven by a large decrease in enforcement actions for traffic violations, down -19.82 a week on average. Enforcement actions for larceny theft and some violent crimes – robbery and assault – also decreased.</w:t>
      </w:r>
    </w:p>
    <w:p>
      <w:pPr>
        <w:pStyle w:val="BodyText"/>
      </w:pPr>
      <w:r>
        <w:t xml:space="preserve">In the post-pandemic, homicide, burglary, weapons, and drug-use</w:t>
      </w:r>
      <w:r>
        <w:rPr>
          <w:rStyle w:val="FootnoteReference"/>
        </w:rPr>
        <w:footnoteReference w:id="38"/>
      </w:r>
      <w:r>
        <w:t xml:space="preserve"> </w:t>
      </w:r>
      <w:r>
        <w:t xml:space="preserve">enforcement actions all returned to or else never deviated from pre-pandemic levels. Their average weekly enforcement activity levels in the post-pandemic were not statistically distinguishable from the pre-pandemic.</w:t>
      </w:r>
    </w:p>
    <w:p>
      <w:pPr>
        <w:pStyle w:val="BodyText"/>
      </w:pPr>
      <w:r>
        <w:t xml:space="preserve">Sale of drugs was the only incident category where enforcement activity significantly</w:t>
      </w:r>
      <w:r>
        <w:t xml:space="preserve"> </w:t>
      </w:r>
      <w:r>
        <w:rPr>
          <w:b/>
          <w:bCs/>
        </w:rPr>
        <w:t xml:space="preserve">increased</w:t>
      </w:r>
      <w:r>
        <w:t xml:space="preserve"> </w:t>
      </w:r>
      <w:r>
        <w:t xml:space="preserve">in the post-pandemic. Enforcement actions tied to the sale of drugs</w:t>
      </w:r>
      <w:r>
        <w:rPr>
          <w:rStyle w:val="FootnoteReference"/>
        </w:rPr>
        <w:footnoteReference w:id="39"/>
      </w:r>
      <w:r>
        <w:t xml:space="preserve"> </w:t>
      </w:r>
      <w:r>
        <w:t xml:space="preserve">increased by 7.43 a week on average. It is notable that drug sale enforcement activity increased while drug-use enforcement activity seemingly did not.</w:t>
      </w:r>
      <w:r>
        <w:t xml:space="preserve"> </w:t>
      </w:r>
      <w:hyperlink w:anchor="fig-city-changes">
        <w:r>
          <w:rPr>
            <w:rStyle w:val="Hyperlink"/>
          </w:rPr>
          <w:t xml:space="preserve">Figure 4</w:t>
        </w:r>
      </w:hyperlink>
      <w:r>
        <w:t xml:space="preserve"> </w:t>
      </w:r>
      <w:r>
        <w:t xml:space="preserve">shows trends for each incident type, using a statistical approach detailed in the Methods Appendix</w:t>
      </w:r>
      <w:r>
        <w:t xml:space="preserve"> </w:t>
      </w:r>
      <w:hyperlink w:anchor="sec-appendix">
        <w:r>
          <w:rPr>
            <w:rStyle w:val="Hyperlink"/>
          </w:rPr>
          <w:t xml:space="preserve">Section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city-changes"/>
          <w:p>
            <w:pPr>
              <w:pStyle w:val="Compact"/>
              <w:jc w:val="center"/>
            </w:pPr>
            <w:r>
              <w:drawing>
                <wp:inline>
                  <wp:extent cx="5334000" cy="1804902"/>
                  <wp:effectExtent b="0" l="0" r="0" t="0"/>
                  <wp:docPr descr="" title="" id="41" name="Picture"/>
                  <a:graphic>
                    <a:graphicData uri="http://schemas.openxmlformats.org/drawingml/2006/picture">
                      <pic:pic>
                        <pic:nvPicPr>
                          <pic:cNvPr descr="index_files/figure-docx/fig-city-changes-output-1.png" id="42" name="Picture"/>
                          <pic:cNvPicPr>
                            <a:picLocks noChangeArrowheads="1" noChangeAspect="1"/>
                          </pic:cNvPicPr>
                        </pic:nvPicPr>
                        <pic:blipFill>
                          <a:blip r:embed="rId40"/>
                          <a:stretch>
                            <a:fillRect/>
                          </a:stretch>
                        </pic:blipFill>
                        <pic:spPr bwMode="auto">
                          <a:xfrm>
                            <a:off x="0" y="0"/>
                            <a:ext cx="5334000" cy="18049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Average Weekly Arrests/Citations, 2018-2020 to 2022-2024</w:t>
            </w:r>
          </w:p>
          <w:bookmarkEnd w:id="43"/>
        </w:tc>
      </w:tr>
    </w:tbl>
    <w:p>
      <w:pPr>
        <w:pStyle w:val="BodyText"/>
      </w:pPr>
      <w:r>
        <w:t xml:space="preserve">In the post-pandemic, 73% of all drug sale enforcement actions in the City took place in the greater Tenderloin. The greater Tenderloin is also the only region in the city where enforcement activity returned to and in some months exceeded pre-pandemic levels. Other districts generally saw levels drop slightly, or, in the Mission’s case, drop significantly.</w:t>
      </w:r>
    </w:p>
    <w:tbl>
      <w:tblPr>
        <w:tblStyle w:val="Table"/>
        <w:tblW w:type="pct" w:w="5000"/>
        <w:tblLayout w:type="fixed"/>
        <w:tblLook w:firstRow="0" w:lastRow="0" w:firstColumn="0" w:lastColumn="0" w:noHBand="0" w:noVBand="0" w:val="0000"/>
      </w:tblPr>
      <w:tblGrid>
        <w:gridCol w:w="7920"/>
      </w:tblGrid>
      <w:tr>
        <w:tc>
          <w:tcPr/>
          <w:bookmarkStart w:id="47" w:name="fig-all-districts"/>
          <w:p>
            <w:pPr>
              <w:pStyle w:val="Compact"/>
              <w:jc w:val="center"/>
            </w:pPr>
            <w:r>
              <w:drawing>
                <wp:inline>
                  <wp:extent cx="5334000" cy="2159545"/>
                  <wp:effectExtent b="0" l="0" r="0" t="0"/>
                  <wp:docPr descr="" title="" id="45" name="Picture"/>
                  <a:graphic>
                    <a:graphicData uri="http://schemas.openxmlformats.org/drawingml/2006/picture">
                      <pic:pic>
                        <pic:nvPicPr>
                          <pic:cNvPr descr="index_files/figure-docx/fig-all-districts-output-1.png" id="46" name="Picture"/>
                          <pic:cNvPicPr>
                            <a:picLocks noChangeArrowheads="1" noChangeAspect="1"/>
                          </pic:cNvPicPr>
                        </pic:nvPicPr>
                        <pic:blipFill>
                          <a:blip r:embed="rId44"/>
                          <a:stretch>
                            <a:fillRect/>
                          </a:stretch>
                        </pic:blipFill>
                        <pic:spPr bwMode="auto">
                          <a:xfrm>
                            <a:off x="0" y="0"/>
                            <a:ext cx="5334000" cy="215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Monthly Arrest Totals by District, 2018-2024</w:t>
            </w:r>
          </w:p>
          <w:bookmarkEnd w:id="47"/>
        </w:tc>
      </w:tr>
    </w:tbl>
    <w:p>
      <w:pPr>
        <w:pStyle w:val="BodyText"/>
      </w:pPr>
      <w:r>
        <w:t xml:space="preserve">The greater Tenderloin also saw a meaningful change in the composition of enforcement activity in the post-pandemic, marked by a growing emphasis on drug sale enforcement actions.</w:t>
      </w:r>
      <w:r>
        <w:t xml:space="preserve"> </w:t>
      </w:r>
      <w:hyperlink w:anchor="fig-5">
        <w:r>
          <w:rPr>
            <w:rStyle w:val="Hyperlink"/>
          </w:rPr>
          <w:t xml:space="preserve">Figure 6</w:t>
        </w:r>
      </w:hyperlink>
      <w:r>
        <w:t xml:space="preserve"> </w:t>
      </w:r>
      <w:r>
        <w:t xml:space="preserve">shows that for most incident types in the greater Tenderloin, average weekly levels were essentially equal in the pre and post-pandemic. Drug use enforcement activity rose on its face, but the increase was not statistically significant, suggesting that the weekly totals were highly variable and not consistently elevated.</w:t>
      </w:r>
    </w:p>
    <w:p>
      <w:pPr>
        <w:pStyle w:val="BodyText"/>
      </w:pPr>
      <w:r>
        <w:t xml:space="preserve">Drug sale enforcement activity saw a large and statistically significant increase, with 6.7 more actions a week on average in the post-pandemic. This increase is consistent with media coverage of the City’s aggressive approach to drug crime in the Tenderloin.</w:t>
      </w:r>
      <w:r>
        <w:t xml:space="preserve"> </w:t>
      </w:r>
      <w:r>
        <w:t xml:space="preserve">Neilson (2023)</w:t>
      </w:r>
      <w:r>
        <w:t xml:space="preserve"> </w:t>
      </w:r>
      <w:r>
        <w:t xml:space="preserve">also suggests that policing in the Tenderloin was more aggressive in the post-pandemic, with a particular focus on making arrests for drug sale.</w:t>
      </w:r>
    </w:p>
    <w:tbl>
      <w:tblPr>
        <w:tblStyle w:val="Table"/>
        <w:tblW w:type="pct" w:w="5000"/>
        <w:tblLayout w:type="fixed"/>
        <w:tblLook w:firstRow="0" w:lastRow="0" w:firstColumn="0" w:lastColumn="0" w:noHBand="0" w:noVBand="0" w:val="0000"/>
      </w:tblPr>
      <w:tblGrid>
        <w:gridCol w:w="7920"/>
      </w:tblGrid>
      <w:tr>
        <w:tc>
          <w:tcPr/>
          <w:bookmarkStart w:id="51" w:name="fig-5"/>
          <w:p>
            <w:pPr>
              <w:pStyle w:val="Compact"/>
              <w:jc w:val="center"/>
            </w:pPr>
            <w:r>
              <w:drawing>
                <wp:inline>
                  <wp:extent cx="5334000" cy="1822450"/>
                  <wp:effectExtent b="0" l="0" r="0" t="0"/>
                  <wp:docPr descr="" title="" id="49" name="Picture"/>
                  <a:graphic>
                    <a:graphicData uri="http://schemas.openxmlformats.org/drawingml/2006/picture">
                      <pic:pic>
                        <pic:nvPicPr>
                          <pic:cNvPr descr="index_files/figure-docx/fig-5-output-1.png" id="50" name="Picture"/>
                          <pic:cNvPicPr>
                            <a:picLocks noChangeArrowheads="1" noChangeAspect="1"/>
                          </pic:cNvPicPr>
                        </pic:nvPicPr>
                        <pic:blipFill>
                          <a:blip r:embed="rId48"/>
                          <a:stretch>
                            <a:fillRect/>
                          </a:stretch>
                        </pic:blipFill>
                        <pic:spPr bwMode="auto">
                          <a:xfrm>
                            <a:off x="0" y="0"/>
                            <a:ext cx="5334000" cy="18224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Average Weekly Arrests in the Tenderloin, 2018-2020 to 2022-2024</w:t>
            </w:r>
          </w:p>
          <w:bookmarkEnd w:id="51"/>
        </w:tc>
      </w:tr>
    </w:tbl>
    <w:bookmarkEnd w:id="52"/>
    <w:bookmarkStart w:id="53" w:name="discussion"/>
    <w:p>
      <w:pPr>
        <w:pStyle w:val="Heading2"/>
      </w:pPr>
      <w:r>
        <w:t xml:space="preserve">Discussion</w:t>
      </w:r>
    </w:p>
    <w:p>
      <w:pPr>
        <w:pStyle w:val="FirstParagraph"/>
      </w:pPr>
      <w:r>
        <w:t xml:space="preserve">I conclude that in the post-pandemic, the City shifted law enforcement activity towards the Tenderloin and prioritized enforcement actions for drug sale in that district. To be clear, the political and administrative focus on the Tenderloin, and particularly on drug crime in the Tenderloin, is not novel</w:t>
      </w:r>
      <w:r>
        <w:t xml:space="preserve"> </w:t>
      </w:r>
      <w:r>
        <w:t xml:space="preserve">(Hartlaub 2022)</w:t>
      </w:r>
      <w:r>
        <w:t xml:space="preserve">. However, I newly document the degree to which the City, in the post-pandemic, emphasized law enforcement in the Tenderloin relative to 2018-2020 pre-pandemic trends. The gap in law enforcement activity levels between the greater Tenderloin and all other regions in the City grew considerably. This shift in policing resources could have been in response to rising drug sale crime in the Tenderloin, but further research using criminal incident data is necessary to confirm any trends in crime.</w:t>
      </w:r>
    </w:p>
    <w:p>
      <w:r>
        <w:br w:type="page"/>
      </w:r>
    </w:p>
    <w:bookmarkEnd w:id="53"/>
    <w:bookmarkStart w:id="85" w:name="sec-appendix"/>
    <w:p>
      <w:pPr>
        <w:pStyle w:val="Heading2"/>
      </w:pPr>
      <w:r>
        <w:t xml:space="preserve">Appendix</w:t>
      </w:r>
    </w:p>
    <w:bookmarkStart w:id="63" w:name="data-appendix"/>
    <w:p>
      <w:pPr>
        <w:pStyle w:val="Heading3"/>
      </w:pPr>
      <w:r>
        <w:t xml:space="preserve">Data Appendix</w:t>
      </w:r>
    </w:p>
    <w:p>
      <w:pPr>
        <w:pStyle w:val="FirstParagraph"/>
      </w:pPr>
      <w:r>
        <w:t xml:space="preserve">I based all analysis on publicly available police incident data from the City of San Francisco</w:t>
      </w:r>
      <w:r>
        <w:t xml:space="preserve"> </w:t>
      </w:r>
      <w:r>
        <w:t xml:space="preserve">(DataSF 2024)</w:t>
      </w:r>
      <w:r>
        <w:t xml:space="preserve">. Of the 824,565 records in the incident data extract, many are duplicates or else incidents that did not lead to arrest or citation. I applied filtering to isolate the 119,119 records that represent unique arrests/citations between 01-01-2018 and 02-16-2024. I then filtered the dataset to isolate arrests where geographic point data is available – 118,506 unique arrests/citations. The vast majority of the 613 arrests/citations with missing point data took place outside of San Francisco. The negligible arrests/citations with missing point data within San Francisco were distributed across districts proportional to their totals, suggesting that dropping missing point data did not bias arrests/citations down in any particular region.</w:t>
      </w:r>
    </w:p>
    <w:bookmarkStart w:id="58" w:name="sec-gt"/>
    <w:p>
      <w:pPr>
        <w:pStyle w:val="Heading4"/>
      </w:pPr>
      <w:r>
        <w:t xml:space="preserve">Defining the greater Tenderloin</w:t>
      </w:r>
    </w:p>
    <w:p>
      <w:pPr>
        <w:pStyle w:val="FirstParagraph"/>
      </w:pPr>
      <w:r>
        <w:t xml:space="preserve">I define the</w:t>
      </w:r>
      <w:r>
        <w:t xml:space="preserve"> </w:t>
      </w:r>
      <w:r>
        <w:t xml:space="preserve">“</w:t>
      </w:r>
      <w:r>
        <w:t xml:space="preserve">greater Tenderloin</w:t>
      </w:r>
      <w:r>
        <w:t xml:space="preserve">”</w:t>
      </w:r>
      <w:r>
        <w:t xml:space="preserve"> </w:t>
      </w:r>
      <w:r>
        <w:t xml:space="preserve">by placing a small buffer around the Tenderloin shape to encompass the corners along its immediate edges. See</w:t>
      </w:r>
      <w:r>
        <w:t xml:space="preserve"> </w:t>
      </w:r>
      <w:hyperlink w:anchor="fig-gt">
        <w:r>
          <w:rPr>
            <w:rStyle w:val="Hyperlink"/>
          </w:rPr>
          <w:t xml:space="preserve">Figure 7</w:t>
        </w:r>
      </w:hyperlink>
      <w:r>
        <w:t xml:space="preserve"> </w:t>
      </w:r>
      <w:r>
        <w:t xml:space="preserve">below. The buffered area is added to the Tenderloin and removed from the adjoining districts. The Tenderloin is the only district that I apply this buffering to because no other district has such intense spillover of enforcement actions along its borders.</w:t>
      </w:r>
    </w:p>
    <w:tbl>
      <w:tblPr>
        <w:tblStyle w:val="Table"/>
        <w:tblW w:type="pct" w:w="5000"/>
        <w:tblLayout w:type="fixed"/>
        <w:tblLook w:firstRow="0" w:lastRow="0" w:firstColumn="0" w:lastColumn="0" w:noHBand="0" w:noVBand="0" w:val="0000"/>
      </w:tblPr>
      <w:tblGrid>
        <w:gridCol w:w="7920"/>
      </w:tblGrid>
      <w:tr>
        <w:tc>
          <w:tcPr/>
          <w:bookmarkStart w:id="57" w:name="fig-gt"/>
          <w:p>
            <w:pPr>
              <w:pStyle w:val="Compact"/>
              <w:jc w:val="center"/>
            </w:pPr>
            <w:r>
              <w:drawing>
                <wp:inline>
                  <wp:extent cx="4477173" cy="3874346"/>
                  <wp:effectExtent b="0" l="0" r="0" t="0"/>
                  <wp:docPr descr="" title="" id="55" name="Picture"/>
                  <a:graphic>
                    <a:graphicData uri="http://schemas.openxmlformats.org/drawingml/2006/picture">
                      <pic:pic>
                        <pic:nvPicPr>
                          <pic:cNvPr descr="index_files/figure-docx/fig-gt-output-1.png" id="56" name="Picture"/>
                          <pic:cNvPicPr>
                            <a:picLocks noChangeArrowheads="1" noChangeAspect="1"/>
                          </pic:cNvPicPr>
                        </pic:nvPicPr>
                        <pic:blipFill>
                          <a:blip r:embed="rId54"/>
                          <a:stretch>
                            <a:fillRect/>
                          </a:stretch>
                        </pic:blipFill>
                        <pic:spPr bwMode="auto">
                          <a:xfrm>
                            <a:off x="0" y="0"/>
                            <a:ext cx="4477173" cy="38743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Greater Tenderloin</w:t>
            </w:r>
          </w:p>
          <w:bookmarkEnd w:id="57"/>
        </w:tc>
      </w:tr>
    </w:tbl>
    <w:bookmarkEnd w:id="58"/>
    <w:bookmarkStart w:id="60" w:name="sec-drug-use"/>
    <w:p>
      <w:pPr>
        <w:pStyle w:val="Heading4"/>
      </w:pPr>
      <w:r>
        <w:t xml:space="preserve">Defining</w:t>
      </w:r>
      <w:r>
        <w:t xml:space="preserve"> </w:t>
      </w:r>
      <w:r>
        <w:t xml:space="preserve">“</w:t>
      </w:r>
      <w:r>
        <w:t xml:space="preserve">Drug use</w:t>
      </w:r>
      <w:r>
        <w:t xml:space="preserve">”</w:t>
      </w:r>
      <w:r>
        <w:t xml:space="preserve"> </w:t>
      </w:r>
      <w:r>
        <w:t xml:space="preserve">enforcement actions</w:t>
      </w:r>
    </w:p>
    <w:p>
      <w:pPr>
        <w:pStyle w:val="FirstParagraph"/>
      </w:pPr>
      <w:r>
        <w:t xml:space="preserve">In the incident report data, there is a category,</w:t>
      </w:r>
      <w:r>
        <w:t xml:space="preserve"> </w:t>
      </w:r>
      <w:r>
        <w:t xml:space="preserve">“</w:t>
      </w:r>
      <w:r>
        <w:t xml:space="preserve">Drug,</w:t>
      </w:r>
      <w:r>
        <w:t xml:space="preserve">”</w:t>
      </w:r>
      <w:r>
        <w:t xml:space="preserve"> </w:t>
      </w:r>
      <w:r>
        <w:t xml:space="preserve">which contains all drug related enforcement actions. I split this category into two sub-groups – drug sale enforcement, and drug use/non sale enforcement. All enforcement actions in the broad</w:t>
      </w:r>
      <w:r>
        <w:t xml:space="preserve"> </w:t>
      </w:r>
      <w:r>
        <w:t xml:space="preserve">“</w:t>
      </w:r>
      <w:r>
        <w:t xml:space="preserve">Drug</w:t>
      </w:r>
      <w:r>
        <w:t xml:space="preserve">”</w:t>
      </w:r>
      <w:r>
        <w:t xml:space="preserve"> </w:t>
      </w:r>
      <w:r>
        <w:t xml:space="preserve">category are also members of one of these two subgroups. I define Drug use, or, non-drug sale enforcement actions, as those drug incidents that do not contain the phrase</w:t>
      </w:r>
      <w:r>
        <w:t xml:space="preserve"> </w:t>
      </w:r>
      <w:r>
        <w:t xml:space="preserve">“</w:t>
      </w:r>
      <w:r>
        <w:t xml:space="preserve">sale</w:t>
      </w:r>
      <w:r>
        <w:t xml:space="preserve">”</w:t>
      </w:r>
      <w:r>
        <w:t xml:space="preserve"> </w:t>
      </w:r>
      <w:r>
        <w:t xml:space="preserve">in their description.</w:t>
      </w:r>
    </w:p>
    <w:bookmarkStart w:id="59" w:name="T_b3faf"/>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Use Enforcement Description</w:t>
            </w:r>
          </w:p>
        </w:tc>
        <w:tc>
          <w:tcPr/>
          <w:p>
            <w:pPr>
              <w:pStyle w:val="Compact"/>
              <w:jc w:val="left"/>
            </w:pPr>
            <w:r>
              <w:t xml:space="preserve">Frequency</w:t>
            </w:r>
          </w:p>
        </w:tc>
      </w:tr>
      <w:tr>
        <w:tc>
          <w:tcPr/>
          <w:p>
            <w:pPr>
              <w:pStyle w:val="Compact"/>
              <w:jc w:val="left"/>
            </w:pPr>
            <w:r>
              <w:t xml:space="preserve">Narcotics Paraphernalia, Possession of</w:t>
            </w:r>
          </w:p>
        </w:tc>
        <w:tc>
          <w:tcPr/>
          <w:p>
            <w:pPr>
              <w:pStyle w:val="Compact"/>
              <w:jc w:val="left"/>
            </w:pPr>
            <w:r>
              <w:t xml:space="preserve">4,349</w:t>
            </w:r>
          </w:p>
        </w:tc>
      </w:tr>
      <w:tr>
        <w:tc>
          <w:tcPr/>
          <w:p>
            <w:pPr>
              <w:pStyle w:val="Compact"/>
              <w:jc w:val="left"/>
            </w:pPr>
            <w:r>
              <w:t xml:space="preserve">Methamphetamine Offense</w:t>
            </w:r>
          </w:p>
        </w:tc>
        <w:tc>
          <w:tcPr/>
          <w:p>
            <w:pPr>
              <w:pStyle w:val="Compact"/>
              <w:jc w:val="left"/>
            </w:pPr>
            <w:r>
              <w:t xml:space="preserve">1,446</w:t>
            </w:r>
          </w:p>
        </w:tc>
      </w:tr>
      <w:tr>
        <w:tc>
          <w:tcPr/>
          <w:p>
            <w:pPr>
              <w:pStyle w:val="Compact"/>
              <w:jc w:val="left"/>
            </w:pPr>
            <w:r>
              <w:t xml:space="preserve">Controlled Substance Offense</w:t>
            </w:r>
          </w:p>
        </w:tc>
        <w:tc>
          <w:tcPr/>
          <w:p>
            <w:pPr>
              <w:pStyle w:val="Compact"/>
              <w:jc w:val="left"/>
            </w:pPr>
            <w:r>
              <w:t xml:space="preserve">318</w:t>
            </w:r>
          </w:p>
        </w:tc>
      </w:tr>
      <w:tr>
        <w:tc>
          <w:tcPr/>
          <w:p>
            <w:pPr>
              <w:pStyle w:val="Compact"/>
              <w:jc w:val="left"/>
            </w:pPr>
            <w:r>
              <w:t xml:space="preserve">Heroin Offense</w:t>
            </w:r>
          </w:p>
        </w:tc>
        <w:tc>
          <w:tcPr/>
          <w:p>
            <w:pPr>
              <w:pStyle w:val="Compact"/>
              <w:jc w:val="left"/>
            </w:pPr>
            <w:r>
              <w:t xml:space="preserve">298</w:t>
            </w:r>
          </w:p>
        </w:tc>
      </w:tr>
      <w:tr>
        <w:tc>
          <w:tcPr/>
          <w:p>
            <w:pPr>
              <w:pStyle w:val="Compact"/>
              <w:jc w:val="left"/>
            </w:pPr>
            <w:r>
              <w:t xml:space="preserve">Opiates Offense</w:t>
            </w:r>
          </w:p>
        </w:tc>
        <w:tc>
          <w:tcPr/>
          <w:p>
            <w:pPr>
              <w:pStyle w:val="Compact"/>
              <w:jc w:val="left"/>
            </w:pPr>
            <w:r>
              <w:t xml:space="preserve">284</w:t>
            </w:r>
          </w:p>
        </w:tc>
      </w:tr>
      <w:tr>
        <w:tc>
          <w:tcPr/>
          <w:p>
            <w:pPr>
              <w:pStyle w:val="Compact"/>
              <w:jc w:val="left"/>
            </w:pPr>
            <w:r>
              <w:t xml:space="preserve">Loitering Where Narcotics are Sold/Used</w:t>
            </w:r>
          </w:p>
        </w:tc>
        <w:tc>
          <w:tcPr/>
          <w:p>
            <w:pPr>
              <w:pStyle w:val="Compact"/>
              <w:jc w:val="left"/>
            </w:pPr>
            <w:r>
              <w:t xml:space="preserve">249</w:t>
            </w:r>
          </w:p>
        </w:tc>
      </w:tr>
      <w:tr>
        <w:tc>
          <w:tcPr/>
          <w:p>
            <w:pPr>
              <w:pStyle w:val="Compact"/>
              <w:jc w:val="left"/>
            </w:pPr>
            <w:r>
              <w:t xml:space="preserve">Cocaine, Base/rock Offense</w:t>
            </w:r>
          </w:p>
        </w:tc>
        <w:tc>
          <w:tcPr/>
          <w:p>
            <w:pPr>
              <w:pStyle w:val="Compact"/>
              <w:jc w:val="left"/>
            </w:pPr>
            <w:r>
              <w:t xml:space="preserve">231</w:t>
            </w:r>
          </w:p>
        </w:tc>
      </w:tr>
      <w:tr>
        <w:tc>
          <w:tcPr/>
          <w:p>
            <w:pPr>
              <w:pStyle w:val="Compact"/>
              <w:jc w:val="left"/>
            </w:pPr>
            <w:r>
              <w:t xml:space="preserve">Marijuana Offense</w:t>
            </w:r>
          </w:p>
        </w:tc>
        <w:tc>
          <w:tcPr/>
          <w:p>
            <w:pPr>
              <w:pStyle w:val="Compact"/>
              <w:jc w:val="left"/>
            </w:pPr>
            <w:r>
              <w:t xml:space="preserve">227</w:t>
            </w:r>
          </w:p>
        </w:tc>
      </w:tr>
      <w:tr>
        <w:tc>
          <w:tcPr/>
          <w:p>
            <w:pPr>
              <w:pStyle w:val="Compact"/>
              <w:jc w:val="left"/>
            </w:pPr>
            <w:r>
              <w:t xml:space="preserve">Firearm, Armed While Possessing Controlled Substance</w:t>
            </w:r>
          </w:p>
        </w:tc>
        <w:tc>
          <w:tcPr/>
          <w:p>
            <w:pPr>
              <w:pStyle w:val="Compact"/>
              <w:jc w:val="left"/>
            </w:pPr>
            <w:r>
              <w:t xml:space="preserve">207</w:t>
            </w:r>
          </w:p>
        </w:tc>
      </w:tr>
      <w:tr>
        <w:tc>
          <w:tcPr/>
          <w:p>
            <w:pPr>
              <w:pStyle w:val="Compact"/>
              <w:jc w:val="left"/>
            </w:pPr>
            <w:r>
              <w:t xml:space="preserve">Cocaine Offense</w:t>
            </w:r>
          </w:p>
        </w:tc>
        <w:tc>
          <w:tcPr/>
          <w:p>
            <w:pPr>
              <w:pStyle w:val="Compact"/>
              <w:jc w:val="left"/>
            </w:pPr>
            <w:r>
              <w:t xml:space="preserve">161</w:t>
            </w:r>
          </w:p>
        </w:tc>
      </w:tr>
      <w:tr>
        <w:tc>
          <w:tcPr/>
          <w:p>
            <w:pPr>
              <w:pStyle w:val="Compact"/>
              <w:jc w:val="left"/>
            </w:pPr>
            <w:r>
              <w:t xml:space="preserve">Controlled Substance, Under the Influence of</w:t>
            </w:r>
          </w:p>
        </w:tc>
        <w:tc>
          <w:tcPr/>
          <w:p>
            <w:pPr>
              <w:pStyle w:val="Compact"/>
              <w:jc w:val="left"/>
            </w:pPr>
            <w:r>
              <w:t xml:space="preserve">122</w:t>
            </w:r>
          </w:p>
        </w:tc>
      </w:tr>
      <w:tr>
        <w:tc>
          <w:tcPr/>
          <w:p>
            <w:pPr>
              <w:pStyle w:val="Compact"/>
              <w:jc w:val="left"/>
            </w:pPr>
            <w:r>
              <w:t xml:space="preserve">Methamphetamine, Transportation</w:t>
            </w:r>
          </w:p>
        </w:tc>
        <w:tc>
          <w:tcPr/>
          <w:p>
            <w:pPr>
              <w:pStyle w:val="Compact"/>
              <w:jc w:val="left"/>
            </w:pPr>
            <w:r>
              <w:t xml:space="preserve">39</w:t>
            </w:r>
          </w:p>
        </w:tc>
      </w:tr>
      <w:tr>
        <w:tc>
          <w:tcPr/>
          <w:p>
            <w:pPr>
              <w:pStyle w:val="Compact"/>
              <w:jc w:val="left"/>
            </w:pPr>
            <w:r>
              <w:t xml:space="preserve">Controlled Substance Violation, Loitering for</w:t>
            </w:r>
          </w:p>
        </w:tc>
        <w:tc>
          <w:tcPr/>
          <w:p>
            <w:pPr>
              <w:pStyle w:val="Compact"/>
              <w:jc w:val="left"/>
            </w:pPr>
            <w:r>
              <w:t xml:space="preserve">24</w:t>
            </w:r>
          </w:p>
        </w:tc>
      </w:tr>
      <w:tr>
        <w:tc>
          <w:tcPr/>
          <w:p>
            <w:pPr>
              <w:pStyle w:val="Compact"/>
              <w:jc w:val="left"/>
            </w:pPr>
            <w:r>
              <w:t xml:space="preserve">Cocaine, Transportation</w:t>
            </w:r>
          </w:p>
        </w:tc>
        <w:tc>
          <w:tcPr/>
          <w:p>
            <w:pPr>
              <w:pStyle w:val="Compact"/>
              <w:jc w:val="left"/>
            </w:pPr>
            <w:r>
              <w:t xml:space="preserve">21</w:t>
            </w:r>
          </w:p>
        </w:tc>
      </w:tr>
      <w:tr>
        <w:tc>
          <w:tcPr/>
          <w:p>
            <w:pPr>
              <w:pStyle w:val="Compact"/>
              <w:jc w:val="left"/>
            </w:pPr>
            <w:r>
              <w:t xml:space="preserve">Hallucinogenics Offense</w:t>
            </w:r>
          </w:p>
        </w:tc>
        <w:tc>
          <w:tcPr/>
          <w:p>
            <w:pPr>
              <w:pStyle w:val="Compact"/>
              <w:jc w:val="left"/>
            </w:pPr>
            <w:r>
              <w:t xml:space="preserve">20</w:t>
            </w:r>
          </w:p>
        </w:tc>
      </w:tr>
      <w:tr>
        <w:tc>
          <w:tcPr/>
          <w:p>
            <w:pPr>
              <w:pStyle w:val="Compact"/>
              <w:jc w:val="left"/>
            </w:pPr>
            <w:r>
              <w:t xml:space="preserve">Marijuana, Transporting</w:t>
            </w:r>
          </w:p>
        </w:tc>
        <w:tc>
          <w:tcPr/>
          <w:p>
            <w:pPr>
              <w:pStyle w:val="Compact"/>
              <w:jc w:val="left"/>
            </w:pPr>
            <w:r>
              <w:t xml:space="preserve">20</w:t>
            </w:r>
          </w:p>
        </w:tc>
      </w:tr>
      <w:tr>
        <w:tc>
          <w:tcPr/>
          <w:p>
            <w:pPr>
              <w:pStyle w:val="Compact"/>
              <w:jc w:val="left"/>
            </w:pPr>
            <w:r>
              <w:t xml:space="preserve">Controlled Substance, Transportation</w:t>
            </w:r>
          </w:p>
        </w:tc>
        <w:tc>
          <w:tcPr/>
          <w:p>
            <w:pPr>
              <w:pStyle w:val="Compact"/>
              <w:jc w:val="left"/>
            </w:pPr>
            <w:r>
              <w:t xml:space="preserve">12</w:t>
            </w:r>
          </w:p>
        </w:tc>
      </w:tr>
      <w:tr>
        <w:tc>
          <w:tcPr/>
          <w:p>
            <w:pPr>
              <w:pStyle w:val="Compact"/>
              <w:jc w:val="left"/>
            </w:pPr>
            <w:r>
              <w:t xml:space="preserve">Methadone Offense</w:t>
            </w:r>
          </w:p>
        </w:tc>
        <w:tc>
          <w:tcPr/>
          <w:p>
            <w:pPr>
              <w:pStyle w:val="Compact"/>
              <w:jc w:val="left"/>
            </w:pPr>
            <w:r>
              <w:t xml:space="preserve">11</w:t>
            </w:r>
          </w:p>
        </w:tc>
      </w:tr>
      <w:tr>
        <w:tc>
          <w:tcPr/>
          <w:p>
            <w:pPr>
              <w:pStyle w:val="Compact"/>
              <w:jc w:val="left"/>
            </w:pPr>
            <w:r>
              <w:t xml:space="preserve">Amphetamines Offense</w:t>
            </w:r>
          </w:p>
        </w:tc>
        <w:tc>
          <w:tcPr/>
          <w:p>
            <w:pPr>
              <w:pStyle w:val="Compact"/>
              <w:jc w:val="left"/>
            </w:pPr>
            <w:r>
              <w:t xml:space="preserve">11</w:t>
            </w:r>
          </w:p>
        </w:tc>
      </w:tr>
      <w:tr>
        <w:tc>
          <w:tcPr/>
          <w:p>
            <w:pPr>
              <w:pStyle w:val="Compact"/>
              <w:jc w:val="left"/>
            </w:pPr>
            <w:r>
              <w:t xml:space="preserve">Opiates, Transportation</w:t>
            </w:r>
          </w:p>
        </w:tc>
        <w:tc>
          <w:tcPr/>
          <w:p>
            <w:pPr>
              <w:pStyle w:val="Compact"/>
              <w:jc w:val="left"/>
            </w:pPr>
            <w:r>
              <w:t xml:space="preserve">10</w:t>
            </w:r>
          </w:p>
        </w:tc>
      </w:tr>
      <w:tr>
        <w:tc>
          <w:tcPr/>
          <w:p>
            <w:pPr>
              <w:pStyle w:val="Compact"/>
              <w:jc w:val="left"/>
            </w:pPr>
            <w:r>
              <w:t xml:space="preserve">Maintain Premise Where Narcotics Are Sold/used</w:t>
            </w:r>
          </w:p>
        </w:tc>
        <w:tc>
          <w:tcPr/>
          <w:p>
            <w:pPr>
              <w:pStyle w:val="Compact"/>
              <w:jc w:val="left"/>
            </w:pPr>
            <w:r>
              <w:t xml:space="preserve">10</w:t>
            </w:r>
          </w:p>
        </w:tc>
      </w:tr>
      <w:tr>
        <w:tc>
          <w:tcPr/>
          <w:p>
            <w:pPr>
              <w:pStyle w:val="Compact"/>
              <w:jc w:val="left"/>
            </w:pPr>
            <w:r>
              <w:t xml:space="preserve">Heroin, Transportation</w:t>
            </w:r>
          </w:p>
        </w:tc>
        <w:tc>
          <w:tcPr/>
          <w:p>
            <w:pPr>
              <w:pStyle w:val="Compact"/>
              <w:jc w:val="left"/>
            </w:pPr>
            <w:r>
              <w:t xml:space="preserve">9</w:t>
            </w:r>
          </w:p>
        </w:tc>
      </w:tr>
      <w:tr>
        <w:tc>
          <w:tcPr/>
          <w:p>
            <w:pPr>
              <w:pStyle w:val="Compact"/>
              <w:jc w:val="left"/>
            </w:pPr>
            <w:r>
              <w:t xml:space="preserve">Opium Offense</w:t>
            </w:r>
          </w:p>
        </w:tc>
        <w:tc>
          <w:tcPr/>
          <w:p>
            <w:pPr>
              <w:pStyle w:val="Compact"/>
              <w:jc w:val="left"/>
            </w:pPr>
            <w:r>
              <w:t xml:space="preserve">8</w:t>
            </w:r>
          </w:p>
        </w:tc>
      </w:tr>
      <w:tr>
        <w:tc>
          <w:tcPr/>
          <w:p>
            <w:pPr>
              <w:pStyle w:val="Compact"/>
              <w:jc w:val="left"/>
            </w:pPr>
            <w:r>
              <w:t xml:space="preserve">Opium Derivative Offense</w:t>
            </w:r>
          </w:p>
        </w:tc>
        <w:tc>
          <w:tcPr/>
          <w:p>
            <w:pPr>
              <w:pStyle w:val="Compact"/>
              <w:jc w:val="left"/>
            </w:pPr>
            <w:r>
              <w:t xml:space="preserve">6</w:t>
            </w:r>
          </w:p>
        </w:tc>
      </w:tr>
      <w:tr>
        <w:tc>
          <w:tcPr/>
          <w:p>
            <w:pPr>
              <w:pStyle w:val="Compact"/>
              <w:jc w:val="left"/>
            </w:pPr>
            <w:r>
              <w:t xml:space="preserve">Marijuana, Cultivating/Planting</w:t>
            </w:r>
          </w:p>
        </w:tc>
        <w:tc>
          <w:tcPr/>
          <w:p>
            <w:pPr>
              <w:pStyle w:val="Compact"/>
              <w:jc w:val="left"/>
            </w:pPr>
            <w:r>
              <w:t xml:space="preserve">4</w:t>
            </w:r>
          </w:p>
        </w:tc>
      </w:tr>
      <w:tr>
        <w:tc>
          <w:tcPr/>
          <w:p>
            <w:pPr>
              <w:pStyle w:val="Compact"/>
              <w:jc w:val="left"/>
            </w:pPr>
            <w:r>
              <w:t xml:space="preserve">Marijuana, Furnishing</w:t>
            </w:r>
          </w:p>
        </w:tc>
        <w:tc>
          <w:tcPr/>
          <w:p>
            <w:pPr>
              <w:pStyle w:val="Compact"/>
              <w:jc w:val="left"/>
            </w:pPr>
            <w:r>
              <w:t xml:space="preserve">4</w:t>
            </w:r>
          </w:p>
        </w:tc>
      </w:tr>
      <w:tr>
        <w:tc>
          <w:tcPr/>
          <w:p>
            <w:pPr>
              <w:pStyle w:val="Compact"/>
              <w:jc w:val="left"/>
            </w:pPr>
            <w:r>
              <w:t xml:space="preserve">Drug Lab Apparatus, Possession</w:t>
            </w:r>
          </w:p>
        </w:tc>
        <w:tc>
          <w:tcPr/>
          <w:p>
            <w:pPr>
              <w:pStyle w:val="Compact"/>
              <w:jc w:val="left"/>
            </w:pPr>
            <w:r>
              <w:t xml:space="preserve">3</w:t>
            </w:r>
          </w:p>
        </w:tc>
      </w:tr>
      <w:tr>
        <w:tc>
          <w:tcPr/>
          <w:p>
            <w:pPr>
              <w:pStyle w:val="Compact"/>
              <w:jc w:val="left"/>
            </w:pPr>
            <w:r>
              <w:t xml:space="preserve">Hypodermic Needle or Syringe, Possession</w:t>
            </w:r>
          </w:p>
        </w:tc>
        <w:tc>
          <w:tcPr/>
          <w:p>
            <w:pPr>
              <w:pStyle w:val="Compact"/>
              <w:jc w:val="left"/>
            </w:pPr>
            <w:r>
              <w:t xml:space="preserve">2</w:t>
            </w:r>
          </w:p>
        </w:tc>
      </w:tr>
      <w:tr>
        <w:tc>
          <w:tcPr/>
          <w:p>
            <w:pPr>
              <w:pStyle w:val="Compact"/>
              <w:jc w:val="left"/>
            </w:pPr>
            <w:r>
              <w:t xml:space="preserve">Narcotics Addict, Failure To Register</w:t>
            </w:r>
          </w:p>
        </w:tc>
        <w:tc>
          <w:tcPr/>
          <w:p>
            <w:pPr>
              <w:pStyle w:val="Compact"/>
              <w:jc w:val="left"/>
            </w:pPr>
            <w:r>
              <w:t xml:space="preserve">2</w:t>
            </w:r>
          </w:p>
        </w:tc>
      </w:tr>
      <w:tr>
        <w:tc>
          <w:tcPr/>
          <w:p>
            <w:pPr>
              <w:pStyle w:val="Compact"/>
              <w:jc w:val="left"/>
            </w:pPr>
            <w:r>
              <w:t xml:space="preserve">Barbiturates, Possession</w:t>
            </w:r>
          </w:p>
        </w:tc>
        <w:tc>
          <w:tcPr/>
          <w:p>
            <w:pPr>
              <w:pStyle w:val="Compact"/>
              <w:jc w:val="left"/>
            </w:pPr>
            <w:r>
              <w:t xml:space="preserve">2</w:t>
            </w:r>
          </w:p>
        </w:tc>
      </w:tr>
      <w:tr>
        <w:tc>
          <w:tcPr/>
          <w:p>
            <w:pPr>
              <w:pStyle w:val="Compact"/>
              <w:jc w:val="left"/>
            </w:pPr>
            <w:r>
              <w:t xml:space="preserve">Prescription, Forge Or Alter (11368 H&amp;S)</w:t>
            </w:r>
          </w:p>
        </w:tc>
        <w:tc>
          <w:tcPr/>
          <w:p>
            <w:pPr>
              <w:pStyle w:val="Compact"/>
              <w:jc w:val="left"/>
            </w:pPr>
            <w:r>
              <w:t xml:space="preserve">2</w:t>
            </w:r>
          </w:p>
        </w:tc>
      </w:tr>
      <w:tr>
        <w:tc>
          <w:tcPr/>
          <w:p>
            <w:pPr>
              <w:pStyle w:val="Compact"/>
              <w:jc w:val="left"/>
            </w:pPr>
            <w:r>
              <w:t xml:space="preserve">Barbiturates Offense</w:t>
            </w:r>
          </w:p>
        </w:tc>
        <w:tc>
          <w:tcPr/>
          <w:p>
            <w:pPr>
              <w:pStyle w:val="Compact"/>
              <w:jc w:val="left"/>
            </w:pPr>
            <w:r>
              <w:t xml:space="preserve">1</w:t>
            </w:r>
          </w:p>
        </w:tc>
      </w:tr>
      <w:tr>
        <w:tc>
          <w:tcPr/>
          <w:p>
            <w:pPr>
              <w:pStyle w:val="Compact"/>
              <w:jc w:val="left"/>
            </w:pPr>
            <w:r>
              <w:t xml:space="preserve">Controlled Substance, Presence Where Used</w:t>
            </w:r>
          </w:p>
        </w:tc>
        <w:tc>
          <w:tcPr/>
          <w:p>
            <w:pPr>
              <w:pStyle w:val="Compact"/>
              <w:jc w:val="left"/>
            </w:pPr>
            <w:r>
              <w:t xml:space="preserve">1</w:t>
            </w:r>
          </w:p>
        </w:tc>
      </w:tr>
      <w:tr>
        <w:tc>
          <w:tcPr/>
          <w:p>
            <w:pPr>
              <w:pStyle w:val="Compact"/>
              <w:jc w:val="left"/>
            </w:pPr>
            <w:r>
              <w:t xml:space="preserve">Barbiturates, Transportation</w:t>
            </w:r>
          </w:p>
        </w:tc>
        <w:tc>
          <w:tcPr/>
          <w:p>
            <w:pPr>
              <w:pStyle w:val="Compact"/>
              <w:jc w:val="left"/>
            </w:pPr>
            <w:r>
              <w:t xml:space="preserve">1</w:t>
            </w:r>
          </w:p>
        </w:tc>
      </w:tr>
    </w:tbl>
    <w:bookmarkEnd w:id="59"/>
    <w:bookmarkEnd w:id="60"/>
    <w:bookmarkStart w:id="62" w:name="sec-drug-sale"/>
    <w:p>
      <w:pPr>
        <w:pStyle w:val="Heading4"/>
      </w:pPr>
      <w:r>
        <w:t xml:space="preserve">Defining</w:t>
      </w:r>
      <w:r>
        <w:t xml:space="preserve"> </w:t>
      </w:r>
      <w:r>
        <w:t xml:space="preserve">“</w:t>
      </w:r>
      <w:r>
        <w:t xml:space="preserve">Drug sale</w:t>
      </w:r>
      <w:r>
        <w:t xml:space="preserve">”</w:t>
      </w:r>
      <w:r>
        <w:t xml:space="preserve"> </w:t>
      </w:r>
      <w:r>
        <w:t xml:space="preserve">enforcement</w:t>
      </w:r>
    </w:p>
    <w:p>
      <w:pPr>
        <w:pStyle w:val="FirstParagraph"/>
      </w:pPr>
      <w:r>
        <w:t xml:space="preserve">Drug sale enforcement actions are those incidents in the</w:t>
      </w:r>
      <w:r>
        <w:t xml:space="preserve"> </w:t>
      </w:r>
      <w:r>
        <w:t xml:space="preserve">“</w:t>
      </w:r>
      <w:r>
        <w:t xml:space="preserve">Drugs</w:t>
      </w:r>
      <w:r>
        <w:t xml:space="preserve">”</w:t>
      </w:r>
      <w:r>
        <w:t xml:space="preserve"> </w:t>
      </w:r>
      <w:r>
        <w:t xml:space="preserve">category that contain the word</w:t>
      </w:r>
      <w:r>
        <w:t xml:space="preserve"> </w:t>
      </w:r>
      <w:r>
        <w:t xml:space="preserve">“</w:t>
      </w:r>
      <w:r>
        <w:t xml:space="preserve">sale</w:t>
      </w:r>
      <w:r>
        <w:t xml:space="preserve">”</w:t>
      </w:r>
      <w:r>
        <w:t xml:space="preserve"> </w:t>
      </w:r>
      <w:r>
        <w:t xml:space="preserve">in their description.</w:t>
      </w:r>
    </w:p>
    <w:bookmarkStart w:id="61" w:name="T_db0be"/>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Sale Enforcement Description</w:t>
            </w:r>
          </w:p>
        </w:tc>
        <w:tc>
          <w:tcPr/>
          <w:p>
            <w:pPr>
              <w:pStyle w:val="Compact"/>
              <w:jc w:val="left"/>
            </w:pPr>
            <w:r>
              <w:t xml:space="preserve">Frequency</w:t>
            </w:r>
          </w:p>
        </w:tc>
      </w:tr>
      <w:tr>
        <w:tc>
          <w:tcPr/>
          <w:p>
            <w:pPr>
              <w:pStyle w:val="Compact"/>
              <w:jc w:val="left"/>
            </w:pPr>
            <w:r>
              <w:t xml:space="preserve">Methamphetamine, Possession For Sale</w:t>
            </w:r>
          </w:p>
        </w:tc>
        <w:tc>
          <w:tcPr/>
          <w:p>
            <w:pPr>
              <w:pStyle w:val="Compact"/>
              <w:jc w:val="left"/>
            </w:pPr>
            <w:r>
              <w:t xml:space="preserve">2,063</w:t>
            </w:r>
          </w:p>
        </w:tc>
      </w:tr>
      <w:tr>
        <w:tc>
          <w:tcPr/>
          <w:p>
            <w:pPr>
              <w:pStyle w:val="Compact"/>
              <w:jc w:val="left"/>
            </w:pPr>
            <w:r>
              <w:t xml:space="preserve">Cocaine, Base/rock, Possession For Sale</w:t>
            </w:r>
          </w:p>
        </w:tc>
        <w:tc>
          <w:tcPr/>
          <w:p>
            <w:pPr>
              <w:pStyle w:val="Compact"/>
              <w:jc w:val="left"/>
            </w:pPr>
            <w:r>
              <w:t xml:space="preserve">1,862</w:t>
            </w:r>
          </w:p>
        </w:tc>
      </w:tr>
      <w:tr>
        <w:tc>
          <w:tcPr/>
          <w:p>
            <w:pPr>
              <w:pStyle w:val="Compact"/>
              <w:jc w:val="left"/>
            </w:pPr>
            <w:r>
              <w:t xml:space="preserve">Heroin, Possession For Sale</w:t>
            </w:r>
          </w:p>
        </w:tc>
        <w:tc>
          <w:tcPr/>
          <w:p>
            <w:pPr>
              <w:pStyle w:val="Compact"/>
              <w:jc w:val="left"/>
            </w:pPr>
            <w:r>
              <w:t xml:space="preserve">1,429</w:t>
            </w:r>
          </w:p>
        </w:tc>
      </w:tr>
      <w:tr>
        <w:tc>
          <w:tcPr/>
          <w:p>
            <w:pPr>
              <w:pStyle w:val="Compact"/>
              <w:jc w:val="left"/>
            </w:pPr>
            <w:r>
              <w:t xml:space="preserve">Opiates, Possession For Sale</w:t>
            </w:r>
          </w:p>
        </w:tc>
        <w:tc>
          <w:tcPr/>
          <w:p>
            <w:pPr>
              <w:pStyle w:val="Compact"/>
              <w:jc w:val="left"/>
            </w:pPr>
            <w:r>
              <w:t xml:space="preserve">898</w:t>
            </w:r>
          </w:p>
        </w:tc>
      </w:tr>
      <w:tr>
        <w:tc>
          <w:tcPr/>
          <w:p>
            <w:pPr>
              <w:pStyle w:val="Compact"/>
              <w:jc w:val="left"/>
            </w:pPr>
            <w:r>
              <w:t xml:space="preserve">Controlled Substance, Possession For Sale</w:t>
            </w:r>
          </w:p>
        </w:tc>
        <w:tc>
          <w:tcPr/>
          <w:p>
            <w:pPr>
              <w:pStyle w:val="Compact"/>
              <w:jc w:val="left"/>
            </w:pPr>
            <w:r>
              <w:t xml:space="preserve">880</w:t>
            </w:r>
          </w:p>
        </w:tc>
      </w:tr>
      <w:tr>
        <w:tc>
          <w:tcPr/>
          <w:p>
            <w:pPr>
              <w:pStyle w:val="Compact"/>
              <w:jc w:val="left"/>
            </w:pPr>
            <w:r>
              <w:t xml:space="preserve">Cocaine, Base/rock, Sale</w:t>
            </w:r>
          </w:p>
        </w:tc>
        <w:tc>
          <w:tcPr/>
          <w:p>
            <w:pPr>
              <w:pStyle w:val="Compact"/>
              <w:jc w:val="left"/>
            </w:pPr>
            <w:r>
              <w:t xml:space="preserve">523</w:t>
            </w:r>
          </w:p>
        </w:tc>
      </w:tr>
      <w:tr>
        <w:tc>
          <w:tcPr/>
          <w:p>
            <w:pPr>
              <w:pStyle w:val="Compact"/>
              <w:jc w:val="left"/>
            </w:pPr>
            <w:r>
              <w:t xml:space="preserve">Cocaine, Possession For Sale</w:t>
            </w:r>
          </w:p>
        </w:tc>
        <w:tc>
          <w:tcPr/>
          <w:p>
            <w:pPr>
              <w:pStyle w:val="Compact"/>
              <w:jc w:val="left"/>
            </w:pPr>
            <w:r>
              <w:t xml:space="preserve">430</w:t>
            </w:r>
          </w:p>
        </w:tc>
      </w:tr>
      <w:tr>
        <w:tc>
          <w:tcPr/>
          <w:p>
            <w:pPr>
              <w:pStyle w:val="Compact"/>
              <w:jc w:val="left"/>
            </w:pPr>
            <w:r>
              <w:t xml:space="preserve">Methamphetamine, Sale</w:t>
            </w:r>
          </w:p>
        </w:tc>
        <w:tc>
          <w:tcPr/>
          <w:p>
            <w:pPr>
              <w:pStyle w:val="Compact"/>
              <w:jc w:val="left"/>
            </w:pPr>
            <w:r>
              <w:t xml:space="preserve">252</w:t>
            </w:r>
          </w:p>
        </w:tc>
      </w:tr>
      <w:tr>
        <w:tc>
          <w:tcPr/>
          <w:p>
            <w:pPr>
              <w:pStyle w:val="Compact"/>
              <w:jc w:val="left"/>
            </w:pPr>
            <w:r>
              <w:t xml:space="preserve">Controlled Substance, Sale</w:t>
            </w:r>
          </w:p>
        </w:tc>
        <w:tc>
          <w:tcPr/>
          <w:p>
            <w:pPr>
              <w:pStyle w:val="Compact"/>
              <w:jc w:val="left"/>
            </w:pPr>
            <w:r>
              <w:t xml:space="preserve">232</w:t>
            </w:r>
          </w:p>
        </w:tc>
      </w:tr>
      <w:tr>
        <w:tc>
          <w:tcPr/>
          <w:p>
            <w:pPr>
              <w:pStyle w:val="Compact"/>
              <w:jc w:val="left"/>
            </w:pPr>
            <w:r>
              <w:t xml:space="preserve">Marijuana, Possession For Sale</w:t>
            </w:r>
          </w:p>
        </w:tc>
        <w:tc>
          <w:tcPr/>
          <w:p>
            <w:pPr>
              <w:pStyle w:val="Compact"/>
              <w:jc w:val="left"/>
            </w:pPr>
            <w:r>
              <w:t xml:space="preserve">182</w:t>
            </w:r>
          </w:p>
        </w:tc>
      </w:tr>
      <w:tr>
        <w:tc>
          <w:tcPr/>
          <w:p>
            <w:pPr>
              <w:pStyle w:val="Compact"/>
              <w:jc w:val="left"/>
            </w:pPr>
            <w:r>
              <w:t xml:space="preserve">Heroin, Sales</w:t>
            </w:r>
          </w:p>
        </w:tc>
        <w:tc>
          <w:tcPr/>
          <w:p>
            <w:pPr>
              <w:pStyle w:val="Compact"/>
              <w:jc w:val="left"/>
            </w:pPr>
            <w:r>
              <w:t xml:space="preserve">133</w:t>
            </w:r>
          </w:p>
        </w:tc>
      </w:tr>
      <w:tr>
        <w:tc>
          <w:tcPr/>
          <w:p>
            <w:pPr>
              <w:pStyle w:val="Compact"/>
              <w:jc w:val="left"/>
            </w:pPr>
            <w:r>
              <w:t xml:space="preserve">Opiates, Sale</w:t>
            </w:r>
          </w:p>
        </w:tc>
        <w:tc>
          <w:tcPr/>
          <w:p>
            <w:pPr>
              <w:pStyle w:val="Compact"/>
              <w:jc w:val="left"/>
            </w:pPr>
            <w:r>
              <w:t xml:space="preserve">108</w:t>
            </w:r>
          </w:p>
        </w:tc>
      </w:tr>
      <w:tr>
        <w:tc>
          <w:tcPr/>
          <w:p>
            <w:pPr>
              <w:pStyle w:val="Compact"/>
              <w:jc w:val="left"/>
            </w:pPr>
            <w:r>
              <w:t xml:space="preserve">Hallucinogenic, Possession For Sale</w:t>
            </w:r>
          </w:p>
        </w:tc>
        <w:tc>
          <w:tcPr/>
          <w:p>
            <w:pPr>
              <w:pStyle w:val="Compact"/>
              <w:jc w:val="left"/>
            </w:pPr>
            <w:r>
              <w:t xml:space="preserve">62</w:t>
            </w:r>
          </w:p>
        </w:tc>
      </w:tr>
      <w:tr>
        <w:tc>
          <w:tcPr/>
          <w:p>
            <w:pPr>
              <w:pStyle w:val="Compact"/>
              <w:jc w:val="left"/>
            </w:pPr>
            <w:r>
              <w:t xml:space="preserve">Hallucinogenic, Sale</w:t>
            </w:r>
          </w:p>
        </w:tc>
        <w:tc>
          <w:tcPr/>
          <w:p>
            <w:pPr>
              <w:pStyle w:val="Compact"/>
              <w:jc w:val="left"/>
            </w:pPr>
            <w:r>
              <w:t xml:space="preserve">45</w:t>
            </w:r>
          </w:p>
        </w:tc>
      </w:tr>
      <w:tr>
        <w:tc>
          <w:tcPr/>
          <w:p>
            <w:pPr>
              <w:pStyle w:val="Compact"/>
              <w:jc w:val="left"/>
            </w:pPr>
            <w:r>
              <w:t xml:space="preserve">Methadone, Possession For Sale</w:t>
            </w:r>
          </w:p>
        </w:tc>
        <w:tc>
          <w:tcPr/>
          <w:p>
            <w:pPr>
              <w:pStyle w:val="Compact"/>
              <w:jc w:val="left"/>
            </w:pPr>
            <w:r>
              <w:t xml:space="preserve">41</w:t>
            </w:r>
          </w:p>
        </w:tc>
      </w:tr>
      <w:tr>
        <w:tc>
          <w:tcPr/>
          <w:p>
            <w:pPr>
              <w:pStyle w:val="Compact"/>
              <w:jc w:val="left"/>
            </w:pPr>
            <w:r>
              <w:t xml:space="preserve">Marijuana, Sales</w:t>
            </w:r>
          </w:p>
        </w:tc>
        <w:tc>
          <w:tcPr/>
          <w:p>
            <w:pPr>
              <w:pStyle w:val="Compact"/>
              <w:jc w:val="left"/>
            </w:pPr>
            <w:r>
              <w:t xml:space="preserve">29</w:t>
            </w:r>
          </w:p>
        </w:tc>
      </w:tr>
      <w:tr>
        <w:tc>
          <w:tcPr/>
          <w:p>
            <w:pPr>
              <w:pStyle w:val="Compact"/>
              <w:jc w:val="left"/>
            </w:pPr>
            <w:r>
              <w:t xml:space="preserve">Cocaine, Sale</w:t>
            </w:r>
          </w:p>
        </w:tc>
        <w:tc>
          <w:tcPr/>
          <w:p>
            <w:pPr>
              <w:pStyle w:val="Compact"/>
              <w:jc w:val="left"/>
            </w:pPr>
            <w:r>
              <w:t xml:space="preserve">18</w:t>
            </w:r>
          </w:p>
        </w:tc>
      </w:tr>
      <w:tr>
        <w:tc>
          <w:tcPr/>
          <w:p>
            <w:pPr>
              <w:pStyle w:val="Compact"/>
              <w:jc w:val="left"/>
            </w:pPr>
            <w:r>
              <w:t xml:space="preserve">Sales of Cocaine Base/Schoolyard Trafficking Act Violation</w:t>
            </w:r>
          </w:p>
        </w:tc>
        <w:tc>
          <w:tcPr/>
          <w:p>
            <w:pPr>
              <w:pStyle w:val="Compact"/>
              <w:jc w:val="left"/>
            </w:pPr>
            <w:r>
              <w:t xml:space="preserve">11</w:t>
            </w:r>
          </w:p>
        </w:tc>
      </w:tr>
      <w:tr>
        <w:tc>
          <w:tcPr/>
          <w:p>
            <w:pPr>
              <w:pStyle w:val="Compact"/>
              <w:jc w:val="left"/>
            </w:pPr>
            <w:r>
              <w:t xml:space="preserve">Opium, Possession For Sale</w:t>
            </w:r>
          </w:p>
        </w:tc>
        <w:tc>
          <w:tcPr/>
          <w:p>
            <w:pPr>
              <w:pStyle w:val="Compact"/>
              <w:jc w:val="left"/>
            </w:pPr>
            <w:r>
              <w:t xml:space="preserve">7</w:t>
            </w:r>
          </w:p>
        </w:tc>
      </w:tr>
      <w:tr>
        <w:tc>
          <w:tcPr/>
          <w:p>
            <w:pPr>
              <w:pStyle w:val="Compact"/>
              <w:jc w:val="left"/>
            </w:pPr>
            <w:r>
              <w:t xml:space="preserve">Amphetamine, Possession For Sale</w:t>
            </w:r>
          </w:p>
        </w:tc>
        <w:tc>
          <w:tcPr/>
          <w:p>
            <w:pPr>
              <w:pStyle w:val="Compact"/>
              <w:jc w:val="left"/>
            </w:pPr>
            <w:r>
              <w:t xml:space="preserve">5</w:t>
            </w:r>
          </w:p>
        </w:tc>
      </w:tr>
      <w:tr>
        <w:tc>
          <w:tcPr/>
          <w:p>
            <w:pPr>
              <w:pStyle w:val="Compact"/>
              <w:jc w:val="left"/>
            </w:pPr>
            <w:r>
              <w:t xml:space="preserve">Opium Derivative, Possession For Sale</w:t>
            </w:r>
          </w:p>
        </w:tc>
        <w:tc>
          <w:tcPr/>
          <w:p>
            <w:pPr>
              <w:pStyle w:val="Compact"/>
              <w:jc w:val="left"/>
            </w:pPr>
            <w:r>
              <w:t xml:space="preserve">3</w:t>
            </w:r>
          </w:p>
        </w:tc>
      </w:tr>
    </w:tbl>
    <w:bookmarkEnd w:id="61"/>
    <w:bookmarkEnd w:id="62"/>
    <w:bookmarkEnd w:id="63"/>
    <w:bookmarkStart w:id="84" w:name="methods-appendix"/>
    <w:p>
      <w:pPr>
        <w:pStyle w:val="Heading3"/>
      </w:pPr>
      <w:r>
        <w:t xml:space="preserve">Methods Appendix</w:t>
      </w:r>
    </w:p>
    <w:p>
      <w:pPr>
        <w:pStyle w:val="FirstParagraph"/>
      </w:pPr>
      <w:r>
        <w:t xml:space="preserve">In this memo, I used the following core statistical test for examining changes in law enforcement activity:</w:t>
      </w:r>
    </w:p>
    <w:p>
      <w:pPr>
        <w:pStyle w:val="BodyText"/>
      </w:pPr>
      <w:bookmarkStart w:id="64" w:name="eq-ols"/>
      <m:oMathPara>
        <m:oMathParaPr>
          <m:jc m:val="center"/>
        </m:oMathParaPr>
        <m:oMath>
          <m:r>
            <m:t>a</m:t>
          </m:r>
          <m:r>
            <m:t>c</m:t>
          </m:r>
          <m:r>
            <m:t>t</m:t>
          </m:r>
          <m:r>
            <m:t>i</m:t>
          </m:r>
          <m:r>
            <m:t>o</m:t>
          </m:r>
          <m:r>
            <m:t>n</m:t>
          </m:r>
          <m:sSub>
            <m:e>
              <m:r>
                <m:t>s</m:t>
              </m:r>
            </m:e>
            <m:sub>
              <m:r>
                <m:t>t</m:t>
              </m:r>
            </m:sub>
          </m:sSub>
          <m:r>
            <m:rPr>
              <m:sty m:val="p"/>
            </m:rPr>
            <m:t>=</m:t>
          </m:r>
          <m:acc>
            <m:accPr>
              <m:chr m:val="̂"/>
            </m:accPr>
            <m:e>
              <m:sSub>
                <m:e>
                  <m:r>
                    <m:t>β</m:t>
                  </m:r>
                </m:e>
                <m:sub>
                  <m:r>
                    <m:t>0</m:t>
                  </m:r>
                </m:sub>
              </m:sSub>
            </m:e>
          </m:acc>
          <m:r>
            <m:rPr>
              <m:sty m:val="p"/>
            </m:rPr>
            <m:t>+</m:t>
          </m:r>
          <m:acc>
            <m:accPr>
              <m:chr m:val="̂"/>
            </m:accPr>
            <m:e>
              <m:sSub>
                <m:e>
                  <m:r>
                    <m:t>β</m:t>
                  </m:r>
                </m:e>
                <m:sub>
                  <m:r>
                    <m:t>1</m:t>
                  </m:r>
                </m:sub>
              </m:sSub>
            </m:e>
          </m:acc>
          <m:r>
            <m:t>p</m:t>
          </m:r>
          <m:r>
            <m:t>o</m:t>
          </m:r>
          <m:r>
            <m:t>s</m:t>
          </m:r>
          <m:sSub>
            <m:e>
              <m:r>
                <m:t>t</m:t>
              </m:r>
            </m:e>
            <m:sub>
              <m:r>
                <m:t>t</m:t>
              </m:r>
            </m:sub>
          </m:sSub>
          <m:r>
            <m:rPr>
              <m:sty m:val="p"/>
            </m:rPr>
            <m:t>+</m:t>
          </m:r>
          <m:sSub>
            <m:e>
              <m:r>
                <m:t>ϵ</m:t>
              </m:r>
            </m:e>
            <m:sub>
              <m:r>
                <m:t>t</m:t>
              </m:r>
            </m:sub>
          </m:sSub>
          <m:r>
            <m:t>  </m:t>
          </m:r>
          <m:d>
            <m:dPr>
              <m:begChr m:val="("/>
              <m:endChr m:val=")"/>
              <m:sepChr m:val=""/>
              <m:grow/>
            </m:dPr>
            <m:e>
              <m:r>
                <m:t>1</m:t>
              </m:r>
            </m:e>
          </m:d>
        </m:oMath>
      </m:oMathPara>
      <w:bookmarkEnd w:id="64"/>
    </w:p>
    <w:p>
      <w:pPr>
        <w:pStyle w:val="FirstParagraph"/>
      </w:pPr>
      <w:r>
        <w:t xml:space="preserve">The estimate of interest is</w:t>
      </w:r>
      <w:r>
        <w:t xml:space="preserve"> </w:t>
      </w:r>
      <m:oMath>
        <m:acc>
          <m:accPr>
            <m:chr m:val="̂"/>
          </m:accPr>
          <m:e>
            <m:sSub>
              <m:e>
                <m:r>
                  <m:t>β</m:t>
                </m:r>
              </m:e>
              <m:sub>
                <m:r>
                  <m:t>1</m:t>
                </m:r>
              </m:sub>
            </m:sSub>
          </m:e>
        </m:acc>
      </m:oMath>
      <w:r>
        <w:t xml:space="preserve">, which represents the average increase in weekly enforcement actions in the post-pandemic, 2022-2024, relative to the pre-pandemic, 2018-2020.</w:t>
      </w:r>
      <w:r>
        <w:t xml:space="preserve"> </w:t>
      </w:r>
      <m:oMath>
        <m:acc>
          <m:accPr>
            <m:chr m:val="̂"/>
          </m:accPr>
          <m:e>
            <m:sSub>
              <m:e>
                <m:r>
                  <m:t>β</m:t>
                </m:r>
              </m:e>
              <m:sub>
                <m:r>
                  <m:t>0</m:t>
                </m:r>
              </m:sub>
            </m:sSub>
          </m:e>
        </m:acc>
      </m:oMath>
      <w:r>
        <w:t xml:space="preserve"> </w:t>
      </w:r>
      <w:r>
        <w:t xml:space="preserve">is the average of weekly enforcement actions in the pre-pandemic and</w:t>
      </w:r>
      <w:r>
        <w:t xml:space="preserve"> </w:t>
      </w:r>
      <m:oMath>
        <m:acc>
          <m:accPr>
            <m:chr m:val="̂"/>
          </m:accPr>
          <m:e>
            <m:sSub>
              <m:e>
                <m:r>
                  <m:t>β</m:t>
                </m:r>
              </m:e>
              <m:sub>
                <m:r>
                  <m:t>0</m:t>
                </m:r>
              </m:sub>
            </m:sSub>
          </m:e>
        </m:acc>
        <m:r>
          <m:rPr>
            <m:sty m:val="p"/>
          </m:rPr>
          <m:t>+</m:t>
        </m:r>
        <m:acc>
          <m:accPr>
            <m:chr m:val="̂"/>
          </m:accPr>
          <m:e>
            <m:sSub>
              <m:e>
                <m:r>
                  <m:t>β</m:t>
                </m:r>
              </m:e>
              <m:sub>
                <m:r>
                  <m:t>1</m:t>
                </m:r>
              </m:sub>
            </m:sSub>
          </m:e>
        </m:acc>
      </m:oMath>
      <w:r>
        <w:t xml:space="preserve"> </w:t>
      </w:r>
      <w:r>
        <w:t xml:space="preserve">is the average of weekly enforcement actions in the post-pandemic. I test the hypothesis that the average of weekly enforcement actions in the post-pandemic was different from the average of weekly enforcement actions in the pre-pandemic:</w:t>
      </w:r>
    </w:p>
    <w:p>
      <w:pPr>
        <w:pStyle w:val="BodyText"/>
      </w:pPr>
      <w:bookmarkStart w:id="65" w:name="eq-h"/>
      <m:oMathPara>
        <m:oMathParaPr>
          <m:jc m:val="center"/>
        </m:oMathParaPr>
        <m:oMath>
          <m:sSub>
            <m:e>
              <m:r>
                <m:t>H</m:t>
              </m:r>
            </m:e>
            <m:sub>
              <m:r>
                <m:t>0</m:t>
              </m:r>
            </m:sub>
          </m:sSub>
          <m:r>
            <m:rPr>
              <m:sty m:val="p"/>
            </m:rPr>
            <m:t>:</m:t>
          </m:r>
          <m:sSub>
            <m:e>
              <m:r>
                <m:t>β</m:t>
              </m:r>
            </m:e>
            <m:sub>
              <m:r>
                <m:t>1</m:t>
              </m:r>
            </m:sub>
          </m:sSub>
          <m:r>
            <m:rPr>
              <m:sty m:val="p"/>
            </m:rPr>
            <m:t>=</m:t>
          </m:r>
          <m:r>
            <m:t>0</m:t>
          </m:r>
          <m:r>
            <m:rPr>
              <m:sty m:val="p"/>
            </m:rPr>
            <m:t>,</m:t>
          </m:r>
          <m:r>
            <m:t> </m:t>
          </m:r>
          <m:sSub>
            <m:e>
              <m:r>
                <m:t>H</m:t>
              </m:r>
            </m:e>
            <m:sub>
              <m:r>
                <m:t>1</m:t>
              </m:r>
            </m:sub>
          </m:sSub>
          <m:r>
            <m:rPr>
              <m:sty m:val="p"/>
            </m:rPr>
            <m:t>:</m:t>
          </m:r>
          <m:sSub>
            <m:e>
              <m:r>
                <m:t>β</m:t>
              </m:r>
            </m:e>
            <m:sub>
              <m:r>
                <m:t>1</m:t>
              </m:r>
            </m:sub>
          </m:sSub>
          <m:r>
            <m:rPr>
              <m:sty m:val="p"/>
            </m:rPr>
            <m:t>≠</m:t>
          </m:r>
          <m:r>
            <m:t>0</m:t>
          </m:r>
          <m:r>
            <m:t>  </m:t>
          </m:r>
          <m:d>
            <m:dPr>
              <m:begChr m:val="("/>
              <m:endChr m:val=")"/>
              <m:sepChr m:val=""/>
              <m:grow/>
            </m:dPr>
            <m:e>
              <m:r>
                <m:t>2</m:t>
              </m:r>
            </m:e>
          </m:d>
        </m:oMath>
      </m:oMathPara>
      <w:bookmarkEnd w:id="65"/>
    </w:p>
    <w:p>
      <w:pPr>
        <w:pStyle w:val="FirstParagraph"/>
      </w:pPr>
      <w:r>
        <w:t xml:space="preserve">I repeat the estimation of</w:t>
      </w:r>
      <w:r>
        <w:t xml:space="preserve"> </w:t>
      </w:r>
      <w:hyperlink w:anchor="eq-ols">
        <w:r>
          <w:rPr>
            <w:rStyle w:val="Hyperlink"/>
          </w:rPr>
          <w:t xml:space="preserve">Equation 1</w:t>
        </w:r>
      </w:hyperlink>
      <w:r>
        <w:t xml:space="preserve"> </w:t>
      </w:r>
      <w:r>
        <w:t xml:space="preserve">and test</w:t>
      </w:r>
      <w:r>
        <w:t xml:space="preserve"> </w:t>
      </w:r>
      <w:hyperlink w:anchor="eq-h">
        <w:r>
          <w:rPr>
            <w:rStyle w:val="Hyperlink"/>
          </w:rPr>
          <w:t xml:space="preserve">Equation 2</w:t>
        </w:r>
      </w:hyperlink>
      <w:r>
        <w:t xml:space="preserve"> </w:t>
      </w:r>
      <w:r>
        <w:t xml:space="preserve">for each arrest type, a total of 9 times, once at the city-level, and once in the greater Tenderloin. I obtain the standard errors presented in the memo via a block bootstrap procedure, with weeks clustered into four-unit groups to address autocorrelation in the week-level time series.</w:t>
      </w:r>
    </w:p>
    <w:p>
      <w:pPr>
        <w:pStyle w:val="BodyText"/>
      </w:pPr>
      <w:r>
        <w:t xml:space="preserve">Repeated hypothesis testing introduces the issue of</w:t>
      </w:r>
      <w:r>
        <w:t xml:space="preserve"> </w:t>
      </w:r>
      <w:r>
        <w:rPr>
          <w:i/>
          <w:iCs/>
        </w:rPr>
        <w:t xml:space="preserve">multiple testing</w:t>
      </w:r>
      <w:r>
        <w:t xml:space="preserve">, where every additional test we conduct raises the probability that we made a false discovery of change</w:t>
      </w:r>
      <w:r>
        <w:t xml:space="preserve"> </w:t>
      </w:r>
      <w:r>
        <w:t xml:space="preserve">(James et al. 2021, chap 13)</w:t>
      </w:r>
      <w:r>
        <w:t xml:space="preserve">. To adjust for multiple testing, I apply a Bonferroni correction to the hypothesis tests. Specifically, for a 95% confidence interval, where one would typically test with a threshold for the probability of a false positive,</w:t>
      </w:r>
      <w:r>
        <w:t xml:space="preserve"> </w:t>
      </w:r>
      <m:oMath>
        <m:r>
          <m:t>α</m:t>
        </m:r>
        <m:r>
          <m:rPr>
            <m:sty m:val="p"/>
          </m:rPr>
          <m:t>=</m:t>
        </m:r>
        <m:r>
          <m:t>.05</m:t>
        </m:r>
      </m:oMath>
      <w:r>
        <w:t xml:space="preserve">,</w:t>
      </w:r>
      <w:r>
        <w:rPr>
          <w:rStyle w:val="FootnoteReference"/>
        </w:rPr>
        <w:footnoteReference w:id="66"/>
      </w:r>
      <w:r>
        <w:t xml:space="preserve"> </w:t>
      </w:r>
      <w:r>
        <w:t xml:space="preserve">the Bonferroni correction instead tests with</w:t>
      </w:r>
      <w:r>
        <w:t xml:space="preserve"> </w:t>
      </w:r>
      <m:oMath>
        <m:r>
          <m:t>α</m:t>
        </m:r>
        <m:r>
          <m:rPr>
            <m:sty m:val="p"/>
          </m:rPr>
          <m:t>=</m:t>
        </m:r>
        <m:r>
          <m:t>.05</m:t>
        </m:r>
        <m:r>
          <m:rPr>
            <m:sty m:val="p"/>
          </m:rPr>
          <m:t>/</m:t>
        </m:r>
        <m:r>
          <m:t>m</m:t>
        </m:r>
      </m:oMath>
      <w:r>
        <w:t xml:space="preserve">, where</w:t>
      </w:r>
      <w:r>
        <w:t xml:space="preserve"> </w:t>
      </w:r>
      <m:oMath>
        <m:r>
          <m:t>m</m:t>
        </m:r>
      </m:oMath>
      <w:r>
        <w:t xml:space="preserve"> </w:t>
      </w:r>
      <w:r>
        <w:t xml:space="preserve">is the number of hypotheses being tested</w:t>
      </w:r>
      <w:r>
        <w:t xml:space="preserve"> </w:t>
      </w:r>
      <w:r>
        <w:t xml:space="preserve">(James et al. 2021, chap 13)</w:t>
      </w:r>
      <w:r>
        <w:t xml:space="preserve">. In this case,</w:t>
      </w:r>
      <w:r>
        <w:t xml:space="preserve"> </w:t>
      </w:r>
      <m:oMath>
        <m:r>
          <m:t>m</m:t>
        </m:r>
        <m:r>
          <m:rPr>
            <m:sty m:val="p"/>
          </m:rPr>
          <m:t>=</m:t>
        </m:r>
      </m:oMath>
      <w:r>
        <w:t xml:space="preserve"> </w:t>
      </w:r>
      <w:r>
        <w:t xml:space="preserve">9, implying a threshold</w:t>
      </w:r>
      <w:r>
        <w:t xml:space="preserve"> </w:t>
      </w:r>
      <m:oMath>
        <m:r>
          <m:t>.05</m:t>
        </m:r>
        <m:r>
          <m:rPr>
            <m:sty m:val="p"/>
          </m:rPr>
          <m:t>/</m:t>
        </m:r>
      </m:oMath>
      <w:r>
        <w:t xml:space="preserve"> </w:t>
      </w:r>
      <w:r>
        <w:t xml:space="preserve">9</w:t>
      </w:r>
      <w:r>
        <w:t xml:space="preserve"> </w:t>
      </w:r>
      <m:oMath>
        <m:r>
          <m:rPr>
            <m:sty m:val="p"/>
          </m:rPr>
          <m:t>=</m:t>
        </m:r>
      </m:oMath>
      <w:r>
        <w:t xml:space="preserve"> </w:t>
      </w:r>
      <w:r>
        <w:t xml:space="preserve">0.0056 and confidence intervals that cover 99.44%.</w:t>
      </w:r>
    </w:p>
    <w:bookmarkStart w:id="70" w:name="robustness-checks"/>
    <w:p>
      <w:pPr>
        <w:pStyle w:val="Heading4"/>
      </w:pPr>
      <w:r>
        <w:t xml:space="preserve">Robustness checks</w:t>
      </w:r>
    </w:p>
    <w:p>
      <w:pPr>
        <w:pStyle w:val="FirstParagraph"/>
      </w:pPr>
      <w:r>
        <w:t xml:space="preserve">One potential issue with the modeling approach is that the Bonferroni correction can be overly conservative when the amount of hypotheses being tested is very large or sample sizes are very small. However, in this setting, where only 9 related hypotheses are being tested and the week-level time series is not especially small at</w:t>
      </w:r>
      <w:r>
        <w:t xml:space="preserve"> </w:t>
      </w:r>
      <m:oMath>
        <m:r>
          <m:t>n</m:t>
        </m:r>
        <m:r>
          <m:rPr>
            <m:sty m:val="p"/>
          </m:rPr>
          <m:t>=</m:t>
        </m:r>
      </m:oMath>
      <w:r>
        <w:t xml:space="preserve"> </w:t>
      </w:r>
      <w:r>
        <w:t xml:space="preserve">313, the Bonferroni correction can still be an appropriate adjustment</w:t>
      </w:r>
      <w:r>
        <w:t xml:space="preserve"> </w:t>
      </w:r>
      <w:r>
        <w:t xml:space="preserve">(VanderWeele and Mathur 2019)</w:t>
      </w:r>
      <w:r>
        <w:t xml:space="preserve">. Regardless, to test if the conservatism of the correction meaningfully changes the results of the policy analysis, I fit models with and without it.</w:t>
      </w:r>
    </w:p>
    <w:p>
      <w:pPr>
        <w:pStyle w:val="BodyText"/>
      </w:pPr>
      <w:r>
        <w:t xml:space="preserve">I also conduct robustness checks on the standard error specification. In the memo, I present the block-bootstrap standard errors because they rely on minimal assumptions about the structure of the data. However, I present results from two alternatives – Newey-West standard errors, and ordinary least squares (OLS) standard errors – to test robustness of the findings.</w:t>
      </w:r>
    </w:p>
    <w:p>
      <w:pPr>
        <w:pStyle w:val="BodyText"/>
      </w:pPr>
      <w:r>
        <w:t xml:space="preserve">Each of these specifications are theoretically inferior to the block-bootstrap approach, but the use of mis-specified OLS is so common in practice as to merit inclusion.</w:t>
      </w:r>
      <w:r>
        <w:t xml:space="preserve"> </w:t>
      </w:r>
      <w:hyperlink w:anchor="eq-ols">
        <w:r>
          <w:rPr>
            <w:rStyle w:val="Hyperlink"/>
          </w:rPr>
          <w:t xml:space="preserve">Equation 1</w:t>
        </w:r>
      </w:hyperlink>
      <w:r>
        <w:t xml:space="preserve">, when estimated using ordinary least squares (OLS), produces standard errors valid under the following assumptions:</w:t>
      </w:r>
    </w:p>
    <w:p>
      <w:pPr>
        <w:pStyle w:val="Compact"/>
        <w:numPr>
          <w:ilvl w:val="0"/>
          <w:numId w:val="1002"/>
        </w:numPr>
      </w:pPr>
      <w:r>
        <w:t xml:space="preserve">The error term is normally distributed with constant variance and mean zero:</w:t>
      </w:r>
      <w:r>
        <w:t xml:space="preserve"> </w:t>
      </w:r>
      <m:oMath>
        <m:r>
          <m:t>ϵ</m:t>
        </m:r>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Compact"/>
        <w:numPr>
          <w:ilvl w:val="0"/>
          <w:numId w:val="1002"/>
        </w:numPr>
      </w:pPr>
      <w:r>
        <w:t xml:space="preserve">Weekly arrests are continuous and distributed normally:</w:t>
      </w:r>
      <w:r>
        <w:t xml:space="preserve"> </w:t>
      </w:r>
      <m:oMath>
        <m:r>
          <m:t>a</m:t>
        </m:r>
        <m:r>
          <m:t>c</m:t>
        </m:r>
        <m:r>
          <m:t>t</m:t>
        </m:r>
        <m:r>
          <m:t>i</m:t>
        </m:r>
        <m:r>
          <m:t>o</m:t>
        </m:r>
        <m:r>
          <m:t>n</m:t>
        </m:r>
        <m:r>
          <m:t>s</m:t>
        </m:r>
        <m:r>
          <m:rPr>
            <m:sty m:val="p"/>
          </m:rPr>
          <m:t>∈</m:t>
        </m:r>
        <m:r>
          <m:rPr>
            <m:sty m:val="p"/>
            <m:scr m:val="double-struck"/>
          </m:rPr>
          <m:t>R</m:t>
        </m:r>
      </m:oMath>
      <w:r>
        <w:t xml:space="preserve"> </w:t>
      </w:r>
      <w:r>
        <w:t xml:space="preserve">and</w:t>
      </w:r>
      <w:r>
        <w:t xml:space="preserve"> </w:t>
      </w:r>
      <m:oMath>
        <m:r>
          <m:t>a</m:t>
        </m:r>
        <m:r>
          <m:t>c</m:t>
        </m:r>
        <m:r>
          <m:t>t</m:t>
        </m:r>
        <m:r>
          <m:t>i</m:t>
        </m:r>
        <m:r>
          <m:t>o</m:t>
        </m:r>
        <m:r>
          <m:t>n</m:t>
        </m:r>
        <m:r>
          <m:t>s</m:t>
        </m:r>
        <m:r>
          <m:rPr>
            <m:sty m:val="p"/>
          </m:rPr>
          <m:t>∼</m:t>
        </m:r>
        <m:r>
          <m:rPr>
            <m:sty m:val="p"/>
            <m:scr m:val="script"/>
          </m:rPr>
          <m:t>N</m:t>
        </m:r>
        <m:d>
          <m:dPr>
            <m:begChr m:val="("/>
            <m:endChr m:val=")"/>
            <m:sepChr m:val=""/>
            <m:grow/>
          </m:dPr>
          <m:e>
            <m:r>
              <m:t>μ</m:t>
            </m:r>
            <m:r>
              <m:rPr>
                <m:sty m:val="p"/>
              </m:rPr>
              <m:t>,</m:t>
            </m:r>
            <m:sSup>
              <m:e>
                <m:r>
                  <m:t>σ</m:t>
                </m:r>
              </m:e>
              <m:sup>
                <m:r>
                  <m:t>2</m:t>
                </m:r>
              </m:sup>
            </m:sSup>
          </m:e>
        </m:d>
      </m:oMath>
    </w:p>
    <w:p>
      <w:pPr>
        <w:pStyle w:val="FirstParagraph"/>
      </w:pPr>
      <w:r>
        <w:t xml:space="preserve">In the context of weekly enforcement action totals, which are a time-series that exhibit autocorrelation, the first assumption of constant variance may be problematic. Both Newey-West estimation and the block bootstrap are robust to this issue. Enforcement action count data, which are typically small, positive integers, don’t conform to the structure set forth in the second assumption. The block bootstrap is the only specification present that is robust to this issue. Thus, the bootstrap should be the best approach under the circumstances.</w:t>
      </w:r>
    </w:p>
    <w:bookmarkStart w:id="69" w:name="results"/>
    <w:p>
      <w:pPr>
        <w:pStyle w:val="Heading5"/>
      </w:pPr>
      <w:r>
        <w:t xml:space="preserve">Results</w:t>
      </w:r>
    </w:p>
    <w:p>
      <w:pPr>
        <w:pStyle w:val="FirstParagraph"/>
      </w:pPr>
      <w:hyperlink w:anchor="tbl-robust-city">
        <w:r>
          <w:rPr>
            <w:rStyle w:val="Hyperlink"/>
          </w:rPr>
          <w:t xml:space="preserve">Table 2</w:t>
        </w:r>
      </w:hyperlink>
      <w:r>
        <w:t xml:space="preserve"> </w:t>
      </w:r>
      <w:r>
        <w:t xml:space="preserve">shows that changing testing specifications has no impact on any statistical or policy conclusions made at the City-level in the memo.</w:t>
      </w:r>
    </w:p>
    <w:p>
      <w:pPr>
        <w:pStyle w:val="BodyText"/>
      </w:pPr>
      <w:hyperlink w:anchor="tbl-robust-tl">
        <w:r>
          <w:rPr>
            <w:rStyle w:val="Hyperlink"/>
          </w:rPr>
          <w:t xml:space="preserve">Table 3</w:t>
        </w:r>
      </w:hyperlink>
      <w:r>
        <w:t xml:space="preserve"> </w:t>
      </w:r>
      <w:r>
        <w:t xml:space="preserve">shows that testing specification does not affect core conclusions about drug sale enforcement in the greater Tenderloin. However, specification does affect the conclusion presented in the memo that larceny theft, robbery, traffic and drug use enforcement actions did not change in the greater Tenderloin in the post-pandemic. Much of this is due to the fact that OLS becomes an increasingly tenuous approach in the Tenderloin, where weekly enforcement action counts are often small and clustered near 0, a clear challenge to OLS modeling assumptions.</w:t>
      </w:r>
    </w:p>
    <w:p>
      <w:pPr>
        <w:pStyle w:val="Compact"/>
        <w:numPr>
          <w:ilvl w:val="0"/>
          <w:numId w:val="1003"/>
        </w:numPr>
      </w:pPr>
      <w:r>
        <w:t xml:space="preserve">Drug use: using OLS with no Bonferroni correction yields a statistically significant increase in drug use enforcement actions. This is a mis-specified test that does not take into account the structure of the data or possible multiple testing issues. All other tests concluded that there was no statistically significant change. Still, the effect is not trivially small, so I temper my conclusion that this enforcement action class did not increase and encourage further research into this arrest type in particular.</w:t>
      </w:r>
      <w:r>
        <w:br/>
      </w:r>
    </w:p>
    <w:p>
      <w:pPr>
        <w:pStyle w:val="Compact"/>
        <w:numPr>
          <w:ilvl w:val="0"/>
          <w:numId w:val="1003"/>
        </w:numPr>
      </w:pPr>
      <w:r>
        <w:t xml:space="preserve">Larceny theft: similarly, using OLS with no Bonferroni correction yields a statistically significant estimate, while all other tests conclude there was no change. In this case, the change is also practically negligible (less than one arrest a week). In the memo , I report no change in larceny theft enforcement actions in the greater Tenderloin.</w:t>
      </w:r>
    </w:p>
    <w:p>
      <w:pPr>
        <w:pStyle w:val="Compact"/>
        <w:numPr>
          <w:ilvl w:val="0"/>
          <w:numId w:val="1003"/>
        </w:numPr>
      </w:pPr>
      <w:r>
        <w:t xml:space="preserve">Robbery: every specification that does not utilize the Bonferroni correction yields a small, statistically significant decrease, and every specification with the correction yields no change. In this case, a next step would be using a less conservative correction for multiple testing</w:t>
      </w:r>
      <w:r>
        <w:t xml:space="preserve"> </w:t>
      </w:r>
      <w:r>
        <w:t xml:space="preserve">(James et al. 2021, chap 13)</w:t>
      </w:r>
      <w:r>
        <w:t xml:space="preserve">. However, given that the effect size is particularly small, I defer to the core specification and report no change in the memo.</w:t>
      </w:r>
    </w:p>
    <w:p>
      <w:pPr>
        <w:pStyle w:val="Compact"/>
        <w:numPr>
          <w:ilvl w:val="0"/>
          <w:numId w:val="1003"/>
        </w:numPr>
      </w:pPr>
      <w:r>
        <w:t xml:space="preserve">Traffic: tests present a mixed bag and a practically negligible effect size. In the memo I defer to conclusions of the core bootstrap specification.</w:t>
      </w:r>
    </w:p>
    <w:tbl>
      <w:tblPr>
        <w:tblStyle w:val="Table"/>
        <w:tblW w:type="pct" w:w="5000"/>
        <w:tblLayout w:type="fixed"/>
        <w:tblLook w:firstRow="0" w:lastRow="0" w:firstColumn="0" w:lastColumn="0" w:noHBand="0" w:noVBand="0" w:val="0000"/>
      </w:tblPr>
      <w:tblGrid>
        <w:gridCol w:w="7920"/>
      </w:tblGrid>
      <w:tr>
        <w:tc>
          <w:tcPr/>
          <w:bookmarkStart w:id="67" w:name="tbl-robust-city"/>
          <w:p>
            <w:pPr>
              <w:jc w:val="center"/>
            </w:pPr>
            <w:pPr>
              <w:jc w:val="start"/>
              <w:spacing w:before="200"/>
              <w:pStyle w:val="ImageCaption"/>
            </w:pPr>
            <w:r>
              <w:t xml:space="preserve">Table 2: Full City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-7.876190</w:t>
                  </w:r>
                </w:p>
              </w:tc>
              <w:tc>
                <w:tcPr/>
                <w:p>
                  <w:pPr>
                    <w:pStyle w:val="Compact"/>
                    <w:jc w:val="left"/>
                    <w:jc w:val="center"/>
                  </w:pPr>
                  <w:r>
                    <w:t xml:space="preserve">-10.182692</w:t>
                  </w:r>
                </w:p>
              </w:tc>
              <w:tc>
                <w:tcPr/>
                <w:p>
                  <w:pPr>
                    <w:pStyle w:val="Compact"/>
                    <w:jc w:val="left"/>
                    <w:jc w:val="center"/>
                  </w:pPr>
                  <w:r>
                    <w:t xml:space="preserve">-5.634615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-7.876190</w:t>
                  </w:r>
                </w:p>
              </w:tc>
              <w:tc>
                <w:tcPr/>
                <w:p>
                  <w:pPr>
                    <w:pStyle w:val="Compact"/>
                    <w:jc w:val="left"/>
                    <w:jc w:val="center"/>
                  </w:pPr>
                  <w:r>
                    <w:t xml:space="preserve">-9.509615</w:t>
                  </w:r>
                </w:p>
              </w:tc>
              <w:tc>
                <w:tcPr/>
                <w:p>
                  <w:pPr>
                    <w:pStyle w:val="Compact"/>
                    <w:jc w:val="left"/>
                    <w:jc w:val="center"/>
                  </w:pPr>
                  <w:r>
                    <w:t xml:space="preserve">-6.259615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-7.876200</w:t>
                  </w:r>
                </w:p>
              </w:tc>
              <w:tc>
                <w:tcPr/>
                <w:p>
                  <w:pPr>
                    <w:pStyle w:val="Compact"/>
                    <w:jc w:val="left"/>
                    <w:jc w:val="center"/>
                  </w:pPr>
                  <w:r>
                    <w:t xml:space="preserve">-11.169000</w:t>
                  </w:r>
                </w:p>
              </w:tc>
              <w:tc>
                <w:tcPr/>
                <w:p>
                  <w:pPr>
                    <w:pStyle w:val="Compact"/>
                    <w:jc w:val="left"/>
                    <w:jc w:val="center"/>
                  </w:pPr>
                  <w:r>
                    <w:t xml:space="preserve">-4.584000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-7.876200</w:t>
                  </w:r>
                </w:p>
              </w:tc>
              <w:tc>
                <w:tcPr/>
                <w:p>
                  <w:pPr>
                    <w:pStyle w:val="Compact"/>
                    <w:jc w:val="left"/>
                    <w:jc w:val="center"/>
                  </w:pPr>
                  <w:r>
                    <w:t xml:space="preserve">-10.193000</w:t>
                  </w:r>
                </w:p>
              </w:tc>
              <w:tc>
                <w:tcPr/>
                <w:p>
                  <w:pPr>
                    <w:pStyle w:val="Compact"/>
                    <w:jc w:val="left"/>
                    <w:jc w:val="center"/>
                  </w:pPr>
                  <w:r>
                    <w:t xml:space="preserve">-5.560000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-7.876200</w:t>
                  </w:r>
                </w:p>
              </w:tc>
              <w:tc>
                <w:tcPr/>
                <w:p>
                  <w:pPr>
                    <w:pStyle w:val="Compact"/>
                    <w:jc w:val="left"/>
                    <w:jc w:val="center"/>
                  </w:pPr>
                  <w:r>
                    <w:t xml:space="preserve">-10.985000</w:t>
                  </w:r>
                </w:p>
              </w:tc>
              <w:tc>
                <w:tcPr/>
                <w:p>
                  <w:pPr>
                    <w:pStyle w:val="Compact"/>
                    <w:jc w:val="left"/>
                    <w:jc w:val="center"/>
                  </w:pPr>
                  <w:r>
                    <w:t xml:space="preserve">-4.768000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-7.876200</w:t>
                  </w:r>
                </w:p>
              </w:tc>
              <w:tc>
                <w:tcPr/>
                <w:p>
                  <w:pPr>
                    <w:pStyle w:val="Compact"/>
                    <w:jc w:val="left"/>
                    <w:jc w:val="center"/>
                  </w:pPr>
                  <w:r>
                    <w:t xml:space="preserve">-10.063000</w:t>
                  </w:r>
                </w:p>
              </w:tc>
              <w:tc>
                <w:tcPr/>
                <w:p>
                  <w:pPr>
                    <w:pStyle w:val="Compact"/>
                    <w:jc w:val="left"/>
                    <w:jc w:val="center"/>
                  </w:pPr>
                  <w:r>
                    <w:t xml:space="preserve">-5.689000</w:t>
                  </w:r>
                </w:p>
              </w:tc>
              <w:tc>
                <w:tcPr/>
                <w:p>
                  <w:pPr>
                    <w:pStyle w:val="Compact"/>
                    <w:jc w:val="left"/>
                    <w:jc w:val="center"/>
                  </w:pPr>
                  <w:r>
                    <w:t xml:space="preserve">True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-0.523810</w:t>
                  </w:r>
                </w:p>
              </w:tc>
              <w:tc>
                <w:tcPr/>
                <w:p>
                  <w:pPr>
                    <w:pStyle w:val="Compact"/>
                    <w:jc w:val="left"/>
                    <w:jc w:val="center"/>
                  </w:pPr>
                  <w:r>
                    <w:t xml:space="preserve">-1.540625</w:t>
                  </w:r>
                </w:p>
              </w:tc>
              <w:tc>
                <w:tcPr/>
                <w:p>
                  <w:pPr>
                    <w:pStyle w:val="Compact"/>
                    <w:jc w:val="left"/>
                    <w:jc w:val="center"/>
                  </w:pPr>
                  <w:r>
                    <w:t xml:space="preserve">0.569471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-0.523810</w:t>
                  </w:r>
                </w:p>
              </w:tc>
              <w:tc>
                <w:tcPr/>
                <w:p>
                  <w:pPr>
                    <w:pStyle w:val="Compact"/>
                    <w:jc w:val="left"/>
                    <w:jc w:val="center"/>
                  </w:pPr>
                  <w:r>
                    <w:t xml:space="preserve">-1.250000</w:t>
                  </w:r>
                </w:p>
              </w:tc>
              <w:tc>
                <w:tcPr/>
                <w:p>
                  <w:pPr>
                    <w:pStyle w:val="Compact"/>
                    <w:jc w:val="left"/>
                    <w:jc w:val="center"/>
                  </w:pPr>
                  <w:r>
                    <w:t xml:space="preserve">0.288462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-0.523800</w:t>
                  </w:r>
                </w:p>
              </w:tc>
              <w:tc>
                <w:tcPr/>
                <w:p>
                  <w:pPr>
                    <w:pStyle w:val="Compact"/>
                    <w:jc w:val="left"/>
                    <w:jc w:val="center"/>
                  </w:pPr>
                  <w:r>
                    <w:t xml:space="preserve">-1.652000</w:t>
                  </w:r>
                </w:p>
              </w:tc>
              <w:tc>
                <w:tcPr/>
                <w:p>
                  <w:pPr>
                    <w:pStyle w:val="Compact"/>
                    <w:jc w:val="left"/>
                    <w:jc w:val="center"/>
                  </w:pPr>
                  <w:r>
                    <w:t xml:space="preserve">0.604000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-0.523800</w:t>
                  </w:r>
                </w:p>
              </w:tc>
              <w:tc>
                <w:tcPr/>
                <w:p>
                  <w:pPr>
                    <w:pStyle w:val="Compact"/>
                    <w:jc w:val="left"/>
                    <w:jc w:val="center"/>
                  </w:pPr>
                  <w:r>
                    <w:t xml:space="preserve">-1.317000</w:t>
                  </w:r>
                </w:p>
              </w:tc>
              <w:tc>
                <w:tcPr/>
                <w:p>
                  <w:pPr>
                    <w:pStyle w:val="Compact"/>
                    <w:jc w:val="left"/>
                    <w:jc w:val="center"/>
                  </w:pPr>
                  <w:r>
                    <w:t xml:space="preserve">0.270000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-0.523800</w:t>
                  </w:r>
                </w:p>
              </w:tc>
              <w:tc>
                <w:tcPr/>
                <w:p>
                  <w:pPr>
                    <w:pStyle w:val="Compact"/>
                    <w:jc w:val="left"/>
                    <w:jc w:val="center"/>
                  </w:pPr>
                  <w:r>
                    <w:t xml:space="preserve">-1.708000</w:t>
                  </w:r>
                </w:p>
              </w:tc>
              <w:tc>
                <w:tcPr/>
                <w:p>
                  <w:pPr>
                    <w:pStyle w:val="Compact"/>
                    <w:jc w:val="left"/>
                    <w:jc w:val="center"/>
                  </w:pPr>
                  <w:r>
                    <w:t xml:space="preserve">0.661000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-0.523800</w:t>
                  </w:r>
                </w:p>
              </w:tc>
              <w:tc>
                <w:tcPr/>
                <w:p>
                  <w:pPr>
                    <w:pStyle w:val="Compact"/>
                    <w:jc w:val="left"/>
                    <w:jc w:val="center"/>
                  </w:pPr>
                  <w:r>
                    <w:t xml:space="preserve">-1.357000</w:t>
                  </w:r>
                </w:p>
              </w:tc>
              <w:tc>
                <w:tcPr/>
                <w:p>
                  <w:pPr>
                    <w:pStyle w:val="Compact"/>
                    <w:jc w:val="left"/>
                    <w:jc w:val="center"/>
                  </w:pPr>
                  <w:r>
                    <w:t xml:space="preserve">0.310000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-10.041827</w:t>
                  </w:r>
                </w:p>
              </w:tc>
              <w:tc>
                <w:tcPr/>
                <w:p>
                  <w:pPr>
                    <w:pStyle w:val="Compact"/>
                    <w:jc w:val="left"/>
                    <w:jc w:val="center"/>
                  </w:pPr>
                  <w:r>
                    <w:t xml:space="preserve">4.506490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-8.115625</w:t>
                  </w:r>
                </w:p>
              </w:tc>
              <w:tc>
                <w:tcPr/>
                <w:p>
                  <w:pPr>
                    <w:pStyle w:val="Compact"/>
                    <w:jc w:val="left"/>
                    <w:jc w:val="center"/>
                  </w:pPr>
                  <w:r>
                    <w:t xml:space="preserve">2.307692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-10.623000</w:t>
                  </w:r>
                </w:p>
              </w:tc>
              <w:tc>
                <w:tcPr/>
                <w:p>
                  <w:pPr>
                    <w:pStyle w:val="Compact"/>
                    <w:jc w:val="left"/>
                    <w:jc w:val="center"/>
                  </w:pPr>
                  <w:r>
                    <w:t xml:space="preserve">4.490000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-8.383000</w:t>
                  </w:r>
                </w:p>
              </w:tc>
              <w:tc>
                <w:tcPr/>
                <w:p>
                  <w:pPr>
                    <w:pStyle w:val="Compact"/>
                    <w:jc w:val="left"/>
                    <w:jc w:val="center"/>
                  </w:pPr>
                  <w:r>
                    <w:t xml:space="preserve">2.250000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-7.997000</w:t>
                  </w:r>
                </w:p>
              </w:tc>
              <w:tc>
                <w:tcPr/>
                <w:p>
                  <w:pPr>
                    <w:pStyle w:val="Compact"/>
                    <w:jc w:val="left"/>
                    <w:jc w:val="center"/>
                  </w:pPr>
                  <w:r>
                    <w:t xml:space="preserve">1.863000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-6.535000</w:t>
                  </w:r>
                </w:p>
              </w:tc>
              <w:tc>
                <w:tcPr/>
                <w:p>
                  <w:pPr>
                    <w:pStyle w:val="Compact"/>
                    <w:jc w:val="left"/>
                    <w:jc w:val="center"/>
                  </w:pPr>
                  <w:r>
                    <w:t xml:space="preserve">0.402000</w:t>
                  </w:r>
                </w:p>
              </w:tc>
              <w:tc>
                <w:tcPr/>
                <w:p>
                  <w:pPr>
                    <w:pStyle w:val="Compact"/>
                    <w:jc w:val="left"/>
                    <w:jc w:val="center"/>
                  </w:pPr>
                  <w:r>
                    <w:t xml:space="preserve">False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7.428571</w:t>
                  </w:r>
                </w:p>
              </w:tc>
              <w:tc>
                <w:tcPr/>
                <w:p>
                  <w:pPr>
                    <w:pStyle w:val="Compact"/>
                    <w:jc w:val="left"/>
                    <w:jc w:val="center"/>
                  </w:pPr>
                  <w:r>
                    <w:t xml:space="preserve">1.889904</w:t>
                  </w:r>
                </w:p>
              </w:tc>
              <w:tc>
                <w:tcPr/>
                <w:p>
                  <w:pPr>
                    <w:pStyle w:val="Compact"/>
                    <w:jc w:val="left"/>
                    <w:jc w:val="center"/>
                  </w:pPr>
                  <w:r>
                    <w:t xml:space="preserve">13.209615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7.428571</w:t>
                  </w:r>
                </w:p>
              </w:tc>
              <w:tc>
                <w:tcPr/>
                <w:p>
                  <w:pPr>
                    <w:pStyle w:val="Compact"/>
                    <w:jc w:val="left"/>
                    <w:jc w:val="center"/>
                  </w:pPr>
                  <w:r>
                    <w:t xml:space="preserve">3.432692</w:t>
                  </w:r>
                </w:p>
              </w:tc>
              <w:tc>
                <w:tcPr/>
                <w:p>
                  <w:pPr>
                    <w:pStyle w:val="Compact"/>
                    <w:jc w:val="left"/>
                    <w:jc w:val="center"/>
                  </w:pPr>
                  <w:r>
                    <w:t xml:space="preserve">11.740385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7.428600</w:t>
                  </w:r>
                </w:p>
              </w:tc>
              <w:tc>
                <w:tcPr/>
                <w:p>
                  <w:pPr>
                    <w:pStyle w:val="Compact"/>
                    <w:jc w:val="left"/>
                    <w:jc w:val="center"/>
                  </w:pPr>
                  <w:r>
                    <w:t xml:space="preserve">2.006000</w:t>
                  </w:r>
                </w:p>
              </w:tc>
              <w:tc>
                <w:tcPr/>
                <w:p>
                  <w:pPr>
                    <w:pStyle w:val="Compact"/>
                    <w:jc w:val="left"/>
                    <w:jc w:val="center"/>
                  </w:pPr>
                  <w:r>
                    <w:t xml:space="preserve">12.851000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7.428600</w:t>
                  </w:r>
                </w:p>
              </w:tc>
              <w:tc>
                <w:tcPr/>
                <w:p>
                  <w:pPr>
                    <w:pStyle w:val="Compact"/>
                    <w:jc w:val="left"/>
                    <w:jc w:val="center"/>
                  </w:pPr>
                  <w:r>
                    <w:t xml:space="preserve">3.614000</w:t>
                  </w:r>
                </w:p>
              </w:tc>
              <w:tc>
                <w:tcPr/>
                <w:p>
                  <w:pPr>
                    <w:pStyle w:val="Compact"/>
                    <w:jc w:val="left"/>
                    <w:jc w:val="center"/>
                  </w:pPr>
                  <w:r>
                    <w:t xml:space="preserve">11.243000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7.428600</w:t>
                  </w:r>
                </w:p>
              </w:tc>
              <w:tc>
                <w:tcPr/>
                <w:p>
                  <w:pPr>
                    <w:pStyle w:val="Compact"/>
                    <w:jc w:val="left"/>
                    <w:jc w:val="center"/>
                  </w:pPr>
                  <w:r>
                    <w:t xml:space="preserve">2.813000</w:t>
                  </w:r>
                </w:p>
              </w:tc>
              <w:tc>
                <w:tcPr/>
                <w:p>
                  <w:pPr>
                    <w:pStyle w:val="Compact"/>
                    <w:jc w:val="left"/>
                    <w:jc w:val="center"/>
                  </w:pPr>
                  <w:r>
                    <w:t xml:space="preserve">12.044000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7.428600</w:t>
                  </w:r>
                </w:p>
              </w:tc>
              <w:tc>
                <w:tcPr/>
                <w:p>
                  <w:pPr>
                    <w:pStyle w:val="Compact"/>
                    <w:jc w:val="left"/>
                    <w:jc w:val="center"/>
                  </w:pPr>
                  <w:r>
                    <w:t xml:space="preserve">4.181000</w:t>
                  </w:r>
                </w:p>
              </w:tc>
              <w:tc>
                <w:tcPr/>
                <w:p>
                  <w:pPr>
                    <w:pStyle w:val="Compact"/>
                    <w:jc w:val="left"/>
                    <w:jc w:val="center"/>
                  </w:pPr>
                  <w:r>
                    <w:t xml:space="preserve">10.676000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0.047619</w:t>
                  </w:r>
                </w:p>
              </w:tc>
              <w:tc>
                <w:tcPr/>
                <w:p>
                  <w:pPr>
                    <w:pStyle w:val="Compact"/>
                    <w:jc w:val="left"/>
                    <w:jc w:val="center"/>
                  </w:pPr>
                  <w:r>
                    <w:t xml:space="preserve">-0.059856</w:t>
                  </w:r>
                </w:p>
              </w:tc>
              <w:tc>
                <w:tcPr/>
                <w:p>
                  <w:pPr>
                    <w:pStyle w:val="Compact"/>
                    <w:jc w:val="left"/>
                    <w:jc w:val="center"/>
                  </w:pPr>
                  <w:r>
                    <w:t xml:space="preserve">0.153846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0.047619</w:t>
                  </w:r>
                </w:p>
              </w:tc>
              <w:tc>
                <w:tcPr/>
                <w:p>
                  <w:pPr>
                    <w:pStyle w:val="Compact"/>
                    <w:jc w:val="left"/>
                    <w:jc w:val="center"/>
                  </w:pPr>
                  <w:r>
                    <w:t xml:space="preserve">-0.038462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0.047600</w:t>
                  </w:r>
                </w:p>
              </w:tc>
              <w:tc>
                <w:tcPr/>
                <w:p>
                  <w:pPr>
                    <w:pStyle w:val="Compact"/>
                    <w:jc w:val="left"/>
                    <w:jc w:val="center"/>
                  </w:pPr>
                  <w:r>
                    <w:t xml:space="preserve">-0.058000</w:t>
                  </w:r>
                </w:p>
              </w:tc>
              <w:tc>
                <w:tcPr/>
                <w:p>
                  <w:pPr>
                    <w:pStyle w:val="Compact"/>
                    <w:jc w:val="left"/>
                    <w:jc w:val="center"/>
                  </w:pPr>
                  <w:r>
                    <w:t xml:space="preserve">0.154000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0.047600</w:t>
                  </w:r>
                </w:p>
              </w:tc>
              <w:tc>
                <w:tcPr/>
                <w:p>
                  <w:pPr>
                    <w:pStyle w:val="Compact"/>
                    <w:jc w:val="left"/>
                    <w:jc w:val="center"/>
                  </w:pPr>
                  <w:r>
                    <w:t xml:space="preserve">-0.027000</w:t>
                  </w:r>
                </w:p>
              </w:tc>
              <w:tc>
                <w:tcPr/>
                <w:p>
                  <w:pPr>
                    <w:pStyle w:val="Compact"/>
                    <w:jc w:val="left"/>
                    <w:jc w:val="center"/>
                  </w:pPr>
                  <w:r>
                    <w:t xml:space="preserve">0.122000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0.047600</w:t>
                  </w:r>
                </w:p>
              </w:tc>
              <w:tc>
                <w:tcPr/>
                <w:p>
                  <w:pPr>
                    <w:pStyle w:val="Compact"/>
                    <w:jc w:val="left"/>
                    <w:jc w:val="center"/>
                  </w:pPr>
                  <w:r>
                    <w:t xml:space="preserve">-0.053000</w:t>
                  </w:r>
                </w:p>
              </w:tc>
              <w:tc>
                <w:tcPr/>
                <w:p>
                  <w:pPr>
                    <w:pStyle w:val="Compact"/>
                    <w:jc w:val="left"/>
                    <w:jc w:val="center"/>
                  </w:pPr>
                  <w:r>
                    <w:t xml:space="preserve">0.148000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0.047600</w:t>
                  </w:r>
                </w:p>
              </w:tc>
              <w:tc>
                <w:tcPr/>
                <w:p>
                  <w:pPr>
                    <w:pStyle w:val="Compact"/>
                    <w:jc w:val="left"/>
                    <w:jc w:val="center"/>
                  </w:pPr>
                  <w:r>
                    <w:t xml:space="preserve">-0.023000</w:t>
                  </w:r>
                </w:p>
              </w:tc>
              <w:tc>
                <w:tcPr/>
                <w:p>
                  <w:pPr>
                    <w:pStyle w:val="Compact"/>
                    <w:jc w:val="left"/>
                    <w:jc w:val="center"/>
                  </w:pPr>
                  <w:r>
                    <w:t xml:space="preserve">0.118000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-9.571429</w:t>
                  </w:r>
                </w:p>
              </w:tc>
              <w:tc>
                <w:tcPr/>
                <w:p>
                  <w:pPr>
                    <w:pStyle w:val="Compact"/>
                    <w:jc w:val="left"/>
                    <w:jc w:val="center"/>
                  </w:pPr>
                  <w:r>
                    <w:t xml:space="preserve">-12.384615</w:t>
                  </w:r>
                </w:p>
              </w:tc>
              <w:tc>
                <w:tcPr/>
                <w:p>
                  <w:pPr>
                    <w:pStyle w:val="Compact"/>
                    <w:jc w:val="left"/>
                    <w:jc w:val="center"/>
                  </w:pPr>
                  <w:r>
                    <w:t xml:space="preserve">-6.211538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-9.571429</w:t>
                  </w:r>
                </w:p>
              </w:tc>
              <w:tc>
                <w:tcPr/>
                <w:p>
                  <w:pPr>
                    <w:pStyle w:val="Compact"/>
                    <w:jc w:val="left"/>
                    <w:jc w:val="center"/>
                  </w:pPr>
                  <w:r>
                    <w:t xml:space="preserve">-11.740385</w:t>
                  </w:r>
                </w:p>
              </w:tc>
              <w:tc>
                <w:tcPr/>
                <w:p>
                  <w:pPr>
                    <w:pStyle w:val="Compact"/>
                    <w:jc w:val="left"/>
                    <w:jc w:val="center"/>
                  </w:pPr>
                  <w:r>
                    <w:t xml:space="preserve">-7.384615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-9.571400</w:t>
                  </w:r>
                </w:p>
              </w:tc>
              <w:tc>
                <w:tcPr/>
                <w:p>
                  <w:pPr>
                    <w:pStyle w:val="Compact"/>
                    <w:jc w:val="left"/>
                    <w:jc w:val="center"/>
                  </w:pPr>
                  <w:r>
                    <w:t xml:space="preserve">-12.820000</w:t>
                  </w:r>
                </w:p>
              </w:tc>
              <w:tc>
                <w:tcPr/>
                <w:p>
                  <w:pPr>
                    <w:pStyle w:val="Compact"/>
                    <w:jc w:val="left"/>
                    <w:jc w:val="center"/>
                  </w:pPr>
                  <w:r>
                    <w:t xml:space="preserve">-6.323000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-9.571400</w:t>
                  </w:r>
                </w:p>
              </w:tc>
              <w:tc>
                <w:tcPr/>
                <w:p>
                  <w:pPr>
                    <w:pStyle w:val="Compact"/>
                    <w:jc w:val="left"/>
                    <w:jc w:val="center"/>
                  </w:pPr>
                  <w:r>
                    <w:t xml:space="preserve">-11.857000</w:t>
                  </w:r>
                </w:p>
              </w:tc>
              <w:tc>
                <w:tcPr/>
                <w:p>
                  <w:pPr>
                    <w:pStyle w:val="Compact"/>
                    <w:jc w:val="left"/>
                    <w:jc w:val="center"/>
                  </w:pPr>
                  <w:r>
                    <w:t xml:space="preserve">-7.286000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-9.571400</w:t>
                  </w:r>
                </w:p>
              </w:tc>
              <w:tc>
                <w:tcPr/>
                <w:p>
                  <w:pPr>
                    <w:pStyle w:val="Compact"/>
                    <w:jc w:val="left"/>
                    <w:jc w:val="center"/>
                  </w:pPr>
                  <w:r>
                    <w:t xml:space="preserve">-12.127000</w:t>
                  </w:r>
                </w:p>
              </w:tc>
              <w:tc>
                <w:tcPr/>
                <w:p>
                  <w:pPr>
                    <w:pStyle w:val="Compact"/>
                    <w:jc w:val="left"/>
                    <w:jc w:val="center"/>
                  </w:pPr>
                  <w:r>
                    <w:t xml:space="preserve">-7.016000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-9.571400</w:t>
                  </w:r>
                </w:p>
              </w:tc>
              <w:tc>
                <w:tcPr/>
                <w:p>
                  <w:pPr>
                    <w:pStyle w:val="Compact"/>
                    <w:jc w:val="left"/>
                    <w:jc w:val="center"/>
                  </w:pPr>
                  <w:r>
                    <w:t xml:space="preserve">-11.369000</w:t>
                  </w:r>
                </w:p>
              </w:tc>
              <w:tc>
                <w:tcPr/>
                <w:p>
                  <w:pPr>
                    <w:pStyle w:val="Compact"/>
                    <w:jc w:val="left"/>
                    <w:jc w:val="center"/>
                  </w:pPr>
                  <w:r>
                    <w:t xml:space="preserve">-7.773000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-4.396394</w:t>
                  </w:r>
                </w:p>
              </w:tc>
              <w:tc>
                <w:tcPr/>
                <w:p>
                  <w:pPr>
                    <w:pStyle w:val="Compact"/>
                    <w:jc w:val="left"/>
                    <w:jc w:val="center"/>
                  </w:pPr>
                  <w:r>
                    <w:t xml:space="preserve">-1.788462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-4.019231</w:t>
                  </w:r>
                </w:p>
              </w:tc>
              <w:tc>
                <w:tcPr/>
                <w:p>
                  <w:pPr>
                    <w:pStyle w:val="Compact"/>
                    <w:jc w:val="left"/>
                    <w:jc w:val="center"/>
                  </w:pPr>
                  <w:r>
                    <w:t xml:space="preserve">-2.163462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-4.298000</w:t>
                  </w:r>
                </w:p>
              </w:tc>
              <w:tc>
                <w:tcPr/>
                <w:p>
                  <w:pPr>
                    <w:pStyle w:val="Compact"/>
                    <w:jc w:val="left"/>
                    <w:jc w:val="center"/>
                  </w:pPr>
                  <w:r>
                    <w:t xml:space="preserve">-1.835000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-3.933000</w:t>
                  </w:r>
                </w:p>
              </w:tc>
              <w:tc>
                <w:tcPr/>
                <w:p>
                  <w:pPr>
                    <w:pStyle w:val="Compact"/>
                    <w:jc w:val="left"/>
                    <w:jc w:val="center"/>
                  </w:pPr>
                  <w:r>
                    <w:t xml:space="preserve">-2.200000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-4.181000</w:t>
                  </w:r>
                </w:p>
              </w:tc>
              <w:tc>
                <w:tcPr/>
                <w:p>
                  <w:pPr>
                    <w:pStyle w:val="Compact"/>
                    <w:jc w:val="left"/>
                    <w:jc w:val="center"/>
                  </w:pPr>
                  <w:r>
                    <w:t xml:space="preserve">-1.953000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-3.850000</w:t>
                  </w:r>
                </w:p>
              </w:tc>
              <w:tc>
                <w:tcPr/>
                <w:p>
                  <w:pPr>
                    <w:pStyle w:val="Compact"/>
                    <w:jc w:val="left"/>
                    <w:jc w:val="center"/>
                  </w:pPr>
                  <w:r>
                    <w:t xml:space="preserve">-2.283000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-19.819048</w:t>
                  </w:r>
                </w:p>
              </w:tc>
              <w:tc>
                <w:tcPr/>
                <w:p>
                  <w:pPr>
                    <w:pStyle w:val="Compact"/>
                    <w:jc w:val="left"/>
                    <w:jc w:val="center"/>
                  </w:pPr>
                  <w:r>
                    <w:t xml:space="preserve">-24.129327</w:t>
                  </w:r>
                </w:p>
              </w:tc>
              <w:tc>
                <w:tcPr/>
                <w:p>
                  <w:pPr>
                    <w:pStyle w:val="Compact"/>
                    <w:jc w:val="left"/>
                    <w:jc w:val="center"/>
                  </w:pPr>
                  <w:r>
                    <w:t xml:space="preserve">-15.685817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-19.819048</w:t>
                  </w:r>
                </w:p>
              </w:tc>
              <w:tc>
                <w:tcPr/>
                <w:p>
                  <w:pPr>
                    <w:pStyle w:val="Compact"/>
                    <w:jc w:val="left"/>
                    <w:jc w:val="center"/>
                  </w:pPr>
                  <w:r>
                    <w:t xml:space="preserve">-22.884615</w:t>
                  </w:r>
                </w:p>
              </w:tc>
              <w:tc>
                <w:tcPr/>
                <w:p>
                  <w:pPr>
                    <w:pStyle w:val="Compact"/>
                    <w:jc w:val="left"/>
                    <w:jc w:val="center"/>
                  </w:pPr>
                  <w:r>
                    <w:t xml:space="preserve">-16.846154</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-19.819000</w:t>
                  </w:r>
                </w:p>
              </w:tc>
              <w:tc>
                <w:tcPr/>
                <w:p>
                  <w:pPr>
                    <w:pStyle w:val="Compact"/>
                    <w:jc w:val="left"/>
                    <w:jc w:val="center"/>
                  </w:pPr>
                  <w:r>
                    <w:t xml:space="preserve">-23.714000</w:t>
                  </w:r>
                </w:p>
              </w:tc>
              <w:tc>
                <w:tcPr/>
                <w:p>
                  <w:pPr>
                    <w:pStyle w:val="Compact"/>
                    <w:jc w:val="left"/>
                    <w:jc w:val="center"/>
                  </w:pPr>
                  <w:r>
                    <w:t xml:space="preserve">-15.924000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-19.819000</w:t>
                  </w:r>
                </w:p>
              </w:tc>
              <w:tc>
                <w:tcPr/>
                <w:p>
                  <w:pPr>
                    <w:pStyle w:val="Compact"/>
                    <w:jc w:val="left"/>
                    <w:jc w:val="center"/>
                  </w:pPr>
                  <w:r>
                    <w:t xml:space="preserve">-22.559000</w:t>
                  </w:r>
                </w:p>
              </w:tc>
              <w:tc>
                <w:tcPr/>
                <w:p>
                  <w:pPr>
                    <w:pStyle w:val="Compact"/>
                    <w:jc w:val="left"/>
                    <w:jc w:val="center"/>
                  </w:pPr>
                  <w:r>
                    <w:t xml:space="preserve">-17.079000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-19.819000</w:t>
                  </w:r>
                </w:p>
              </w:tc>
              <w:tc>
                <w:tcPr/>
                <w:p>
                  <w:pPr>
                    <w:pStyle w:val="Compact"/>
                    <w:jc w:val="left"/>
                    <w:jc w:val="center"/>
                  </w:pPr>
                  <w:r>
                    <w:t xml:space="preserve">-22.734000</w:t>
                  </w:r>
                </w:p>
              </w:tc>
              <w:tc>
                <w:tcPr/>
                <w:p>
                  <w:pPr>
                    <w:pStyle w:val="Compact"/>
                    <w:jc w:val="left"/>
                    <w:jc w:val="center"/>
                  </w:pPr>
                  <w:r>
                    <w:t xml:space="preserve">-16.905000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-19.819000</w:t>
                  </w:r>
                </w:p>
              </w:tc>
              <w:tc>
                <w:tcPr/>
                <w:p>
                  <w:pPr>
                    <w:pStyle w:val="Compact"/>
                    <w:jc w:val="left"/>
                    <w:jc w:val="center"/>
                  </w:pPr>
                  <w:r>
                    <w:t xml:space="preserve">-21.870000</w:t>
                  </w:r>
                </w:p>
              </w:tc>
              <w:tc>
                <w:tcPr/>
                <w:p>
                  <w:pPr>
                    <w:pStyle w:val="Compact"/>
                    <w:jc w:val="left"/>
                    <w:jc w:val="center"/>
                  </w:pPr>
                  <w:r>
                    <w:t xml:space="preserve">-17.769000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-1.171429</w:t>
                  </w:r>
                </w:p>
              </w:tc>
              <w:tc>
                <w:tcPr/>
                <w:p>
                  <w:pPr>
                    <w:pStyle w:val="Compact"/>
                    <w:jc w:val="left"/>
                    <w:jc w:val="center"/>
                  </w:pPr>
                  <w:r>
                    <w:t xml:space="preserve">-3.127163</w:t>
                  </w:r>
                </w:p>
              </w:tc>
              <w:tc>
                <w:tcPr/>
                <w:p>
                  <w:pPr>
                    <w:pStyle w:val="Compact"/>
                    <w:jc w:val="left"/>
                    <w:jc w:val="center"/>
                  </w:pPr>
                  <w:r>
                    <w:t xml:space="preserve">1.240385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-1.171429</w:t>
                  </w:r>
                </w:p>
              </w:tc>
              <w:tc>
                <w:tcPr/>
                <w:p>
                  <w:pPr>
                    <w:pStyle w:val="Compact"/>
                    <w:jc w:val="left"/>
                    <w:jc w:val="center"/>
                  </w:pPr>
                  <w:r>
                    <w:t xml:space="preserve">-2.461538</w:t>
                  </w:r>
                </w:p>
              </w:tc>
              <w:tc>
                <w:tcPr/>
                <w:p>
                  <w:pPr>
                    <w:pStyle w:val="Compact"/>
                    <w:jc w:val="left"/>
                    <w:jc w:val="center"/>
                  </w:pPr>
                  <w:r>
                    <w:t xml:space="preserve">0.586538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-1.171400</w:t>
                  </w:r>
                </w:p>
              </w:tc>
              <w:tc>
                <w:tcPr/>
                <w:p>
                  <w:pPr>
                    <w:pStyle w:val="Compact"/>
                    <w:jc w:val="left"/>
                    <w:jc w:val="center"/>
                  </w:pPr>
                  <w:r>
                    <w:t xml:space="preserve">-3.618000</w:t>
                  </w:r>
                </w:p>
              </w:tc>
              <w:tc>
                <w:tcPr/>
                <w:p>
                  <w:pPr>
                    <w:pStyle w:val="Compact"/>
                    <w:jc w:val="left"/>
                    <w:jc w:val="center"/>
                  </w:pPr>
                  <w:r>
                    <w:t xml:space="preserve">1.276000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-1.171400</w:t>
                  </w:r>
                </w:p>
              </w:tc>
              <w:tc>
                <w:tcPr/>
                <w:p>
                  <w:pPr>
                    <w:pStyle w:val="Compact"/>
                    <w:jc w:val="left"/>
                    <w:jc w:val="center"/>
                  </w:pPr>
                  <w:r>
                    <w:t xml:space="preserve">-2.893000</w:t>
                  </w:r>
                </w:p>
              </w:tc>
              <w:tc>
                <w:tcPr/>
                <w:p>
                  <w:pPr>
                    <w:pStyle w:val="Compact"/>
                    <w:jc w:val="left"/>
                    <w:jc w:val="center"/>
                  </w:pPr>
                  <w:r>
                    <w:t xml:space="preserve">0.550000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-1.171400</w:t>
                  </w:r>
                </w:p>
              </w:tc>
              <w:tc>
                <w:tcPr/>
                <w:p>
                  <w:pPr>
                    <w:pStyle w:val="Compact"/>
                    <w:jc w:val="left"/>
                    <w:jc w:val="center"/>
                  </w:pPr>
                  <w:r>
                    <w:t xml:space="preserve">-3.401000</w:t>
                  </w:r>
                </w:p>
              </w:tc>
              <w:tc>
                <w:tcPr/>
                <w:p>
                  <w:pPr>
                    <w:pStyle w:val="Compact"/>
                    <w:jc w:val="left"/>
                    <w:jc w:val="center"/>
                  </w:pPr>
                  <w:r>
                    <w:t xml:space="preserve">1.058000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-1.171400</w:t>
                  </w:r>
                </w:p>
              </w:tc>
              <w:tc>
                <w:tcPr/>
                <w:p>
                  <w:pPr>
                    <w:pStyle w:val="Compact"/>
                    <w:jc w:val="left"/>
                    <w:jc w:val="center"/>
                  </w:pPr>
                  <w:r>
                    <w:t xml:space="preserve">-2.740000</w:t>
                  </w:r>
                </w:p>
              </w:tc>
              <w:tc>
                <w:tcPr/>
                <w:p>
                  <w:pPr>
                    <w:pStyle w:val="Compact"/>
                    <w:jc w:val="left"/>
                    <w:jc w:val="center"/>
                  </w:pPr>
                  <w:r>
                    <w:t xml:space="preserve">0.397000</w:t>
                  </w:r>
                </w:p>
              </w:tc>
              <w:tc>
                <w:tcPr/>
                <w:p>
                  <w:pPr>
                    <w:pStyle w:val="Compact"/>
                    <w:jc w:val="left"/>
                    <w:jc w:val="center"/>
                  </w:pPr>
                  <w:r>
                    <w:t xml:space="preserve">False</w:t>
                  </w:r>
                </w:p>
              </w:tc>
            </w:tr>
          </w:tbl>
          <w:bookmarkEnd w:id="6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robust-tl"/>
          <w:p>
            <w:pPr>
              <w:jc w:val="center"/>
            </w:pPr>
            <w:pPr>
              <w:jc w:val="start"/>
              <w:spacing w:before="200"/>
              <w:pStyle w:val="ImageCaption"/>
            </w:pPr>
            <w:r>
              <w:t xml:space="preserve">Table 3: Greater Tenderloin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-0.533333</w:t>
                  </w:r>
                </w:p>
              </w:tc>
              <w:tc>
                <w:tcPr/>
                <w:p>
                  <w:pPr>
                    <w:pStyle w:val="Compact"/>
                    <w:jc w:val="left"/>
                    <w:jc w:val="center"/>
                  </w:pPr>
                  <w:r>
                    <w:t xml:space="preserve">-1.403846</w:t>
                  </w:r>
                </w:p>
              </w:tc>
              <w:tc>
                <w:tcPr/>
                <w:p>
                  <w:pPr>
                    <w:pStyle w:val="Compact"/>
                    <w:jc w:val="left"/>
                    <w:jc w:val="center"/>
                  </w:pPr>
                  <w:r>
                    <w:t xml:space="preserve">0.367548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-0.533333</w:t>
                  </w:r>
                </w:p>
              </w:tc>
              <w:tc>
                <w:tcPr/>
                <w:p>
                  <w:pPr>
                    <w:pStyle w:val="Compact"/>
                    <w:jc w:val="left"/>
                    <w:jc w:val="center"/>
                  </w:pPr>
                  <w:r>
                    <w:t xml:space="preserve">-1.144231</w:t>
                  </w:r>
                </w:p>
              </w:tc>
              <w:tc>
                <w:tcPr/>
                <w:p>
                  <w:pPr>
                    <w:pStyle w:val="Compact"/>
                    <w:jc w:val="left"/>
                    <w:jc w:val="center"/>
                  </w:pPr>
                  <w:r>
                    <w:t xml:space="preserve">0.096154</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-0.533300</w:t>
                  </w:r>
                </w:p>
              </w:tc>
              <w:tc>
                <w:tcPr/>
                <w:p>
                  <w:pPr>
                    <w:pStyle w:val="Compact"/>
                    <w:jc w:val="left"/>
                    <w:jc w:val="center"/>
                  </w:pPr>
                  <w:r>
                    <w:t xml:space="preserve">-1.650000</w:t>
                  </w:r>
                </w:p>
              </w:tc>
              <w:tc>
                <w:tcPr/>
                <w:p>
                  <w:pPr>
                    <w:pStyle w:val="Compact"/>
                    <w:jc w:val="left"/>
                    <w:jc w:val="center"/>
                  </w:pPr>
                  <w:r>
                    <w:t xml:space="preserve">0.583000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-0.533300</w:t>
                  </w:r>
                </w:p>
              </w:tc>
              <w:tc>
                <w:tcPr/>
                <w:p>
                  <w:pPr>
                    <w:pStyle w:val="Compact"/>
                    <w:jc w:val="left"/>
                    <w:jc w:val="center"/>
                  </w:pPr>
                  <w:r>
                    <w:t xml:space="preserve">-1.319000</w:t>
                  </w:r>
                </w:p>
              </w:tc>
              <w:tc>
                <w:tcPr/>
                <w:p>
                  <w:pPr>
                    <w:pStyle w:val="Compact"/>
                    <w:jc w:val="left"/>
                    <w:jc w:val="center"/>
                  </w:pPr>
                  <w:r>
                    <w:t xml:space="preserve">0.252000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-0.533300</w:t>
                  </w:r>
                </w:p>
              </w:tc>
              <w:tc>
                <w:tcPr/>
                <w:p>
                  <w:pPr>
                    <w:pStyle w:val="Compact"/>
                    <w:jc w:val="left"/>
                    <w:jc w:val="center"/>
                  </w:pPr>
                  <w:r>
                    <w:t xml:space="preserve">-1.626000</w:t>
                  </w:r>
                </w:p>
              </w:tc>
              <w:tc>
                <w:tcPr/>
                <w:p>
                  <w:pPr>
                    <w:pStyle w:val="Compact"/>
                    <w:jc w:val="left"/>
                    <w:jc w:val="center"/>
                  </w:pPr>
                  <w:r>
                    <w:t xml:space="preserve">0.560000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-0.533300</w:t>
                  </w:r>
                </w:p>
              </w:tc>
              <w:tc>
                <w:tcPr/>
                <w:p>
                  <w:pPr>
                    <w:pStyle w:val="Compact"/>
                    <w:jc w:val="left"/>
                    <w:jc w:val="center"/>
                  </w:pPr>
                  <w:r>
                    <w:t xml:space="preserve">-1.302000</w:t>
                  </w:r>
                </w:p>
              </w:tc>
              <w:tc>
                <w:tcPr/>
                <w:p>
                  <w:pPr>
                    <w:pStyle w:val="Compact"/>
                    <w:jc w:val="left"/>
                    <w:jc w:val="center"/>
                  </w:pPr>
                  <w:r>
                    <w:t xml:space="preserve">0.236000</w:t>
                  </w:r>
                </w:p>
              </w:tc>
              <w:tc>
                <w:tcPr/>
                <w:p>
                  <w:pPr>
                    <w:pStyle w:val="Compact"/>
                    <w:jc w:val="left"/>
                    <w:jc w:val="center"/>
                  </w:pPr>
                  <w:r>
                    <w:t xml:space="preserve">False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-0.076190</w:t>
                  </w:r>
                </w:p>
              </w:tc>
              <w:tc>
                <w:tcPr/>
                <w:p>
                  <w:pPr>
                    <w:pStyle w:val="Compact"/>
                    <w:jc w:val="left"/>
                    <w:jc w:val="center"/>
                  </w:pPr>
                  <w:r>
                    <w:t xml:space="preserve">-0.394231</w:t>
                  </w:r>
                </w:p>
              </w:tc>
              <w:tc>
                <w:tcPr/>
                <w:p>
                  <w:pPr>
                    <w:pStyle w:val="Compact"/>
                    <w:jc w:val="left"/>
                    <w:jc w:val="center"/>
                  </w:pPr>
                  <w:r>
                    <w:t xml:space="preserve">0.201923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-0.076190</w:t>
                  </w:r>
                </w:p>
              </w:tc>
              <w:tc>
                <w:tcPr/>
                <w:p>
                  <w:pPr>
                    <w:pStyle w:val="Compact"/>
                    <w:jc w:val="left"/>
                    <w:jc w:val="center"/>
                  </w:pPr>
                  <w:r>
                    <w:t xml:space="preserve">-0.307692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-0.076200</w:t>
                  </w:r>
                </w:p>
              </w:tc>
              <w:tc>
                <w:tcPr/>
                <w:p>
                  <w:pPr>
                    <w:pStyle w:val="Compact"/>
                    <w:jc w:val="left"/>
                    <w:jc w:val="center"/>
                  </w:pPr>
                  <w:r>
                    <w:t xml:space="preserve">-0.397000</w:t>
                  </w:r>
                </w:p>
              </w:tc>
              <w:tc>
                <w:tcPr/>
                <w:p>
                  <w:pPr>
                    <w:pStyle w:val="Compact"/>
                    <w:jc w:val="left"/>
                    <w:jc w:val="center"/>
                  </w:pPr>
                  <w:r>
                    <w:t xml:space="preserve">0.245000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-0.076200</w:t>
                  </w:r>
                </w:p>
              </w:tc>
              <w:tc>
                <w:tcPr/>
                <w:p>
                  <w:pPr>
                    <w:pStyle w:val="Compact"/>
                    <w:jc w:val="left"/>
                    <w:jc w:val="center"/>
                  </w:pPr>
                  <w:r>
                    <w:t xml:space="preserve">-0.302000</w:t>
                  </w:r>
                </w:p>
              </w:tc>
              <w:tc>
                <w:tcPr/>
                <w:p>
                  <w:pPr>
                    <w:pStyle w:val="Compact"/>
                    <w:jc w:val="left"/>
                    <w:jc w:val="center"/>
                  </w:pPr>
                  <w:r>
                    <w:t xml:space="preserve">0.149000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-0.076200</w:t>
                  </w:r>
                </w:p>
              </w:tc>
              <w:tc>
                <w:tcPr/>
                <w:p>
                  <w:pPr>
                    <w:pStyle w:val="Compact"/>
                    <w:jc w:val="left"/>
                    <w:jc w:val="center"/>
                  </w:pPr>
                  <w:r>
                    <w:t xml:space="preserve">-0.377000</w:t>
                  </w:r>
                </w:p>
              </w:tc>
              <w:tc>
                <w:tcPr/>
                <w:p>
                  <w:pPr>
                    <w:pStyle w:val="Compact"/>
                    <w:jc w:val="left"/>
                    <w:jc w:val="center"/>
                  </w:pPr>
                  <w:r>
                    <w:t xml:space="preserve">0.225000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-0.076200</w:t>
                  </w:r>
                </w:p>
              </w:tc>
              <w:tc>
                <w:tcPr/>
                <w:p>
                  <w:pPr>
                    <w:pStyle w:val="Compact"/>
                    <w:jc w:val="left"/>
                    <w:jc w:val="center"/>
                  </w:pPr>
                  <w:r>
                    <w:t xml:space="preserve">-0.288000</w:t>
                  </w:r>
                </w:p>
              </w:tc>
              <w:tc>
                <w:tcPr/>
                <w:p>
                  <w:pPr>
                    <w:pStyle w:val="Compact"/>
                    <w:jc w:val="left"/>
                    <w:jc w:val="center"/>
                  </w:pPr>
                  <w:r>
                    <w:t xml:space="preserve">0.136000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3.561905</w:t>
                  </w:r>
                </w:p>
              </w:tc>
              <w:tc>
                <w:tcPr/>
                <w:p>
                  <w:pPr>
                    <w:pStyle w:val="Compact"/>
                    <w:jc w:val="left"/>
                    <w:jc w:val="center"/>
                  </w:pPr>
                  <w:r>
                    <w:t xml:space="preserve">-1.723317</w:t>
                  </w:r>
                </w:p>
              </w:tc>
              <w:tc>
                <w:tcPr/>
                <w:p>
                  <w:pPr>
                    <w:pStyle w:val="Compact"/>
                    <w:jc w:val="left"/>
                    <w:jc w:val="center"/>
                  </w:pPr>
                  <w:r>
                    <w:t xml:space="preserve">10.627163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3.561905</w:t>
                  </w:r>
                </w:p>
              </w:tc>
              <w:tc>
                <w:tcPr/>
                <w:p>
                  <w:pPr>
                    <w:pStyle w:val="Compact"/>
                    <w:jc w:val="left"/>
                    <w:jc w:val="center"/>
                  </w:pPr>
                  <w:r>
                    <w:t xml:space="preserve">-0.326923</w:t>
                  </w:r>
                </w:p>
              </w:tc>
              <w:tc>
                <w:tcPr/>
                <w:p>
                  <w:pPr>
                    <w:pStyle w:val="Compact"/>
                    <w:jc w:val="left"/>
                    <w:jc w:val="center"/>
                  </w:pPr>
                  <w:r>
                    <w:t xml:space="preserve">8.557692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3.561900</w:t>
                  </w:r>
                </w:p>
              </w:tc>
              <w:tc>
                <w:tcPr/>
                <w:p>
                  <w:pPr>
                    <w:pStyle w:val="Compact"/>
                    <w:jc w:val="left"/>
                    <w:jc w:val="center"/>
                  </w:pPr>
                  <w:r>
                    <w:t xml:space="preserve">-2.601000</w:t>
                  </w:r>
                </w:p>
              </w:tc>
              <w:tc>
                <w:tcPr/>
                <w:p>
                  <w:pPr>
                    <w:pStyle w:val="Compact"/>
                    <w:jc w:val="left"/>
                    <w:jc w:val="center"/>
                  </w:pPr>
                  <w:r>
                    <w:t xml:space="preserve">9.725000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3.561900</w:t>
                  </w:r>
                </w:p>
              </w:tc>
              <w:tc>
                <w:tcPr/>
                <w:p>
                  <w:pPr>
                    <w:pStyle w:val="Compact"/>
                    <w:jc w:val="left"/>
                    <w:jc w:val="center"/>
                  </w:pPr>
                  <w:r>
                    <w:t xml:space="preserve">-0.774000</w:t>
                  </w:r>
                </w:p>
              </w:tc>
              <w:tc>
                <w:tcPr/>
                <w:p>
                  <w:pPr>
                    <w:pStyle w:val="Compact"/>
                    <w:jc w:val="left"/>
                    <w:jc w:val="center"/>
                  </w:pPr>
                  <w:r>
                    <w:t xml:space="preserve">7.898000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3.561900</w:t>
                  </w:r>
                </w:p>
              </w:tc>
              <w:tc>
                <w:tcPr/>
                <w:p>
                  <w:pPr>
                    <w:pStyle w:val="Compact"/>
                    <w:jc w:val="left"/>
                    <w:jc w:val="center"/>
                  </w:pPr>
                  <w:r>
                    <w:t xml:space="preserve">-0.054000</w:t>
                  </w:r>
                </w:p>
              </w:tc>
              <w:tc>
                <w:tcPr/>
                <w:p>
                  <w:pPr>
                    <w:pStyle w:val="Compact"/>
                    <w:jc w:val="left"/>
                    <w:jc w:val="center"/>
                  </w:pPr>
                  <w:r>
                    <w:t xml:space="preserve">7.178000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3.561900</w:t>
                  </w:r>
                </w:p>
              </w:tc>
              <w:tc>
                <w:tcPr/>
                <w:p>
                  <w:pPr>
                    <w:pStyle w:val="Compact"/>
                    <w:jc w:val="left"/>
                    <w:jc w:val="center"/>
                  </w:pPr>
                  <w:r>
                    <w:t xml:space="preserve">1.018000</w:t>
                  </w:r>
                </w:p>
              </w:tc>
              <w:tc>
                <w:tcPr/>
                <w:p>
                  <w:pPr>
                    <w:pStyle w:val="Compact"/>
                    <w:jc w:val="left"/>
                    <w:jc w:val="center"/>
                  </w:pPr>
                  <w:r>
                    <w:t xml:space="preserve">6.106000</w:t>
                  </w:r>
                </w:p>
              </w:tc>
              <w:tc>
                <w:tcPr/>
                <w:p>
                  <w:pPr>
                    <w:pStyle w:val="Compact"/>
                    <w:jc w:val="left"/>
                    <w:jc w:val="center"/>
                  </w:pPr>
                  <w:r>
                    <w:t xml:space="preserve">True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6.704762</w:t>
                  </w:r>
                </w:p>
              </w:tc>
              <w:tc>
                <w:tcPr/>
                <w:p>
                  <w:pPr>
                    <w:pStyle w:val="Compact"/>
                    <w:jc w:val="left"/>
                    <w:jc w:val="center"/>
                  </w:pPr>
                  <w:r>
                    <w:t xml:space="preserve">1.521154</w:t>
                  </w:r>
                </w:p>
              </w:tc>
              <w:tc>
                <w:tcPr/>
                <w:p>
                  <w:pPr>
                    <w:pStyle w:val="Compact"/>
                    <w:jc w:val="left"/>
                    <w:jc w:val="center"/>
                  </w:pPr>
                  <w:r>
                    <w:t xml:space="preserve">11.954087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6.704762</w:t>
                  </w:r>
                </w:p>
              </w:tc>
              <w:tc>
                <w:tcPr/>
                <w:p>
                  <w:pPr>
                    <w:pStyle w:val="Compact"/>
                    <w:jc w:val="left"/>
                    <w:jc w:val="center"/>
                  </w:pPr>
                  <w:r>
                    <w:t xml:space="preserve">3.115385</w:t>
                  </w:r>
                </w:p>
              </w:tc>
              <w:tc>
                <w:tcPr/>
                <w:p>
                  <w:pPr>
                    <w:pStyle w:val="Compact"/>
                    <w:jc w:val="left"/>
                    <w:jc w:val="center"/>
                  </w:pPr>
                  <w:r>
                    <w:t xml:space="preserve">10.442308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6.704800</w:t>
                  </w:r>
                </w:p>
              </w:tc>
              <w:tc>
                <w:tcPr/>
                <w:p>
                  <w:pPr>
                    <w:pStyle w:val="Compact"/>
                    <w:jc w:val="left"/>
                    <w:jc w:val="center"/>
                  </w:pPr>
                  <w:r>
                    <w:t xml:space="preserve">1.774000</w:t>
                  </w:r>
                </w:p>
              </w:tc>
              <w:tc>
                <w:tcPr/>
                <w:p>
                  <w:pPr>
                    <w:pStyle w:val="Compact"/>
                    <w:jc w:val="left"/>
                    <w:jc w:val="center"/>
                  </w:pPr>
                  <w:r>
                    <w:t xml:space="preserve">11.636000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6.704800</w:t>
                  </w:r>
                </w:p>
              </w:tc>
              <w:tc>
                <w:tcPr/>
                <w:p>
                  <w:pPr>
                    <w:pStyle w:val="Compact"/>
                    <w:jc w:val="left"/>
                    <w:jc w:val="center"/>
                  </w:pPr>
                  <w:r>
                    <w:t xml:space="preserve">3.236000</w:t>
                  </w:r>
                </w:p>
              </w:tc>
              <w:tc>
                <w:tcPr/>
                <w:p>
                  <w:pPr>
                    <w:pStyle w:val="Compact"/>
                    <w:jc w:val="left"/>
                    <w:jc w:val="center"/>
                  </w:pPr>
                  <w:r>
                    <w:t xml:space="preserve">10.174000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6.704800</w:t>
                  </w:r>
                </w:p>
              </w:tc>
              <w:tc>
                <w:tcPr/>
                <w:p>
                  <w:pPr>
                    <w:pStyle w:val="Compact"/>
                    <w:jc w:val="left"/>
                    <w:jc w:val="center"/>
                  </w:pPr>
                  <w:r>
                    <w:t xml:space="preserve">2.671000</w:t>
                  </w:r>
                </w:p>
              </w:tc>
              <w:tc>
                <w:tcPr/>
                <w:p>
                  <w:pPr>
                    <w:pStyle w:val="Compact"/>
                    <w:jc w:val="left"/>
                    <w:jc w:val="center"/>
                  </w:pPr>
                  <w:r>
                    <w:t xml:space="preserve">10.738000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6.704800</w:t>
                  </w:r>
                </w:p>
              </w:tc>
              <w:tc>
                <w:tcPr/>
                <w:p>
                  <w:pPr>
                    <w:pStyle w:val="Compact"/>
                    <w:jc w:val="left"/>
                    <w:jc w:val="center"/>
                  </w:pPr>
                  <w:r>
                    <w:t xml:space="preserve">3.867000</w:t>
                  </w:r>
                </w:p>
              </w:tc>
              <w:tc>
                <w:tcPr/>
                <w:p>
                  <w:pPr>
                    <w:pStyle w:val="Compact"/>
                    <w:jc w:val="left"/>
                    <w:jc w:val="center"/>
                  </w:pPr>
                  <w:r>
                    <w:t xml:space="preserve">9.542000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0.048077</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0.028846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-0.885714</w:t>
                  </w:r>
                </w:p>
              </w:tc>
              <w:tc>
                <w:tcPr/>
                <w:p>
                  <w:pPr>
                    <w:pStyle w:val="Compact"/>
                    <w:jc w:val="left"/>
                    <w:jc w:val="center"/>
                  </w:pPr>
                  <w:r>
                    <w:t xml:space="preserve">-2.081250</w:t>
                  </w:r>
                </w:p>
              </w:tc>
              <w:tc>
                <w:tcPr/>
                <w:p>
                  <w:pPr>
                    <w:pStyle w:val="Compact"/>
                    <w:jc w:val="left"/>
                    <w:jc w:val="center"/>
                  </w:pPr>
                  <w:r>
                    <w:t xml:space="preserve">0.732933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-0.885714</w:t>
                  </w:r>
                </w:p>
              </w:tc>
              <w:tc>
                <w:tcPr/>
                <w:p>
                  <w:pPr>
                    <w:pStyle w:val="Compact"/>
                    <w:jc w:val="left"/>
                    <w:jc w:val="center"/>
                  </w:pPr>
                  <w:r>
                    <w:t xml:space="preserve">-1.769231</w:t>
                  </w:r>
                </w:p>
              </w:tc>
              <w:tc>
                <w:tcPr/>
                <w:p>
                  <w:pPr>
                    <w:pStyle w:val="Compact"/>
                    <w:jc w:val="left"/>
                    <w:jc w:val="center"/>
                  </w:pPr>
                  <w:r>
                    <w:t xml:space="preserve">0.240385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-0.885700</w:t>
                  </w:r>
                </w:p>
              </w:tc>
              <w:tc>
                <w:tcPr/>
                <w:p>
                  <w:pPr>
                    <w:pStyle w:val="Compact"/>
                    <w:jc w:val="left"/>
                    <w:jc w:val="center"/>
                  </w:pPr>
                  <w:r>
                    <w:t xml:space="preserve">-2.504000</w:t>
                  </w:r>
                </w:p>
              </w:tc>
              <w:tc>
                <w:tcPr/>
                <w:p>
                  <w:pPr>
                    <w:pStyle w:val="Compact"/>
                    <w:jc w:val="left"/>
                    <w:jc w:val="center"/>
                  </w:pPr>
                  <w:r>
                    <w:t xml:space="preserve">0.732000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-0.885700</w:t>
                  </w:r>
                </w:p>
              </w:tc>
              <w:tc>
                <w:tcPr/>
                <w:p>
                  <w:pPr>
                    <w:pStyle w:val="Compact"/>
                    <w:jc w:val="left"/>
                    <w:jc w:val="center"/>
                  </w:pPr>
                  <w:r>
                    <w:t xml:space="preserve">-2.024000</w:t>
                  </w:r>
                </w:p>
              </w:tc>
              <w:tc>
                <w:tcPr/>
                <w:p>
                  <w:pPr>
                    <w:pStyle w:val="Compact"/>
                    <w:jc w:val="left"/>
                    <w:jc w:val="center"/>
                  </w:pPr>
                  <w:r>
                    <w:t xml:space="preserve">0.253000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-0.885700</w:t>
                  </w:r>
                </w:p>
              </w:tc>
              <w:tc>
                <w:tcPr/>
                <w:p>
                  <w:pPr>
                    <w:pStyle w:val="Compact"/>
                    <w:jc w:val="left"/>
                    <w:jc w:val="center"/>
                  </w:pPr>
                  <w:r>
                    <w:t xml:space="preserve">-1.993000</w:t>
                  </w:r>
                </w:p>
              </w:tc>
              <w:tc>
                <w:tcPr/>
                <w:p>
                  <w:pPr>
                    <w:pStyle w:val="Compact"/>
                    <w:jc w:val="left"/>
                    <w:jc w:val="center"/>
                  </w:pPr>
                  <w:r>
                    <w:t xml:space="preserve">0.222000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-0.885700</w:t>
                  </w:r>
                </w:p>
              </w:tc>
              <w:tc>
                <w:tcPr/>
                <w:p>
                  <w:pPr>
                    <w:pStyle w:val="Compact"/>
                    <w:jc w:val="left"/>
                    <w:jc w:val="center"/>
                  </w:pPr>
                  <w:r>
                    <w:t xml:space="preserve">-1.665000</w:t>
                  </w:r>
                </w:p>
              </w:tc>
              <w:tc>
                <w:tcPr/>
                <w:p>
                  <w:pPr>
                    <w:pStyle w:val="Compact"/>
                    <w:jc w:val="left"/>
                    <w:jc w:val="center"/>
                  </w:pPr>
                  <w:r>
                    <w:t xml:space="preserve">-0.106000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-0.361905</w:t>
                  </w:r>
                </w:p>
              </w:tc>
              <w:tc>
                <w:tcPr/>
                <w:p>
                  <w:pPr>
                    <w:pStyle w:val="Compact"/>
                    <w:jc w:val="left"/>
                    <w:jc w:val="center"/>
                  </w:pPr>
                  <w:r>
                    <w:t xml:space="preserve">-0.761779</w:t>
                  </w:r>
                </w:p>
              </w:tc>
              <w:tc>
                <w:tcPr/>
                <w:p>
                  <w:pPr>
                    <w:pStyle w:val="Compact"/>
                    <w:jc w:val="left"/>
                    <w:jc w:val="center"/>
                  </w:pPr>
                  <w:r>
                    <w:t xml:space="preserve">-0.019231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-0.361905</w:t>
                  </w:r>
                </w:p>
              </w:tc>
              <w:tc>
                <w:tcPr/>
                <w:p>
                  <w:pPr>
                    <w:pStyle w:val="Compact"/>
                    <w:jc w:val="left"/>
                    <w:jc w:val="center"/>
                  </w:pPr>
                  <w:r>
                    <w:t xml:space="preserve">-0.644231</w:t>
                  </w:r>
                </w:p>
              </w:tc>
              <w:tc>
                <w:tcPr/>
                <w:p>
                  <w:pPr>
                    <w:pStyle w:val="Compact"/>
                    <w:jc w:val="left"/>
                    <w:jc w:val="center"/>
                  </w:pPr>
                  <w:r>
                    <w:t xml:space="preserve">-0.125000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-0.361900</w:t>
                  </w:r>
                </w:p>
              </w:tc>
              <w:tc>
                <w:tcPr/>
                <w:p>
                  <w:pPr>
                    <w:pStyle w:val="Compact"/>
                    <w:jc w:val="left"/>
                    <w:jc w:val="center"/>
                  </w:pPr>
                  <w:r>
                    <w:t xml:space="preserve">-0.750000</w:t>
                  </w:r>
                </w:p>
              </w:tc>
              <w:tc>
                <w:tcPr/>
                <w:p>
                  <w:pPr>
                    <w:pStyle w:val="Compact"/>
                    <w:jc w:val="left"/>
                    <w:jc w:val="center"/>
                  </w:pPr>
                  <w:r>
                    <w:t xml:space="preserve">0.027000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-0.361900</w:t>
                  </w:r>
                </w:p>
              </w:tc>
              <w:tc>
                <w:tcPr/>
                <w:p>
                  <w:pPr>
                    <w:pStyle w:val="Compact"/>
                    <w:jc w:val="left"/>
                    <w:jc w:val="center"/>
                  </w:pPr>
                  <w:r>
                    <w:t xml:space="preserve">-0.635000</w:t>
                  </w:r>
                </w:p>
              </w:tc>
              <w:tc>
                <w:tcPr/>
                <w:p>
                  <w:pPr>
                    <w:pStyle w:val="Compact"/>
                    <w:jc w:val="left"/>
                    <w:jc w:val="center"/>
                  </w:pPr>
                  <w:r>
                    <w:t xml:space="preserve">-0.089000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-0.361900</w:t>
                  </w:r>
                </w:p>
              </w:tc>
              <w:tc>
                <w:tcPr/>
                <w:p>
                  <w:pPr>
                    <w:pStyle w:val="Compact"/>
                    <w:jc w:val="left"/>
                    <w:jc w:val="center"/>
                  </w:pPr>
                  <w:r>
                    <w:t xml:space="preserve">-0.748000</w:t>
                  </w:r>
                </w:p>
              </w:tc>
              <w:tc>
                <w:tcPr/>
                <w:p>
                  <w:pPr>
                    <w:pStyle w:val="Compact"/>
                    <w:jc w:val="left"/>
                    <w:jc w:val="center"/>
                  </w:pPr>
                  <w:r>
                    <w:t xml:space="preserve">0.024000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-0.361900</w:t>
                  </w:r>
                </w:p>
              </w:tc>
              <w:tc>
                <w:tcPr/>
                <w:p>
                  <w:pPr>
                    <w:pStyle w:val="Compact"/>
                    <w:jc w:val="left"/>
                    <w:jc w:val="center"/>
                  </w:pPr>
                  <w:r>
                    <w:t xml:space="preserve">-0.634000</w:t>
                  </w:r>
                </w:p>
              </w:tc>
              <w:tc>
                <w:tcPr/>
                <w:p>
                  <w:pPr>
                    <w:pStyle w:val="Compact"/>
                    <w:jc w:val="left"/>
                    <w:jc w:val="center"/>
                  </w:pPr>
                  <w:r>
                    <w:t xml:space="preserve">-0.090000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-0.895238</w:t>
                  </w:r>
                </w:p>
              </w:tc>
              <w:tc>
                <w:tcPr/>
                <w:p>
                  <w:pPr>
                    <w:pStyle w:val="Compact"/>
                    <w:jc w:val="left"/>
                    <w:jc w:val="center"/>
                  </w:pPr>
                  <w:r>
                    <w:t xml:space="preserve">-2.221154</w:t>
                  </w:r>
                </w:p>
              </w:tc>
              <w:tc>
                <w:tcPr/>
                <w:p>
                  <w:pPr>
                    <w:pStyle w:val="Compact"/>
                    <w:jc w:val="left"/>
                    <w:jc w:val="center"/>
                  </w:pPr>
                  <w:r>
                    <w:t xml:space="preserve">0.403846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-0.895238</w:t>
                  </w:r>
                </w:p>
              </w:tc>
              <w:tc>
                <w:tcPr/>
                <w:p>
                  <w:pPr>
                    <w:pStyle w:val="Compact"/>
                    <w:jc w:val="left"/>
                    <w:jc w:val="center"/>
                  </w:pPr>
                  <w:r>
                    <w:t xml:space="preserve">-1.807692</w:t>
                  </w:r>
                </w:p>
              </w:tc>
              <w:tc>
                <w:tcPr/>
                <w:p>
                  <w:pPr>
                    <w:pStyle w:val="Compact"/>
                    <w:jc w:val="left"/>
                    <w:jc w:val="center"/>
                  </w:pPr>
                  <w:r>
                    <w:t xml:space="preserve">-0.057692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-0.895200</w:t>
                  </w:r>
                </w:p>
              </w:tc>
              <w:tc>
                <w:tcPr/>
                <w:p>
                  <w:pPr>
                    <w:pStyle w:val="Compact"/>
                    <w:jc w:val="left"/>
                    <w:jc w:val="center"/>
                  </w:pPr>
                  <w:r>
                    <w:t xml:space="preserve">-1.959000</w:t>
                  </w:r>
                </w:p>
              </w:tc>
              <w:tc>
                <w:tcPr/>
                <w:p>
                  <w:pPr>
                    <w:pStyle w:val="Compact"/>
                    <w:jc w:val="left"/>
                    <w:jc w:val="center"/>
                  </w:pPr>
                  <w:r>
                    <w:t xml:space="preserve">0.169000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-0.895200</w:t>
                  </w:r>
                </w:p>
              </w:tc>
              <w:tc>
                <w:tcPr/>
                <w:p>
                  <w:pPr>
                    <w:pStyle w:val="Compact"/>
                    <w:jc w:val="left"/>
                    <w:jc w:val="center"/>
                  </w:pPr>
                  <w:r>
                    <w:t xml:space="preserve">-1.644000</w:t>
                  </w:r>
                </w:p>
              </w:tc>
              <w:tc>
                <w:tcPr/>
                <w:p>
                  <w:pPr>
                    <w:pStyle w:val="Compact"/>
                    <w:jc w:val="left"/>
                    <w:jc w:val="center"/>
                  </w:pPr>
                  <w:r>
                    <w:t xml:space="preserve">-0.147000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-0.895200</w:t>
                  </w:r>
                </w:p>
              </w:tc>
              <w:tc>
                <w:tcPr/>
                <w:p>
                  <w:pPr>
                    <w:pStyle w:val="Compact"/>
                    <w:jc w:val="left"/>
                    <w:jc w:val="center"/>
                  </w:pPr>
                  <w:r>
                    <w:t xml:space="preserve">-1.716000</w:t>
                  </w:r>
                </w:p>
              </w:tc>
              <w:tc>
                <w:tcPr/>
                <w:p>
                  <w:pPr>
                    <w:pStyle w:val="Compact"/>
                    <w:jc w:val="left"/>
                    <w:jc w:val="center"/>
                  </w:pPr>
                  <w:r>
                    <w:t xml:space="preserve">-0.074000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-0.895200</w:t>
                  </w:r>
                </w:p>
              </w:tc>
              <w:tc>
                <w:tcPr/>
                <w:p>
                  <w:pPr>
                    <w:pStyle w:val="Compact"/>
                    <w:jc w:val="left"/>
                    <w:jc w:val="center"/>
                  </w:pPr>
                  <w:r>
                    <w:t xml:space="preserve">-1.473000</w:t>
                  </w:r>
                </w:p>
              </w:tc>
              <w:tc>
                <w:tcPr/>
                <w:p>
                  <w:pPr>
                    <w:pStyle w:val="Compact"/>
                    <w:jc w:val="left"/>
                    <w:jc w:val="center"/>
                  </w:pPr>
                  <w:r>
                    <w:t xml:space="preserve">-0.318000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0.342857</w:t>
                  </w:r>
                </w:p>
              </w:tc>
              <w:tc>
                <w:tcPr/>
                <w:p>
                  <w:pPr>
                    <w:pStyle w:val="Compact"/>
                    <w:jc w:val="left"/>
                    <w:jc w:val="center"/>
                  </w:pPr>
                  <w:r>
                    <w:t xml:space="preserve">-0.569471</w:t>
                  </w:r>
                </w:p>
              </w:tc>
              <w:tc>
                <w:tcPr/>
                <w:p>
                  <w:pPr>
                    <w:pStyle w:val="Compact"/>
                    <w:jc w:val="left"/>
                    <w:jc w:val="center"/>
                  </w:pPr>
                  <w:r>
                    <w:t xml:space="preserve">1.434856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0.342857</w:t>
                  </w:r>
                </w:p>
              </w:tc>
              <w:tc>
                <w:tcPr/>
                <w:p>
                  <w:pPr>
                    <w:pStyle w:val="Compact"/>
                    <w:jc w:val="left"/>
                    <w:jc w:val="center"/>
                  </w:pPr>
                  <w:r>
                    <w:t xml:space="preserve">-0.307933</w:t>
                  </w:r>
                </w:p>
              </w:tc>
              <w:tc>
                <w:tcPr/>
                <w:p>
                  <w:pPr>
                    <w:pStyle w:val="Compact"/>
                    <w:jc w:val="left"/>
                    <w:jc w:val="center"/>
                  </w:pPr>
                  <w:r>
                    <w:t xml:space="preserve">1.115385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0.342900</w:t>
                  </w:r>
                </w:p>
              </w:tc>
              <w:tc>
                <w:tcPr/>
                <w:p>
                  <w:pPr>
                    <w:pStyle w:val="Compact"/>
                    <w:jc w:val="left"/>
                    <w:jc w:val="center"/>
                  </w:pPr>
                  <w:r>
                    <w:t xml:space="preserve">-0.622000</w:t>
                  </w:r>
                </w:p>
              </w:tc>
              <w:tc>
                <w:tcPr/>
                <w:p>
                  <w:pPr>
                    <w:pStyle w:val="Compact"/>
                    <w:jc w:val="left"/>
                    <w:jc w:val="center"/>
                  </w:pPr>
                  <w:r>
                    <w:t xml:space="preserve">1.308000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0.342900</w:t>
                  </w:r>
                </w:p>
              </w:tc>
              <w:tc>
                <w:tcPr/>
                <w:p>
                  <w:pPr>
                    <w:pStyle w:val="Compact"/>
                    <w:jc w:val="left"/>
                    <w:jc w:val="center"/>
                  </w:pPr>
                  <w:r>
                    <w:t xml:space="preserve">-0.336000</w:t>
                  </w:r>
                </w:p>
              </w:tc>
              <w:tc>
                <w:tcPr/>
                <w:p>
                  <w:pPr>
                    <w:pStyle w:val="Compact"/>
                    <w:jc w:val="left"/>
                    <w:jc w:val="center"/>
                  </w:pPr>
                  <w:r>
                    <w:t xml:space="preserve">1.022000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0.342900</w:t>
                  </w:r>
                </w:p>
              </w:tc>
              <w:tc>
                <w:tcPr/>
                <w:p>
                  <w:pPr>
                    <w:pStyle w:val="Compact"/>
                    <w:jc w:val="left"/>
                    <w:jc w:val="center"/>
                  </w:pPr>
                  <w:r>
                    <w:t xml:space="preserve">-0.548000</w:t>
                  </w:r>
                </w:p>
              </w:tc>
              <w:tc>
                <w:tcPr/>
                <w:p>
                  <w:pPr>
                    <w:pStyle w:val="Compact"/>
                    <w:jc w:val="left"/>
                    <w:jc w:val="center"/>
                  </w:pPr>
                  <w:r>
                    <w:t xml:space="preserve">1.233000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0.342900</w:t>
                  </w:r>
                </w:p>
              </w:tc>
              <w:tc>
                <w:tcPr/>
                <w:p>
                  <w:pPr>
                    <w:pStyle w:val="Compact"/>
                    <w:jc w:val="left"/>
                    <w:jc w:val="center"/>
                  </w:pPr>
                  <w:r>
                    <w:t xml:space="preserve">-0.284000</w:t>
                  </w:r>
                </w:p>
              </w:tc>
              <w:tc>
                <w:tcPr/>
                <w:p>
                  <w:pPr>
                    <w:pStyle w:val="Compact"/>
                    <w:jc w:val="left"/>
                    <w:jc w:val="center"/>
                  </w:pPr>
                  <w:r>
                    <w:t xml:space="preserve">0.969000</w:t>
                  </w:r>
                </w:p>
              </w:tc>
              <w:tc>
                <w:tcPr/>
                <w:p>
                  <w:pPr>
                    <w:pStyle w:val="Compact"/>
                    <w:jc w:val="left"/>
                    <w:jc w:val="center"/>
                  </w:pPr>
                  <w:r>
                    <w:t xml:space="preserve">False</w:t>
                  </w:r>
                </w:p>
              </w:tc>
            </w:tr>
          </w:tbl>
          <w:bookmarkEnd w:id="68"/>
          <w:p/>
        </w:tc>
      </w:tr>
    </w:tbl>
    <w:bookmarkEnd w:id="69"/>
    <w:bookmarkEnd w:id="70"/>
    <w:bookmarkStart w:id="83" w:name="references"/>
    <w:p>
      <w:pPr>
        <w:pStyle w:val="Heading4"/>
      </w:pPr>
      <w:r>
        <w:t xml:space="preserve">References</w:t>
      </w:r>
    </w:p>
    <w:bookmarkStart w:id="82" w:name="refs"/>
    <w:bookmarkStart w:id="72" w:name="ref-abrams_covid_2021"/>
    <w:p>
      <w:pPr>
        <w:pStyle w:val="Bibliography"/>
      </w:pPr>
      <w:r>
        <w:t xml:space="preserve">Abrams, David S. 2021.</w:t>
      </w:r>
      <w:r>
        <w:t xml:space="preserve"> </w:t>
      </w:r>
      <w:r>
        <w:t xml:space="preserve">“</w:t>
      </w:r>
      <w:r>
        <w:t xml:space="preserve">COVID</w:t>
      </w:r>
      <w:r>
        <w:t xml:space="preserve"> </w:t>
      </w:r>
      <w:r>
        <w:t xml:space="preserve">and Crime:</w:t>
      </w:r>
      <w:r>
        <w:t xml:space="preserve"> </w:t>
      </w:r>
      <w:r>
        <w:t xml:space="preserve">An</w:t>
      </w:r>
      <w:r>
        <w:t xml:space="preserve"> </w:t>
      </w:r>
      <w:r>
        <w:t xml:space="preserve">Early Empirical Look.”</w:t>
      </w:r>
      <w:r>
        <w:t xml:space="preserve"> </w:t>
      </w:r>
      <w:r>
        <w:rPr>
          <w:i/>
          <w:iCs/>
        </w:rPr>
        <w:t xml:space="preserve">Journal of Public Economics</w:t>
      </w:r>
      <w:r>
        <w:t xml:space="preserve"> </w:t>
      </w:r>
      <w:r>
        <w:t xml:space="preserve">194 (February): 104344.</w:t>
      </w:r>
      <w:r>
        <w:t xml:space="preserve"> </w:t>
      </w:r>
      <w:hyperlink r:id="rId71">
        <w:r>
          <w:rPr>
            <w:rStyle w:val="Hyperlink"/>
          </w:rPr>
          <w:t xml:space="preserve">https://doi.org/10.1016/j.jpubeco.2020.104344</w:t>
        </w:r>
      </w:hyperlink>
      <w:r>
        <w:t xml:space="preserve">.</w:t>
      </w:r>
    </w:p>
    <w:bookmarkEnd w:id="72"/>
    <w:bookmarkStart w:id="74" w:name="ref-datasf_sfpd_2024"/>
    <w:p>
      <w:pPr>
        <w:pStyle w:val="Bibliography"/>
      </w:pPr>
      <w:r>
        <w:t xml:space="preserve">DataSF. 2024.</w:t>
      </w:r>
      <w:r>
        <w:t xml:space="preserve"> </w:t>
      </w:r>
      <w:r>
        <w:t xml:space="preserve">“</w:t>
      </w:r>
      <w:r>
        <w:t xml:space="preserve">SFPD</w:t>
      </w:r>
      <w:r>
        <w:t xml:space="preserve"> </w:t>
      </w:r>
      <w:r>
        <w:t xml:space="preserve">Incident</w:t>
      </w:r>
      <w:r>
        <w:t xml:space="preserve"> </w:t>
      </w:r>
      <w:r>
        <w:t xml:space="preserve">Report</w:t>
      </w:r>
      <w:r>
        <w:t xml:space="preserve">: 2018 to</w:t>
      </w:r>
      <w:r>
        <w:t xml:space="preserve"> </w:t>
      </w:r>
      <w:r>
        <w:t xml:space="preserve">Present</w:t>
      </w:r>
      <w:r>
        <w:t xml:space="preserve">.”</w:t>
      </w:r>
      <w:r>
        <w:t xml:space="preserve"> </w:t>
      </w:r>
      <w:r>
        <w:rPr>
          <w:i/>
          <w:iCs/>
        </w:rPr>
        <w:t xml:space="preserve">Dataset Explainers</w:t>
      </w:r>
      <w:r>
        <w:t xml:space="preserve">.</w:t>
      </w:r>
      <w:r>
        <w:t xml:space="preserve"> </w:t>
      </w:r>
      <w:hyperlink r:id="rId73">
        <w:r>
          <w:rPr>
            <w:rStyle w:val="Hyperlink"/>
          </w:rPr>
          <w:t xml:space="preserve">https://datasf.gitbook.io/datasf-dataset-explainers/sfpd-incident-report-2018-to-present</w:t>
        </w:r>
      </w:hyperlink>
      <w:r>
        <w:t xml:space="preserve">.</w:t>
      </w:r>
    </w:p>
    <w:bookmarkEnd w:id="74"/>
    <w:bookmarkStart w:id="76" w:name="ref-hartlaub_culture_2022"/>
    <w:p>
      <w:pPr>
        <w:pStyle w:val="Bibliography"/>
      </w:pPr>
      <w:r>
        <w:t xml:space="preserve">Hartlaub, Peter. 2022.</w:t>
      </w:r>
      <w:r>
        <w:t xml:space="preserve"> </w:t>
      </w:r>
      <w:r>
        <w:t xml:space="preserve">“Culture, Protest and an Earthquake-Proof Bank:</w:t>
      </w:r>
      <w:r>
        <w:t xml:space="preserve"> </w:t>
      </w:r>
      <w:r>
        <w:t xml:space="preserve">A</w:t>
      </w:r>
      <w:r>
        <w:t xml:space="preserve"> </w:t>
      </w:r>
      <w:r>
        <w:t xml:space="preserve">Century of Stories from</w:t>
      </w:r>
      <w:r>
        <w:t xml:space="preserve"> </w:t>
      </w:r>
      <w:r>
        <w:t xml:space="preserve">S</w:t>
      </w:r>
      <w:r>
        <w:t xml:space="preserve">.</w:t>
      </w:r>
      <w:r>
        <w:t xml:space="preserve">F</w:t>
      </w:r>
      <w:r>
        <w:t xml:space="preserve">.’s</w:t>
      </w:r>
      <w:r>
        <w:t xml:space="preserve"> </w:t>
      </w:r>
      <w:r>
        <w:t xml:space="preserve">Tenderloin</w:t>
      </w:r>
      <w:r>
        <w:t xml:space="preserve">.”</w:t>
      </w:r>
      <w:r>
        <w:t xml:space="preserve"> </w:t>
      </w:r>
      <w:r>
        <w:rPr>
          <w:i/>
          <w:iCs/>
        </w:rPr>
        <w:t xml:space="preserve">The San Francisco Chronicle</w:t>
      </w:r>
      <w:r>
        <w:t xml:space="preserve">, February.</w:t>
      </w:r>
      <w:r>
        <w:t xml:space="preserve"> </w:t>
      </w:r>
      <w:hyperlink r:id="rId75">
        <w:r>
          <w:rPr>
            <w:rStyle w:val="Hyperlink"/>
          </w:rPr>
          <w:t xml:space="preserve">https://www.sfchronicle.com/projects/2022/san-francisco-tenderloin-history</w:t>
        </w:r>
      </w:hyperlink>
      <w:r>
        <w:t xml:space="preserve">.</w:t>
      </w:r>
    </w:p>
    <w:bookmarkEnd w:id="76"/>
    <w:bookmarkStart w:id="77" w:name="ref-james_introduction_2021"/>
    <w:p>
      <w:pPr>
        <w:pStyle w:val="Bibliography"/>
      </w:pPr>
      <w:r>
        <w:t xml:space="preserve">James, Gareth, Daniela Witten, Trevor Hastie, and Robert Tibshirani. 2021.</w:t>
      </w:r>
      <w:r>
        <w:t xml:space="preserve"> </w:t>
      </w:r>
      <w:r>
        <w:rPr>
          <w:i/>
          <w:iCs/>
        </w:rPr>
        <w:t xml:space="preserve">An</w:t>
      </w:r>
      <w:r>
        <w:rPr>
          <w:i/>
          <w:iCs/>
        </w:rPr>
        <w:t xml:space="preserve"> </w:t>
      </w:r>
      <w:r>
        <w:rPr>
          <w:i/>
          <w:iCs/>
        </w:rPr>
        <w:t xml:space="preserve">Introduction</w:t>
      </w:r>
      <w:r>
        <w:rPr>
          <w:i/>
          <w:iCs/>
        </w:rPr>
        <w:t xml:space="preserve"> </w:t>
      </w:r>
      <w:r>
        <w:rPr>
          <w:i/>
          <w:iCs/>
        </w:rPr>
        <w:t xml:space="preserve">to</w:t>
      </w:r>
      <w:r>
        <w:rPr>
          <w:i/>
          <w:iCs/>
        </w:rPr>
        <w:t xml:space="preserve"> </w:t>
      </w:r>
      <w:r>
        <w:rPr>
          <w:i/>
          <w:iCs/>
        </w:rPr>
        <w:t xml:space="preserve">Statistical</w:t>
      </w:r>
      <w:r>
        <w:rPr>
          <w:i/>
          <w:iCs/>
        </w:rPr>
        <w:t xml:space="preserve"> </w:t>
      </w:r>
      <w:r>
        <w:rPr>
          <w:i/>
          <w:iCs/>
        </w:rPr>
        <w:t xml:space="preserve">Learning</w:t>
      </w:r>
      <w:r>
        <w:rPr>
          <w:i/>
          <w:iCs/>
        </w:rPr>
        <w:t xml:space="preserve">: With</w:t>
      </w:r>
      <w:r>
        <w:rPr>
          <w:i/>
          <w:iCs/>
        </w:rPr>
        <w:t xml:space="preserve"> </w:t>
      </w:r>
      <w:r>
        <w:rPr>
          <w:i/>
          <w:iCs/>
        </w:rPr>
        <w:t xml:space="preserve">Applications</w:t>
      </w:r>
      <w:r>
        <w:rPr>
          <w:i/>
          <w:iCs/>
        </w:rPr>
        <w:t xml:space="preserve"> </w:t>
      </w:r>
      <w:r>
        <w:rPr>
          <w:i/>
          <w:iCs/>
        </w:rPr>
        <w:t xml:space="preserve">in</w:t>
      </w:r>
      <w:r>
        <w:rPr>
          <w:i/>
          <w:iCs/>
        </w:rPr>
        <w:t xml:space="preserve"> </w:t>
      </w:r>
      <w:r>
        <w:rPr>
          <w:i/>
          <w:iCs/>
        </w:rPr>
        <w:t xml:space="preserve">R</w:t>
      </w:r>
      <w:r>
        <w:t xml:space="preserve">. 2nd ed. 2021 edition. New York, NY: Springer.</w:t>
      </w:r>
    </w:p>
    <w:bookmarkEnd w:id="77"/>
    <w:bookmarkStart w:id="79" w:name="ref-neilson_sf_2023"/>
    <w:p>
      <w:pPr>
        <w:pStyle w:val="Bibliography"/>
      </w:pPr>
      <w:r>
        <w:t xml:space="preserve">Neilson, Aldo Toledo, Susie. 2023.</w:t>
      </w:r>
      <w:r>
        <w:t xml:space="preserve"> </w:t>
      </w:r>
      <w:r>
        <w:t xml:space="preserve">“S.</w:t>
      </w:r>
      <w:r>
        <w:t xml:space="preserve">F</w:t>
      </w:r>
      <w:r>
        <w:t xml:space="preserve">. Drug Arrests Are the Highest They’ve Been in a Decade.</w:t>
      </w:r>
      <w:r>
        <w:t xml:space="preserve"> </w:t>
      </w:r>
      <w:r>
        <w:t xml:space="preserve">Here</w:t>
      </w:r>
      <w:r>
        <w:t xml:space="preserve">’s Why.”</w:t>
      </w:r>
      <w:r>
        <w:t xml:space="preserve"> </w:t>
      </w:r>
      <w:r>
        <w:rPr>
          <w:i/>
          <w:iCs/>
        </w:rPr>
        <w:t xml:space="preserve">San Francisco Chronicle</w:t>
      </w:r>
      <w:r>
        <w:t xml:space="preserve">, September.</w:t>
      </w:r>
      <w:r>
        <w:t xml:space="preserve"> </w:t>
      </w:r>
      <w:hyperlink r:id="rId78">
        <w:r>
          <w:rPr>
            <w:rStyle w:val="Hyperlink"/>
          </w:rPr>
          <w:t xml:space="preserve">https://www.sfchronicle.com/sf/article/tenderloin-drug-arrests-18327055.php</w:t>
        </w:r>
      </w:hyperlink>
      <w:r>
        <w:t xml:space="preserve">.</w:t>
      </w:r>
    </w:p>
    <w:bookmarkEnd w:id="79"/>
    <w:bookmarkStart w:id="81" w:name="ref-vanderweele_desirable_2019"/>
    <w:p>
      <w:pPr>
        <w:pStyle w:val="Bibliography"/>
      </w:pPr>
      <w:r>
        <w:t xml:space="preserve">VanderWeele, Tyler J, and Maya B Mathur. 2019.</w:t>
      </w:r>
      <w:r>
        <w:t xml:space="preserve"> </w:t>
      </w:r>
      <w:r>
        <w:t xml:space="preserve">“</w:t>
      </w:r>
      <w:r>
        <w:t xml:space="preserve">SOME</w:t>
      </w:r>
      <w:r>
        <w:t xml:space="preserve"> </w:t>
      </w:r>
      <w:r>
        <w:t xml:space="preserve">DESIRABLE</w:t>
      </w:r>
      <w:r>
        <w:t xml:space="preserve"> </w:t>
      </w:r>
      <w:r>
        <w:t xml:space="preserve">PROPERTIES</w:t>
      </w:r>
      <w:r>
        <w:t xml:space="preserve"> </w:t>
      </w:r>
      <w:r>
        <w:t xml:space="preserve">OF</w:t>
      </w:r>
      <w:r>
        <w:t xml:space="preserve"> </w:t>
      </w:r>
      <w:r>
        <w:t xml:space="preserve">THE</w:t>
      </w:r>
      <w:r>
        <w:t xml:space="preserve"> </w:t>
      </w:r>
      <w:r>
        <w:t xml:space="preserve">BONFERRONI</w:t>
      </w:r>
      <w:r>
        <w:t xml:space="preserve"> </w:t>
      </w:r>
      <w:r>
        <w:t xml:space="preserve">CORRECTION</w:t>
      </w:r>
      <w:r>
        <w:t xml:space="preserve">:</w:t>
      </w:r>
      <w:r>
        <w:t xml:space="preserve"> </w:t>
      </w:r>
      <w:r>
        <w:t xml:space="preserve">IS</w:t>
      </w:r>
      <w:r>
        <w:t xml:space="preserve"> </w:t>
      </w:r>
      <w:r>
        <w:t xml:space="preserve">THE</w:t>
      </w:r>
      <w:r>
        <w:t xml:space="preserve"> </w:t>
      </w:r>
      <w:r>
        <w:t xml:space="preserve">BONFERRONI</w:t>
      </w:r>
      <w:r>
        <w:t xml:space="preserve"> </w:t>
      </w:r>
      <w:r>
        <w:t xml:space="preserve">CORRECTION</w:t>
      </w:r>
      <w:r>
        <w:t xml:space="preserve"> </w:t>
      </w:r>
      <w:r>
        <w:t xml:space="preserve">REALLY</w:t>
      </w:r>
      <w:r>
        <w:t xml:space="preserve"> </w:t>
      </w:r>
      <w:r>
        <w:t xml:space="preserve">SO</w:t>
      </w:r>
      <w:r>
        <w:t xml:space="preserve"> </w:t>
      </w:r>
      <w:r>
        <w:t xml:space="preserve">BAD</w:t>
      </w:r>
      <w:r>
        <w:t xml:space="preserve">?”</w:t>
      </w:r>
      <w:r>
        <w:t xml:space="preserve"> </w:t>
      </w:r>
      <w:r>
        <w:rPr>
          <w:i/>
          <w:iCs/>
        </w:rPr>
        <w:t xml:space="preserve">American Journal of Epidemiology</w:t>
      </w:r>
      <w:r>
        <w:t xml:space="preserve"> </w:t>
      </w:r>
      <w:r>
        <w:t xml:space="preserve">188 (3): 617–18.</w:t>
      </w:r>
      <w:r>
        <w:t xml:space="preserve"> </w:t>
      </w:r>
      <w:hyperlink r:id="rId80">
        <w:r>
          <w:rPr>
            <w:rStyle w:val="Hyperlink"/>
          </w:rPr>
          <w:t xml:space="preserve">https://doi.org/10.1093/aje/kwy250</w:t>
        </w:r>
      </w:hyperlink>
      <w:r>
        <w:t xml:space="preserve">.</w:t>
      </w:r>
    </w:p>
    <w:bookmarkEnd w:id="81"/>
    <w:bookmarkEnd w:id="82"/>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 map defining the</w:t>
      </w:r>
      <w:r>
        <w:t xml:space="preserve"> </w:t>
      </w:r>
      <w:r>
        <w:t xml:space="preserve">“</w:t>
      </w:r>
      <w:r>
        <w:t xml:space="preserve">greater Tenderloin</w:t>
      </w:r>
      <w:r>
        <w:t xml:space="preserve">”</w:t>
      </w:r>
      <w:r>
        <w:t xml:space="preserve"> </w:t>
      </w:r>
      <w:r>
        <w:t xml:space="preserve">is available in Appendix</w:t>
      </w:r>
      <w:r>
        <w:t xml:space="preserve"> </w:t>
      </w:r>
      <w:hyperlink w:anchor="sec-gt">
        <w:r>
          <w:rPr>
            <w:rStyle w:val="Hyperlink"/>
          </w:rPr>
          <w:t xml:space="preserve">Section 4.1.1</w:t>
        </w:r>
      </w:hyperlink>
    </w:p>
  </w:footnote>
  <w:footnote w:id="34">
    <w:p>
      <w:pPr>
        <w:pStyle w:val="FootnoteText"/>
      </w:pPr>
      <w:r>
        <w:rPr>
          <w:rStyle w:val="FootnoteReference"/>
        </w:rPr>
        <w:footnoteRef/>
      </w:r>
      <w:r>
        <w:t xml:space="preserve"> </w:t>
      </w:r>
      <w:r>
        <w:t xml:space="preserve">The U.S. reported its</w:t>
      </w:r>
      <w:r>
        <w:t xml:space="preserve"> </w:t>
      </w:r>
      <w:hyperlink r:id="rId35">
        <w:r>
          <w:rPr>
            <w:rStyle w:val="Hyperlink"/>
          </w:rPr>
          <w:t xml:space="preserve">first COVID-19 case</w:t>
        </w:r>
      </w:hyperlink>
      <w:r>
        <w:t xml:space="preserve"> </w:t>
      </w:r>
      <w:r>
        <w:t xml:space="preserve">in January 2020</w:t>
      </w:r>
    </w:p>
  </w:footnote>
  <w:footnote w:id="38">
    <w:p>
      <w:pPr>
        <w:pStyle w:val="FootnoteText"/>
      </w:pPr>
      <w:r>
        <w:rPr>
          <w:rStyle w:val="FootnoteReference"/>
        </w:rPr>
        <w:footnoteRef/>
      </w:r>
      <w:r>
        <w:t xml:space="preserve"> </w:t>
      </w:r>
      <w:r>
        <w:t xml:space="preserve">“</w:t>
      </w:r>
      <w:r>
        <w:t xml:space="preserve">Drug-use enforcement actions</w:t>
      </w:r>
      <w:r>
        <w:t xml:space="preserve">”</w:t>
      </w:r>
      <w:r>
        <w:t xml:space="preserve"> </w:t>
      </w:r>
      <w:r>
        <w:t xml:space="preserve">are defined in Appendix</w:t>
      </w:r>
      <w:r>
        <w:t xml:space="preserve"> </w:t>
      </w:r>
      <w:hyperlink w:anchor="sec-drug-use">
        <w:r>
          <w:rPr>
            <w:rStyle w:val="Hyperlink"/>
          </w:rPr>
          <w:t xml:space="preserve">Section 4.1.2</w:t>
        </w:r>
      </w:hyperlink>
    </w:p>
  </w:footnote>
  <w:footnote w:id="39">
    <w:p>
      <w:pPr>
        <w:pStyle w:val="FootnoteText"/>
      </w:pPr>
      <w:r>
        <w:rPr>
          <w:rStyle w:val="FootnoteReference"/>
        </w:rPr>
        <w:footnoteRef/>
      </w:r>
      <w:r>
        <w:t xml:space="preserve"> </w:t>
      </w:r>
      <w:r>
        <w:t xml:space="preserve">“</w:t>
      </w:r>
      <w:r>
        <w:t xml:space="preserve">Drug-sale enforcement actions</w:t>
      </w:r>
      <w:r>
        <w:t xml:space="preserve">”</w:t>
      </w:r>
      <w:r>
        <w:t xml:space="preserve"> </w:t>
      </w:r>
      <w:r>
        <w:t xml:space="preserve">are defined in Appendix</w:t>
      </w:r>
      <w:r>
        <w:t xml:space="preserve"> </w:t>
      </w:r>
      <w:hyperlink w:anchor="sec-drug-sale">
        <w:r>
          <w:rPr>
            <w:rStyle w:val="Hyperlink"/>
          </w:rPr>
          <w:t xml:space="preserve">Section 4.1.3</w:t>
        </w:r>
      </w:hyperlink>
    </w:p>
  </w:footnote>
  <w:footnote w:id="66">
    <w:p>
      <w:pPr>
        <w:pStyle w:val="FootnoteText"/>
      </w:pPr>
      <w:r>
        <w:rPr>
          <w:rStyle w:val="FootnoteReference"/>
        </w:rPr>
        <w:footnoteRef/>
      </w:r>
      <w:r>
        <w:t xml:space="preserve"> </w:t>
      </w:r>
      <w:r>
        <w:t xml:space="preserve"> </w:t>
      </w:r>
      <m:oMath>
        <m:r>
          <m:t>C</m:t>
        </m:r>
        <m:r>
          <m:t>I</m:t>
        </m:r>
        <m:r>
          <m:rPr>
            <m:sty m:val="p"/>
          </m:rPr>
          <m:t>=</m:t>
        </m:r>
        <m:r>
          <m:t>1</m:t>
        </m:r>
        <m:r>
          <m:rPr>
            <m:sty m:val="p"/>
          </m:rPr>
          <m:t>−</m:t>
        </m:r>
        <m:r>
          <m:t>α</m:t>
        </m:r>
        <m:r>
          <m:rPr>
            <m:sty m:val="p"/>
          </m:rPr>
          <m:t>=</m:t>
        </m:r>
        <m:r>
          <m:t>1</m:t>
        </m:r>
        <m:r>
          <m:rPr>
            <m:sty m:val="p"/>
          </m:rPr>
          <m:t>−</m:t>
        </m:r>
        <m:r>
          <m:t>.05</m:t>
        </m:r>
        <m:r>
          <m:rPr>
            <m:sty m:val="p"/>
          </m:rPr>
          <m:t>=</m:t>
        </m:r>
        <m:r>
          <m:t>.95</m:t>
        </m:r>
      </m:oMath>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_rels/footnotes.xml.rels><?xml version="1.0" encoding="UTF-8"?><Relationships xmlns="http://schemas.openxmlformats.org/package/2006/relationships"><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Enforcement Activity in San Francisco, 2018-2024</dc:title>
  <dc:creator>Peter Amerkhanian</dc:creator>
  <cp:keywords/>
  <dcterms:created xsi:type="dcterms:W3CDTF">2025-08-14T03:48:47Z</dcterms:created>
  <dcterms:modified xsi:type="dcterms:W3CDTF">2025-08-14T03:48:47Z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hors">
    <vt:lpwstr/>
  </property>
  <property fmtid="{D5CDD505-2E9C-101B-9397-08002B2CF9AE}" pid="4" name="biblio-config">
    <vt:lpwstr>True</vt:lpwstr>
  </property>
  <property fmtid="{D5CDD505-2E9C-101B-9397-08002B2CF9AE}" pid="5" name="bibliography">
    <vt:lpwstr>../memos.bib</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2024-02-17</vt:lpwstr>
  </property>
  <property fmtid="{D5CDD505-2E9C-101B-9397-08002B2CF9AE}" pid="10" name="draft-mode">
    <vt:lpwstr>unlinked</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mage">
    <vt:lpwstr>thumbnail.png</vt:lpwstr>
  </property>
  <property fmtid="{D5CDD505-2E9C-101B-9397-08002B2CF9AE}" pid="15" name="include-after">
    <vt:lpwstr/>
  </property>
  <property fmtid="{D5CDD505-2E9C-101B-9397-08002B2CF9AE}" pid="16" name="include-before">
    <vt:lpwstr/>
  </property>
  <property fmtid="{D5CDD505-2E9C-101B-9397-08002B2CF9AE}" pid="17" name="jupyter">
    <vt:lpwstr>info251</vt:lpwstr>
  </property>
  <property fmtid="{D5CDD505-2E9C-101B-9397-08002B2CF9AE}" pid="18" name="labels">
    <vt:lpwstr/>
  </property>
  <property fmtid="{D5CDD505-2E9C-101B-9397-08002B2CF9AE}" pid="19" name="title-block-banner">
    <vt:lpwstr>True</vt:lpwstr>
  </property>
  <property fmtid="{D5CDD505-2E9C-101B-9397-08002B2CF9AE}" pid="20" name="toc-title">
    <vt:lpwstr>Contents</vt:lpwstr>
  </property>
  <property fmtid="{D5CDD505-2E9C-101B-9397-08002B2CF9AE}" pid="21" name="warnings">
    <vt:lpwstr>False</vt:lpwstr>
  </property>
</Properties>
</file>