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부동산 경매 명도 실무 매뉴얼</w:t>
      </w:r>
    </w:p>
    <w:p>
      <w:r>
        <w:t>본 문서는 부동산 경매 낙찰 이후 명도(점유자 퇴거) 절차를 실무 중심으로 정리한 가이드입니다.</w:t>
        <w:br/>
      </w:r>
    </w:p>
    <w:p>
      <w:pPr>
        <w:pStyle w:val="Heading1"/>
      </w:pPr>
      <w:r>
        <w:t>1. 전체 프로세스</w:t>
      </w:r>
    </w:p>
    <w:p>
      <w:r>
        <w:t>잔금 납부 → 인도명령 신청 → 인용 결정 → 송달 → 강제집행</w:t>
      </w:r>
    </w:p>
    <w:p/>
    <w:p>
      <w:r>
        <w:t>핵심:</w:t>
      </w:r>
    </w:p>
    <w:p>
      <w:r>
        <w:t>- 강제집행은 반드시 송달 완료 이후 가능</w:t>
      </w:r>
    </w:p>
    <w:p>
      <w:r>
        <w:t>- 전체 일정은 송달 속도가 좌우</w:t>
      </w:r>
    </w:p>
    <w:p>
      <w:pPr>
        <w:pStyle w:val="Heading1"/>
      </w:pPr>
      <w:r>
        <w:t>2. 단계별 상세 절차</w:t>
      </w:r>
    </w:p>
    <w:p>
      <w:r>
        <w:t>① 잔금 납부: 소유권 이전 완료 및 법적 권리 확보</w:t>
      </w:r>
    </w:p>
    <w:p>
      <w:r>
        <w:t>② 인도명령 신청: 점유자 퇴거를 위한 법적 요청</w:t>
      </w:r>
    </w:p>
    <w:p>
      <w:r>
        <w:t>③ 인용 결정: 법원 승인 및 결정문 발급</w:t>
      </w:r>
    </w:p>
    <w:p>
      <w:r>
        <w:t>④ 송달: 점유자에게 결정문 전달 (가장 중요)</w:t>
      </w:r>
    </w:p>
    <w:p>
      <w:r>
        <w:t>⑤ 강제집행: 집행관을 통한 퇴거 진행</w:t>
      </w:r>
    </w:p>
    <w:p>
      <w:pPr>
        <w:pStyle w:val="Heading1"/>
      </w:pPr>
      <w:r>
        <w:t>3. 점유자 유형별 차이</w:t>
      </w:r>
    </w:p>
    <w:p>
      <w:r>
        <w:t>[전소유자]</w:t>
      </w:r>
    </w:p>
    <w:p>
      <w:r>
        <w:t>- 임대차 관계 없음</w:t>
      </w:r>
    </w:p>
    <w:p>
      <w:r>
        <w:t>- 빠른 진행 (1~2주)</w:t>
      </w:r>
    </w:p>
    <w:p/>
    <w:p>
      <w:r>
        <w:t>[임차인]</w:t>
      </w:r>
    </w:p>
    <w:p>
      <w:r>
        <w:t>- 신문서 절차 추가</w:t>
      </w:r>
    </w:p>
    <w:p>
      <w:r>
        <w:t>- 약 4주 이상 소요</w:t>
      </w:r>
    </w:p>
    <w:p>
      <w:pPr>
        <w:pStyle w:val="Heading1"/>
      </w:pPr>
      <w:r>
        <w:t>4. 신문서 절차</w:t>
      </w:r>
    </w:p>
    <w:p>
      <w:r>
        <w:t>임차인에게 추가 소명 기회를 주는 절차</w:t>
      </w:r>
    </w:p>
    <w:p>
      <w:r>
        <w:t>1) 신문서 송달</w:t>
      </w:r>
    </w:p>
    <w:p>
      <w:r>
        <w:t>2) 2주 내 답변 요청</w:t>
      </w:r>
    </w:p>
    <w:p>
      <w:r>
        <w:t>3) 미답변 시 인용</w:t>
      </w:r>
    </w:p>
    <w:p>
      <w:pPr>
        <w:pStyle w:val="Heading1"/>
      </w:pPr>
      <w:r>
        <w:t>5. 송달 실패 시 대응</w:t>
      </w:r>
    </w:p>
    <w:p>
      <w:r>
        <w:t>폐문부재 발생 → 반복 시 공시송달 진행</w:t>
      </w:r>
    </w:p>
    <w:p>
      <w:r>
        <w:t>공시송달 시 실제 수령 없이도 효력 발생</w:t>
      </w:r>
    </w:p>
    <w:p>
      <w:r>
        <w:t>단, 기간이 1~2개월 증가</w:t>
      </w:r>
    </w:p>
    <w:p>
      <w:pPr>
        <w:pStyle w:val="Heading1"/>
      </w:pPr>
      <w:r>
        <w:t>6. 실무 전략</w:t>
      </w:r>
    </w:p>
    <w:p>
      <w:r>
        <w:t>- 송달 유도 (수령 독려)</w:t>
      </w:r>
    </w:p>
    <w:p>
      <w:r>
        <w:t>- 점유자 성향 분석</w:t>
      </w:r>
    </w:p>
    <w:p>
      <w:r>
        <w:t>- 협상 / 압박 / 비용 전략 선택</w:t>
      </w:r>
    </w:p>
    <w:p>
      <w:pPr>
        <w:pStyle w:val="Heading1"/>
      </w:pPr>
      <w:r>
        <w:t>7. 빈집(공실) 처리 원칙</w:t>
      </w:r>
    </w:p>
    <w:p>
      <w:r>
        <w:t>[절대 금지]</w:t>
      </w:r>
    </w:p>
    <w:p>
      <w:r>
        <w:t>- 임의 개문</w:t>
      </w:r>
    </w:p>
    <w:p>
      <w:r>
        <w:t>- 무단 출입</w:t>
      </w:r>
    </w:p>
    <w:p/>
    <w:p>
      <w:r>
        <w:t>[이유]</w:t>
      </w:r>
    </w:p>
    <w:p>
      <w:r>
        <w:t>- 주거침입죄 및 형사 문제 발생 가능</w:t>
      </w:r>
    </w:p>
    <w:p/>
    <w:p>
      <w:r>
        <w:t>[정상 방법]</w:t>
      </w:r>
    </w:p>
    <w:p>
      <w:r>
        <w:t>- 인도명령 + 강제집행</w:t>
      </w:r>
    </w:p>
    <w:p>
      <w:r>
        <w:t>- 점유이전금지가처분 활용</w:t>
      </w:r>
    </w:p>
    <w:p>
      <w:pPr>
        <w:pStyle w:val="Heading1"/>
      </w:pPr>
      <w:r>
        <w:t>8. 점유이전금지가처분</w:t>
      </w:r>
    </w:p>
    <w:p>
      <w:r>
        <w:t>목적: 점유자 변경 방지</w:t>
      </w:r>
    </w:p>
    <w:p/>
    <w:p>
      <w:r>
        <w:t>효과:</w:t>
      </w:r>
    </w:p>
    <w:p>
      <w:r>
        <w:t>- 점유자 변경 무력화</w:t>
      </w:r>
    </w:p>
    <w:p>
      <w:r>
        <w:t>- 즉시 집행 가능</w:t>
      </w:r>
    </w:p>
    <w:p/>
    <w:p>
      <w:r>
        <w:t>특징:</w:t>
      </w:r>
    </w:p>
    <w:p>
      <w:r>
        <w:t>- 송달 불필요</w:t>
      </w:r>
    </w:p>
    <w:p>
      <w:r>
        <w:t>- 약 10~14일 소요</w:t>
      </w:r>
    </w:p>
    <w:p>
      <w:r>
        <w:t>- 비용 약 20만원</w:t>
      </w:r>
    </w:p>
    <w:p>
      <w:pPr>
        <w:pStyle w:val="Heading1"/>
      </w:pPr>
      <w:r>
        <w:t>9. 주요 리스크</w:t>
      </w:r>
    </w:p>
    <w:p>
      <w:r>
        <w:t>- 권리행사방해죄</w:t>
      </w:r>
    </w:p>
    <w:p>
      <w:r>
        <w:t>- 절도죄</w:t>
      </w:r>
    </w:p>
    <w:p>
      <w:r>
        <w:t>- 개인정보보호법 위반</w:t>
      </w:r>
    </w:p>
    <w:p>
      <w:r>
        <w:t>- 주거침입</w:t>
      </w:r>
    </w:p>
    <w:p/>
    <w:p>
      <w:r>
        <w:t>→ 모든 리스크는 절차 위반에서 발생</w:t>
      </w:r>
    </w:p>
    <w:p>
      <w:pPr>
        <w:pStyle w:val="Heading1"/>
      </w:pPr>
      <w:r>
        <w:t>10. 핵심 원칙</w:t>
      </w:r>
    </w:p>
    <w:p>
      <w:r>
        <w:t>1) 잔금 이후 절차 시작</w:t>
      </w:r>
    </w:p>
    <w:p>
      <w:r>
        <w:t>2) 송달 완료 전 집행 금지</w:t>
      </w:r>
    </w:p>
    <w:p>
      <w:r>
        <w:t>3) 임차인 절차 고려</w:t>
      </w:r>
    </w:p>
    <w:p>
      <w:r>
        <w:t>4) 공실이라도 임의 개문 금지</w:t>
      </w:r>
    </w:p>
    <w:p>
      <w:r>
        <w:t>5) 반드시 법적 절차 준수</w:t>
      </w:r>
    </w:p>
    <w:p>
      <w:pPr>
        <w:pStyle w:val="Heading1"/>
      </w:pPr>
      <w:r>
        <w:t>11. 결론</w:t>
      </w:r>
    </w:p>
    <w:p>
      <w:r>
        <w:t>명도는 속도의 문제가 아니라</w:t>
      </w:r>
    </w:p>
    <w:p>
      <w:r>
        <w:t>절차와 리스크 관리의 싸움이다.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