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Mitchell Financial Planning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25 Montpellier Walk, Cheltenham, GL50 1SD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Tel: 01242 555 0123  |  Email: advice@mitchellfp.co.uk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FCA Registered No: 123456</w:t>
      </w:r>
    </w:p>
    <w:p>
      <w:pPr>
        <w:pBdr>
          <w:bottom w:val="single" w:color="0066CC" w:sz="6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{date}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{client_name}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{client_address}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{client_name}</w:t>
      </w:r>
      <w:r>
        <w:rPr>
          <w:rFonts w:ascii="Arial" w:cs="Arial" w:eastAsia="Arial" w:hAnsi="Arial"/>
          <w:sz w:val="22"/>
          <w:szCs w:val="22"/>
        </w:rPr>
        <w:t xml:space="preserve">,</w:t>
      </w:r>
    </w:p>
    <w:p>
      <w:pPr>
        <w:spacing w:after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Re: Capital Gains Tax Review —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{tax_year}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writing regarding the capital gains position within your General Investment Account. As part of our ongoing review of your portfolio, I wanted to highlight the following.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Current Position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{cgt_position_detail}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Capital Gains Tax annual exempt amount for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{tax_year}</w:t>
      </w:r>
      <w:r>
        <w:rPr>
          <w:rFonts w:ascii="Arial" w:cs="Arial" w:eastAsia="Arial" w:hAnsi="Arial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{cgt_annual_exempt}</w:t>
      </w:r>
      <w:r>
        <w:rPr>
          <w:rFonts w:ascii="Arial" w:cs="Arial" w:eastAsia="Arial" w:hAnsi="Arial"/>
          <w:sz w:val="22"/>
          <w:szCs w:val="22"/>
        </w:rPr>
        <w:t xml:space="preserve">. Based on the estimated gains within your portfolio, the position is as follows: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gains: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{estimated_gains}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exempt amount: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{cgt_annual_exempt}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Potentially taxable gain: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{taxable_gain}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Estimated CGT liability: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{estimated_cgt_liability}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{cgt_rate_explanation}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Options to Consider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{cgt_options}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would recommend we discuss these options at your earliest convenience to determine the most appropriate course of action before the end of the tax year.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Please contact me to arrange a suitable time.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{adviser_name}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Chartered Financial Planner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Mitchell Financial Planning</w:t>
      </w:r>
    </w:p>
    <w:p>
      <w:pPr>
        <w:spacing w:after="8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This letter is provided for information purposes only and does not constitute financial advice. Mitchell Financial Planning is authorised and regulated by the Financial Conduct Authority.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2026-03-01T07:23:40.656Z</dcterms:created>
  <dcterms:modified xsi:type="dcterms:W3CDTF">2026-03-01T07:23:40.656Z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