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A9ADB" w14:textId="571D8EC4" w:rsidR="00E26743" w:rsidRDefault="00E26743" w:rsidP="003522FD">
      <w:pPr>
        <w:pStyle w:val="Title"/>
        <w:spacing w:after="240"/>
        <w:jc w:val="center"/>
        <w:rPr>
          <w:rFonts w:asciiTheme="minorHAnsi" w:hAnsiTheme="minorHAnsi"/>
          <w:b/>
          <w:bCs/>
          <w:sz w:val="52"/>
          <w:szCs w:val="52"/>
        </w:rPr>
      </w:pPr>
      <w:r w:rsidRPr="008D1244">
        <w:rPr>
          <w:rFonts w:asciiTheme="minorHAnsi" w:hAnsiTheme="minorHAnsi"/>
          <w:b/>
          <w:bCs/>
          <w:sz w:val="52"/>
          <w:szCs w:val="52"/>
        </w:rPr>
        <w:t>Varied Access to NHS Dentists in England: A Clustering Problem</w:t>
      </w:r>
    </w:p>
    <w:p w14:paraId="23FAE7C5" w14:textId="4481B0EE" w:rsidR="00021066" w:rsidRPr="00021066" w:rsidRDefault="00021066" w:rsidP="00021066">
      <w:pPr>
        <w:jc w:val="center"/>
        <w:rPr>
          <w:rFonts w:asciiTheme="minorHAnsi" w:hAnsiTheme="minorHAnsi" w:cstheme="minorHAnsi"/>
          <w:b/>
          <w:bCs/>
          <w:sz w:val="36"/>
          <w:szCs w:val="36"/>
        </w:rPr>
      </w:pPr>
      <w:r w:rsidRPr="00021066">
        <w:rPr>
          <w:rFonts w:asciiTheme="minorHAnsi" w:hAnsiTheme="minorHAnsi" w:cstheme="minorHAnsi"/>
          <w:b/>
          <w:bCs/>
          <w:sz w:val="36"/>
          <w:szCs w:val="36"/>
        </w:rPr>
        <w:t>Capstone Project for IBM Data Science Professional Certificate</w:t>
      </w:r>
    </w:p>
    <w:p w14:paraId="2F7BA6B6" w14:textId="77777777" w:rsidR="00021066" w:rsidRDefault="00021066" w:rsidP="003522FD">
      <w:pPr>
        <w:jc w:val="center"/>
        <w:rPr>
          <w:rFonts w:asciiTheme="minorHAnsi" w:hAnsiTheme="minorHAnsi"/>
          <w:sz w:val="32"/>
          <w:szCs w:val="32"/>
        </w:rPr>
      </w:pPr>
    </w:p>
    <w:p w14:paraId="3E5CA8CD" w14:textId="350F855A" w:rsidR="005C32A0" w:rsidRPr="008D1244" w:rsidRDefault="005C32A0" w:rsidP="003522FD">
      <w:pPr>
        <w:jc w:val="center"/>
        <w:rPr>
          <w:rFonts w:asciiTheme="minorHAnsi" w:hAnsiTheme="minorHAnsi"/>
          <w:sz w:val="32"/>
          <w:szCs w:val="32"/>
        </w:rPr>
      </w:pPr>
      <w:r w:rsidRPr="008D1244">
        <w:rPr>
          <w:rFonts w:asciiTheme="minorHAnsi" w:hAnsiTheme="minorHAnsi"/>
          <w:sz w:val="32"/>
          <w:szCs w:val="32"/>
        </w:rPr>
        <w:t>Peter Lueckert</w:t>
      </w:r>
    </w:p>
    <w:p w14:paraId="17D53B31" w14:textId="7AE0A3F4" w:rsidR="00DF0787" w:rsidRPr="00641BF2" w:rsidRDefault="003241B2" w:rsidP="003522FD">
      <w:pPr>
        <w:jc w:val="center"/>
        <w:rPr>
          <w:rFonts w:asciiTheme="minorHAnsi" w:hAnsiTheme="minorHAnsi"/>
          <w:sz w:val="32"/>
          <w:szCs w:val="32"/>
        </w:rPr>
      </w:pPr>
      <w:r>
        <w:rPr>
          <w:rFonts w:asciiTheme="minorHAnsi" w:hAnsiTheme="minorHAnsi"/>
          <w:sz w:val="32"/>
          <w:szCs w:val="32"/>
        </w:rPr>
        <w:t>31</w:t>
      </w:r>
      <w:r w:rsidR="005C32A0" w:rsidRPr="008D1244">
        <w:rPr>
          <w:rFonts w:asciiTheme="minorHAnsi" w:hAnsiTheme="minorHAnsi"/>
          <w:sz w:val="32"/>
          <w:szCs w:val="32"/>
          <w:vertAlign w:val="superscript"/>
        </w:rPr>
        <w:t>st</w:t>
      </w:r>
      <w:r w:rsidR="005C32A0" w:rsidRPr="008D1244">
        <w:rPr>
          <w:rFonts w:asciiTheme="minorHAnsi" w:hAnsiTheme="minorHAnsi"/>
          <w:sz w:val="32"/>
          <w:szCs w:val="32"/>
        </w:rPr>
        <w:t xml:space="preserve"> </w:t>
      </w:r>
      <w:r>
        <w:rPr>
          <w:rFonts w:asciiTheme="minorHAnsi" w:hAnsiTheme="minorHAnsi"/>
          <w:sz w:val="32"/>
          <w:szCs w:val="32"/>
        </w:rPr>
        <w:t>January</w:t>
      </w:r>
      <w:r w:rsidR="005C32A0" w:rsidRPr="008D1244">
        <w:rPr>
          <w:rFonts w:asciiTheme="minorHAnsi" w:hAnsiTheme="minorHAnsi"/>
          <w:sz w:val="32"/>
          <w:szCs w:val="32"/>
        </w:rPr>
        <w:t xml:space="preserve"> 2021</w:t>
      </w:r>
    </w:p>
    <w:p w14:paraId="4AA29F36" w14:textId="5BC2C0BE" w:rsidR="004D4916" w:rsidRPr="008D1244" w:rsidRDefault="004D4916" w:rsidP="003522FD">
      <w:pPr>
        <w:jc w:val="both"/>
        <w:rPr>
          <w:rFonts w:asciiTheme="minorHAnsi" w:hAnsiTheme="minorHAnsi"/>
        </w:rPr>
      </w:pPr>
    </w:p>
    <w:sdt>
      <w:sdtPr>
        <w:rPr>
          <w:rFonts w:asciiTheme="minorHAnsi" w:eastAsia="Times New Roman" w:hAnsiTheme="minorHAnsi" w:cs="Times New Roman"/>
          <w:color w:val="auto"/>
          <w:sz w:val="24"/>
          <w:szCs w:val="24"/>
          <w:lang w:val="en-GB" w:eastAsia="en-GB"/>
        </w:rPr>
        <w:id w:val="1972932932"/>
        <w:docPartObj>
          <w:docPartGallery w:val="Table of Contents"/>
          <w:docPartUnique/>
        </w:docPartObj>
      </w:sdtPr>
      <w:sdtEndPr>
        <w:rPr>
          <w:b/>
          <w:bCs/>
          <w:noProof/>
        </w:rPr>
      </w:sdtEndPr>
      <w:sdtContent>
        <w:p w14:paraId="687BC38F" w14:textId="26E2AF71" w:rsidR="004D4916" w:rsidRPr="00F01ABA" w:rsidRDefault="004D4916" w:rsidP="003522FD">
          <w:pPr>
            <w:pStyle w:val="TOCHeading"/>
            <w:jc w:val="both"/>
            <w:rPr>
              <w:rFonts w:asciiTheme="minorHAnsi" w:hAnsiTheme="minorHAnsi"/>
              <w:b/>
              <w:bCs/>
              <w:lang w:val="en-GB" w:eastAsia="en-GB"/>
            </w:rPr>
          </w:pPr>
          <w:r w:rsidRPr="00F01ABA">
            <w:rPr>
              <w:rFonts w:asciiTheme="minorHAnsi" w:hAnsiTheme="minorHAnsi"/>
              <w:b/>
              <w:bCs/>
              <w:lang w:val="en-GB" w:eastAsia="en-GB"/>
            </w:rPr>
            <w:t>Contents</w:t>
          </w:r>
        </w:p>
        <w:p w14:paraId="2EA0DDE3" w14:textId="24EE3B19" w:rsidR="00F01ABA" w:rsidRPr="00F01ABA" w:rsidRDefault="004D4916">
          <w:pPr>
            <w:pStyle w:val="TOC1"/>
            <w:tabs>
              <w:tab w:val="left" w:pos="440"/>
              <w:tab w:val="right" w:leader="dot" w:pos="9016"/>
            </w:tabs>
            <w:rPr>
              <w:rFonts w:asciiTheme="minorHAnsi" w:eastAsiaTheme="minorEastAsia" w:hAnsiTheme="minorHAnsi" w:cstheme="minorHAnsi"/>
              <w:noProof/>
              <w:sz w:val="21"/>
              <w:szCs w:val="21"/>
            </w:rPr>
          </w:pPr>
          <w:r w:rsidRPr="00F01ABA">
            <w:rPr>
              <w:rFonts w:asciiTheme="minorHAnsi" w:hAnsiTheme="minorHAnsi" w:cstheme="minorHAnsi"/>
              <w:sz w:val="21"/>
              <w:szCs w:val="21"/>
            </w:rPr>
            <w:fldChar w:fldCharType="begin"/>
          </w:r>
          <w:r w:rsidRPr="00F01ABA">
            <w:rPr>
              <w:rFonts w:asciiTheme="minorHAnsi" w:hAnsiTheme="minorHAnsi" w:cstheme="minorHAnsi"/>
              <w:sz w:val="21"/>
              <w:szCs w:val="21"/>
            </w:rPr>
            <w:instrText xml:space="preserve"> TOC \o "1-3" \h \z \u </w:instrText>
          </w:r>
          <w:r w:rsidRPr="00F01ABA">
            <w:rPr>
              <w:rFonts w:asciiTheme="minorHAnsi" w:hAnsiTheme="minorHAnsi" w:cstheme="minorHAnsi"/>
              <w:sz w:val="21"/>
              <w:szCs w:val="21"/>
            </w:rPr>
            <w:fldChar w:fldCharType="separate"/>
          </w:r>
          <w:hyperlink w:anchor="_Toc63005679" w:history="1">
            <w:r w:rsidR="00F01ABA" w:rsidRPr="00F01ABA">
              <w:rPr>
                <w:rStyle w:val="Hyperlink"/>
                <w:rFonts w:asciiTheme="minorHAnsi" w:hAnsiTheme="minorHAnsi" w:cstheme="minorHAnsi"/>
                <w:noProof/>
                <w:sz w:val="21"/>
                <w:szCs w:val="21"/>
              </w:rPr>
              <w:t>1.</w:t>
            </w:r>
            <w:r w:rsidR="00F01ABA" w:rsidRPr="00F01ABA">
              <w:rPr>
                <w:rFonts w:asciiTheme="minorHAnsi" w:eastAsiaTheme="minorEastAsia" w:hAnsiTheme="minorHAnsi" w:cstheme="minorHAnsi"/>
                <w:noProof/>
                <w:sz w:val="21"/>
                <w:szCs w:val="21"/>
              </w:rPr>
              <w:tab/>
            </w:r>
            <w:r w:rsidR="00F01ABA" w:rsidRPr="00F01ABA">
              <w:rPr>
                <w:rStyle w:val="Hyperlink"/>
                <w:rFonts w:asciiTheme="minorHAnsi" w:hAnsiTheme="minorHAnsi" w:cstheme="minorHAnsi"/>
                <w:noProof/>
                <w:sz w:val="21"/>
                <w:szCs w:val="21"/>
              </w:rPr>
              <w:t>Introduction</w:t>
            </w:r>
            <w:r w:rsidR="00F01ABA" w:rsidRPr="00F01ABA">
              <w:rPr>
                <w:rFonts w:asciiTheme="minorHAnsi" w:hAnsiTheme="minorHAnsi" w:cstheme="minorHAnsi"/>
                <w:noProof/>
                <w:webHidden/>
                <w:sz w:val="21"/>
                <w:szCs w:val="21"/>
              </w:rPr>
              <w:tab/>
            </w:r>
            <w:r w:rsidR="00F01ABA" w:rsidRPr="00F01ABA">
              <w:rPr>
                <w:rFonts w:asciiTheme="minorHAnsi" w:hAnsiTheme="minorHAnsi" w:cstheme="minorHAnsi"/>
                <w:noProof/>
                <w:webHidden/>
                <w:sz w:val="21"/>
                <w:szCs w:val="21"/>
              </w:rPr>
              <w:fldChar w:fldCharType="begin"/>
            </w:r>
            <w:r w:rsidR="00F01ABA" w:rsidRPr="00F01ABA">
              <w:rPr>
                <w:rFonts w:asciiTheme="minorHAnsi" w:hAnsiTheme="minorHAnsi" w:cstheme="minorHAnsi"/>
                <w:noProof/>
                <w:webHidden/>
                <w:sz w:val="21"/>
                <w:szCs w:val="21"/>
              </w:rPr>
              <w:instrText xml:space="preserve"> PAGEREF _Toc63005679 \h </w:instrText>
            </w:r>
            <w:r w:rsidR="00F01ABA" w:rsidRPr="00F01ABA">
              <w:rPr>
                <w:rFonts w:asciiTheme="minorHAnsi" w:hAnsiTheme="minorHAnsi" w:cstheme="minorHAnsi"/>
                <w:noProof/>
                <w:webHidden/>
                <w:sz w:val="21"/>
                <w:szCs w:val="21"/>
              </w:rPr>
            </w:r>
            <w:r w:rsidR="00F01ABA" w:rsidRPr="00F01ABA">
              <w:rPr>
                <w:rFonts w:asciiTheme="minorHAnsi" w:hAnsiTheme="minorHAnsi" w:cstheme="minorHAnsi"/>
                <w:noProof/>
                <w:webHidden/>
                <w:sz w:val="21"/>
                <w:szCs w:val="21"/>
              </w:rPr>
              <w:fldChar w:fldCharType="separate"/>
            </w:r>
            <w:r w:rsidR="00F01ABA" w:rsidRPr="00F01ABA">
              <w:rPr>
                <w:rFonts w:asciiTheme="minorHAnsi" w:hAnsiTheme="minorHAnsi" w:cstheme="minorHAnsi"/>
                <w:noProof/>
                <w:webHidden/>
                <w:sz w:val="21"/>
                <w:szCs w:val="21"/>
              </w:rPr>
              <w:t>1</w:t>
            </w:r>
            <w:r w:rsidR="00F01ABA" w:rsidRPr="00F01ABA">
              <w:rPr>
                <w:rFonts w:asciiTheme="minorHAnsi" w:hAnsiTheme="minorHAnsi" w:cstheme="minorHAnsi"/>
                <w:noProof/>
                <w:webHidden/>
                <w:sz w:val="21"/>
                <w:szCs w:val="21"/>
              </w:rPr>
              <w:fldChar w:fldCharType="end"/>
            </w:r>
          </w:hyperlink>
        </w:p>
        <w:p w14:paraId="6C6D2308" w14:textId="4B20B865" w:rsidR="00F01ABA" w:rsidRPr="00F01ABA" w:rsidRDefault="00F01ABA">
          <w:pPr>
            <w:pStyle w:val="TOC1"/>
            <w:tabs>
              <w:tab w:val="left" w:pos="440"/>
              <w:tab w:val="right" w:leader="dot" w:pos="9016"/>
            </w:tabs>
            <w:rPr>
              <w:rFonts w:asciiTheme="minorHAnsi" w:eastAsiaTheme="minorEastAsia" w:hAnsiTheme="minorHAnsi" w:cstheme="minorHAnsi"/>
              <w:noProof/>
              <w:sz w:val="21"/>
              <w:szCs w:val="21"/>
            </w:rPr>
          </w:pPr>
          <w:hyperlink w:anchor="_Toc63005680" w:history="1">
            <w:r w:rsidRPr="00F01ABA">
              <w:rPr>
                <w:rStyle w:val="Hyperlink"/>
                <w:rFonts w:asciiTheme="minorHAnsi" w:hAnsiTheme="minorHAnsi" w:cstheme="minorHAnsi"/>
                <w:noProof/>
                <w:sz w:val="21"/>
                <w:szCs w:val="21"/>
              </w:rPr>
              <w:t>2.</w:t>
            </w:r>
            <w:r w:rsidRPr="00F01ABA">
              <w:rPr>
                <w:rFonts w:asciiTheme="minorHAnsi" w:eastAsiaTheme="minorEastAsia" w:hAnsiTheme="minorHAnsi" w:cstheme="minorHAnsi"/>
                <w:noProof/>
                <w:sz w:val="21"/>
                <w:szCs w:val="21"/>
              </w:rPr>
              <w:tab/>
            </w:r>
            <w:r w:rsidRPr="00F01ABA">
              <w:rPr>
                <w:rStyle w:val="Hyperlink"/>
                <w:rFonts w:asciiTheme="minorHAnsi" w:hAnsiTheme="minorHAnsi" w:cstheme="minorHAnsi"/>
                <w:noProof/>
                <w:sz w:val="21"/>
                <w:szCs w:val="21"/>
              </w:rPr>
              <w:t>Data</w:t>
            </w:r>
            <w:r w:rsidRPr="00F01ABA">
              <w:rPr>
                <w:rFonts w:asciiTheme="minorHAnsi" w:hAnsiTheme="minorHAnsi" w:cstheme="minorHAnsi"/>
                <w:noProof/>
                <w:webHidden/>
                <w:sz w:val="21"/>
                <w:szCs w:val="21"/>
              </w:rPr>
              <w:tab/>
            </w:r>
            <w:r w:rsidRPr="00F01ABA">
              <w:rPr>
                <w:rFonts w:asciiTheme="minorHAnsi" w:hAnsiTheme="minorHAnsi" w:cstheme="minorHAnsi"/>
                <w:noProof/>
                <w:webHidden/>
                <w:sz w:val="21"/>
                <w:szCs w:val="21"/>
              </w:rPr>
              <w:fldChar w:fldCharType="begin"/>
            </w:r>
            <w:r w:rsidRPr="00F01ABA">
              <w:rPr>
                <w:rFonts w:asciiTheme="minorHAnsi" w:hAnsiTheme="minorHAnsi" w:cstheme="minorHAnsi"/>
                <w:noProof/>
                <w:webHidden/>
                <w:sz w:val="21"/>
                <w:szCs w:val="21"/>
              </w:rPr>
              <w:instrText xml:space="preserve"> PAGEREF _Toc63005680 \h </w:instrText>
            </w:r>
            <w:r w:rsidRPr="00F01ABA">
              <w:rPr>
                <w:rFonts w:asciiTheme="minorHAnsi" w:hAnsiTheme="minorHAnsi" w:cstheme="minorHAnsi"/>
                <w:noProof/>
                <w:webHidden/>
                <w:sz w:val="21"/>
                <w:szCs w:val="21"/>
              </w:rPr>
            </w:r>
            <w:r w:rsidRPr="00F01ABA">
              <w:rPr>
                <w:rFonts w:asciiTheme="minorHAnsi" w:hAnsiTheme="minorHAnsi" w:cstheme="minorHAnsi"/>
                <w:noProof/>
                <w:webHidden/>
                <w:sz w:val="21"/>
                <w:szCs w:val="21"/>
              </w:rPr>
              <w:fldChar w:fldCharType="separate"/>
            </w:r>
            <w:r w:rsidRPr="00F01ABA">
              <w:rPr>
                <w:rFonts w:asciiTheme="minorHAnsi" w:hAnsiTheme="minorHAnsi" w:cstheme="minorHAnsi"/>
                <w:noProof/>
                <w:webHidden/>
                <w:sz w:val="21"/>
                <w:szCs w:val="21"/>
              </w:rPr>
              <w:t>2</w:t>
            </w:r>
            <w:r w:rsidRPr="00F01ABA">
              <w:rPr>
                <w:rFonts w:asciiTheme="minorHAnsi" w:hAnsiTheme="minorHAnsi" w:cstheme="minorHAnsi"/>
                <w:noProof/>
                <w:webHidden/>
                <w:sz w:val="21"/>
                <w:szCs w:val="21"/>
              </w:rPr>
              <w:fldChar w:fldCharType="end"/>
            </w:r>
          </w:hyperlink>
        </w:p>
        <w:p w14:paraId="31E5D461" w14:textId="4625C361" w:rsidR="00F01ABA" w:rsidRPr="00F01ABA" w:rsidRDefault="00F01ABA">
          <w:pPr>
            <w:pStyle w:val="TOC1"/>
            <w:tabs>
              <w:tab w:val="right" w:leader="dot" w:pos="9016"/>
            </w:tabs>
            <w:rPr>
              <w:rFonts w:asciiTheme="minorHAnsi" w:eastAsiaTheme="minorEastAsia" w:hAnsiTheme="minorHAnsi" w:cstheme="minorHAnsi"/>
              <w:noProof/>
              <w:sz w:val="21"/>
              <w:szCs w:val="21"/>
            </w:rPr>
          </w:pPr>
          <w:hyperlink w:anchor="_Toc63005681" w:history="1">
            <w:r w:rsidRPr="00F01ABA">
              <w:rPr>
                <w:rStyle w:val="Hyperlink"/>
                <w:rFonts w:asciiTheme="minorHAnsi" w:hAnsiTheme="minorHAnsi" w:cstheme="minorHAnsi"/>
                <w:noProof/>
                <w:sz w:val="21"/>
                <w:szCs w:val="21"/>
              </w:rPr>
              <w:t>References</w:t>
            </w:r>
            <w:r w:rsidRPr="00F01ABA">
              <w:rPr>
                <w:rFonts w:asciiTheme="minorHAnsi" w:hAnsiTheme="minorHAnsi" w:cstheme="minorHAnsi"/>
                <w:noProof/>
                <w:webHidden/>
                <w:sz w:val="21"/>
                <w:szCs w:val="21"/>
              </w:rPr>
              <w:tab/>
            </w:r>
            <w:r w:rsidRPr="00F01ABA">
              <w:rPr>
                <w:rFonts w:asciiTheme="minorHAnsi" w:hAnsiTheme="minorHAnsi" w:cstheme="minorHAnsi"/>
                <w:noProof/>
                <w:webHidden/>
                <w:sz w:val="21"/>
                <w:szCs w:val="21"/>
              </w:rPr>
              <w:fldChar w:fldCharType="begin"/>
            </w:r>
            <w:r w:rsidRPr="00F01ABA">
              <w:rPr>
                <w:rFonts w:asciiTheme="minorHAnsi" w:hAnsiTheme="minorHAnsi" w:cstheme="minorHAnsi"/>
                <w:noProof/>
                <w:webHidden/>
                <w:sz w:val="21"/>
                <w:szCs w:val="21"/>
              </w:rPr>
              <w:instrText xml:space="preserve"> PAGEREF _Toc63005681 \h </w:instrText>
            </w:r>
            <w:r w:rsidRPr="00F01ABA">
              <w:rPr>
                <w:rFonts w:asciiTheme="minorHAnsi" w:hAnsiTheme="minorHAnsi" w:cstheme="minorHAnsi"/>
                <w:noProof/>
                <w:webHidden/>
                <w:sz w:val="21"/>
                <w:szCs w:val="21"/>
              </w:rPr>
            </w:r>
            <w:r w:rsidRPr="00F01ABA">
              <w:rPr>
                <w:rFonts w:asciiTheme="minorHAnsi" w:hAnsiTheme="minorHAnsi" w:cstheme="minorHAnsi"/>
                <w:noProof/>
                <w:webHidden/>
                <w:sz w:val="21"/>
                <w:szCs w:val="21"/>
              </w:rPr>
              <w:fldChar w:fldCharType="separate"/>
            </w:r>
            <w:r w:rsidRPr="00F01ABA">
              <w:rPr>
                <w:rFonts w:asciiTheme="minorHAnsi" w:hAnsiTheme="minorHAnsi" w:cstheme="minorHAnsi"/>
                <w:noProof/>
                <w:webHidden/>
                <w:sz w:val="21"/>
                <w:szCs w:val="21"/>
              </w:rPr>
              <w:t>3</w:t>
            </w:r>
            <w:r w:rsidRPr="00F01ABA">
              <w:rPr>
                <w:rFonts w:asciiTheme="minorHAnsi" w:hAnsiTheme="minorHAnsi" w:cstheme="minorHAnsi"/>
                <w:noProof/>
                <w:webHidden/>
                <w:sz w:val="21"/>
                <w:szCs w:val="21"/>
              </w:rPr>
              <w:fldChar w:fldCharType="end"/>
            </w:r>
          </w:hyperlink>
        </w:p>
        <w:p w14:paraId="596928F7" w14:textId="59116B6C" w:rsidR="004D4916" w:rsidRPr="008D1244" w:rsidRDefault="004D4916" w:rsidP="003522FD">
          <w:pPr>
            <w:jc w:val="both"/>
            <w:rPr>
              <w:rFonts w:asciiTheme="minorHAnsi" w:hAnsiTheme="minorHAnsi"/>
            </w:rPr>
          </w:pPr>
          <w:r w:rsidRPr="00F01ABA">
            <w:rPr>
              <w:rFonts w:asciiTheme="minorHAnsi" w:hAnsiTheme="minorHAnsi" w:cstheme="minorHAnsi"/>
              <w:noProof/>
              <w:sz w:val="21"/>
              <w:szCs w:val="21"/>
            </w:rPr>
            <w:fldChar w:fldCharType="end"/>
          </w:r>
        </w:p>
      </w:sdtContent>
    </w:sdt>
    <w:p w14:paraId="15B1C824" w14:textId="2F7A2B96" w:rsidR="00607D37" w:rsidRPr="00607D37" w:rsidRDefault="00E26743" w:rsidP="003522FD">
      <w:pPr>
        <w:pStyle w:val="Heading1"/>
        <w:numPr>
          <w:ilvl w:val="0"/>
          <w:numId w:val="2"/>
        </w:numPr>
        <w:jc w:val="both"/>
        <w:rPr>
          <w:rFonts w:asciiTheme="minorHAnsi" w:hAnsiTheme="minorHAnsi"/>
          <w:b/>
          <w:bCs/>
        </w:rPr>
      </w:pPr>
      <w:bookmarkStart w:id="0" w:name="_Toc63005679"/>
      <w:r w:rsidRPr="008D1244">
        <w:rPr>
          <w:rFonts w:asciiTheme="minorHAnsi" w:hAnsiTheme="minorHAnsi"/>
          <w:b/>
          <w:bCs/>
        </w:rPr>
        <w:t>Introductio</w:t>
      </w:r>
      <w:r w:rsidR="00607D37">
        <w:rPr>
          <w:rFonts w:asciiTheme="minorHAnsi" w:hAnsiTheme="minorHAnsi"/>
          <w:b/>
          <w:bCs/>
        </w:rPr>
        <w:t>n</w:t>
      </w:r>
      <w:bookmarkEnd w:id="0"/>
    </w:p>
    <w:p w14:paraId="71CC3725" w14:textId="6118EC91" w:rsidR="002C7713" w:rsidRDefault="005A4510" w:rsidP="003522FD">
      <w:pPr>
        <w:shd w:val="clear" w:color="auto" w:fill="FFFFFF"/>
        <w:spacing w:before="100" w:beforeAutospacing="1" w:after="150"/>
        <w:jc w:val="both"/>
        <w:rPr>
          <w:rFonts w:asciiTheme="minorHAnsi" w:hAnsiTheme="minorHAnsi" w:cs="Arial"/>
          <w:color w:val="FF0000"/>
          <w:sz w:val="21"/>
          <w:szCs w:val="21"/>
        </w:rPr>
      </w:pPr>
      <w:r>
        <w:rPr>
          <w:rFonts w:asciiTheme="minorHAnsi" w:hAnsiTheme="minorHAnsi" w:cs="Arial"/>
          <w:color w:val="1F1F1F"/>
          <w:sz w:val="21"/>
          <w:szCs w:val="21"/>
        </w:rPr>
        <w:t xml:space="preserve">Unfortunately, oral health and access to NHS dental practices is not the same across England. According to </w:t>
      </w:r>
      <w:r w:rsidR="00B24EB7">
        <w:rPr>
          <w:rFonts w:asciiTheme="minorHAnsi" w:hAnsiTheme="minorHAnsi" w:cs="Arial"/>
          <w:color w:val="1F1F1F"/>
          <w:sz w:val="21"/>
          <w:szCs w:val="21"/>
        </w:rPr>
        <w:t>Public Health England</w:t>
      </w:r>
      <w:r>
        <w:rPr>
          <w:rFonts w:asciiTheme="minorHAnsi" w:hAnsiTheme="minorHAnsi" w:cs="Arial"/>
          <w:color w:val="1F1F1F"/>
          <w:sz w:val="21"/>
          <w:szCs w:val="21"/>
        </w:rPr>
        <w:t xml:space="preserve">, </w:t>
      </w:r>
      <w:r w:rsidR="00176E82">
        <w:rPr>
          <w:rFonts w:asciiTheme="minorHAnsi" w:hAnsiTheme="minorHAnsi" w:cs="Arial"/>
          <w:color w:val="1F1F1F"/>
          <w:sz w:val="21"/>
          <w:szCs w:val="21"/>
        </w:rPr>
        <w:t xml:space="preserve">the </w:t>
      </w:r>
      <w:r w:rsidR="00B24EB7">
        <w:rPr>
          <w:rFonts w:asciiTheme="minorHAnsi" w:hAnsiTheme="minorHAnsi" w:cs="Arial"/>
          <w:color w:val="1F1F1F"/>
          <w:sz w:val="21"/>
          <w:szCs w:val="21"/>
        </w:rPr>
        <w:t>p</w:t>
      </w:r>
      <w:r w:rsidR="00B24EB7" w:rsidRPr="00B24EB7">
        <w:rPr>
          <w:rFonts w:asciiTheme="minorHAnsi" w:hAnsiTheme="minorHAnsi" w:cs="Arial"/>
          <w:color w:val="1F1F1F"/>
          <w:sz w:val="21"/>
          <w:szCs w:val="21"/>
        </w:rPr>
        <w:t>ercentage of 5-year olds visually obvious dental decay</w:t>
      </w:r>
      <w:r w:rsidR="00176E82">
        <w:rPr>
          <w:rFonts w:asciiTheme="minorHAnsi" w:hAnsiTheme="minorHAnsi" w:cs="Arial"/>
          <w:color w:val="1F1F1F"/>
          <w:sz w:val="21"/>
          <w:szCs w:val="21"/>
        </w:rPr>
        <w:t xml:space="preserve"> varies dramatically </w:t>
      </w:r>
      <w:r w:rsidR="00A62644">
        <w:rPr>
          <w:rFonts w:asciiTheme="minorHAnsi" w:hAnsiTheme="minorHAnsi" w:cs="Arial"/>
          <w:color w:val="1F1F1F"/>
          <w:sz w:val="21"/>
          <w:szCs w:val="21"/>
        </w:rPr>
        <w:t xml:space="preserve">from </w:t>
      </w:r>
      <w:r w:rsidR="00787064">
        <w:rPr>
          <w:rFonts w:asciiTheme="minorHAnsi" w:hAnsiTheme="minorHAnsi" w:cs="Arial"/>
          <w:color w:val="1F1F1F"/>
          <w:sz w:val="21"/>
          <w:szCs w:val="21"/>
        </w:rPr>
        <w:t>D</w:t>
      </w:r>
      <w:r w:rsidR="00A62644">
        <w:rPr>
          <w:rFonts w:asciiTheme="minorHAnsi" w:hAnsiTheme="minorHAnsi" w:cs="Arial"/>
          <w:color w:val="1F1F1F"/>
          <w:sz w:val="21"/>
          <w:szCs w:val="21"/>
        </w:rPr>
        <w:t xml:space="preserve">istrict to </w:t>
      </w:r>
      <w:r w:rsidR="00787064">
        <w:rPr>
          <w:rFonts w:asciiTheme="minorHAnsi" w:hAnsiTheme="minorHAnsi" w:cs="Arial"/>
          <w:color w:val="1F1F1F"/>
          <w:sz w:val="21"/>
          <w:szCs w:val="21"/>
        </w:rPr>
        <w:t>D</w:t>
      </w:r>
      <w:r w:rsidR="00A62644">
        <w:rPr>
          <w:rFonts w:asciiTheme="minorHAnsi" w:hAnsiTheme="minorHAnsi" w:cs="Arial"/>
          <w:color w:val="1F1F1F"/>
          <w:sz w:val="21"/>
          <w:szCs w:val="21"/>
        </w:rPr>
        <w:t>istrict</w:t>
      </w:r>
      <w:r w:rsidR="00176E82">
        <w:rPr>
          <w:rFonts w:asciiTheme="minorHAnsi" w:hAnsiTheme="minorHAnsi" w:cs="Arial"/>
          <w:color w:val="1F1F1F"/>
          <w:sz w:val="21"/>
          <w:szCs w:val="21"/>
        </w:rPr>
        <w:t xml:space="preserve">. </w:t>
      </w:r>
      <w:r w:rsidR="00B24EB7">
        <w:rPr>
          <w:rFonts w:asciiTheme="minorHAnsi" w:hAnsiTheme="minorHAnsi" w:cs="Arial"/>
          <w:color w:val="1F1F1F"/>
          <w:sz w:val="21"/>
          <w:szCs w:val="21"/>
        </w:rPr>
        <w:t xml:space="preserve">For example, in </w:t>
      </w:r>
      <w:r w:rsidR="00B24EB7" w:rsidRPr="00B24EB7">
        <w:rPr>
          <w:rFonts w:asciiTheme="minorHAnsi" w:hAnsiTheme="minorHAnsi" w:cs="Arial"/>
          <w:color w:val="1F1F1F"/>
          <w:sz w:val="21"/>
          <w:szCs w:val="21"/>
        </w:rPr>
        <w:t>Blackburn with Darwen</w:t>
      </w:r>
      <w:r w:rsidR="00B24EB7">
        <w:rPr>
          <w:rFonts w:asciiTheme="minorHAnsi" w:hAnsiTheme="minorHAnsi" w:cs="Arial"/>
          <w:color w:val="1F1F1F"/>
          <w:sz w:val="21"/>
          <w:szCs w:val="21"/>
        </w:rPr>
        <w:t xml:space="preserve"> 50.9% of 5-year olds showed obvious tooth decay, compared to Hastings with </w:t>
      </w:r>
      <w:r w:rsidR="00A62644">
        <w:rPr>
          <w:rFonts w:asciiTheme="minorHAnsi" w:hAnsiTheme="minorHAnsi" w:cs="Arial"/>
          <w:color w:val="1F1F1F"/>
          <w:sz w:val="21"/>
          <w:szCs w:val="21"/>
        </w:rPr>
        <w:t xml:space="preserve">only </w:t>
      </w:r>
      <w:r w:rsidR="00B24EB7">
        <w:rPr>
          <w:rFonts w:asciiTheme="minorHAnsi" w:hAnsiTheme="minorHAnsi" w:cs="Arial"/>
          <w:color w:val="1F1F1F"/>
          <w:sz w:val="21"/>
          <w:szCs w:val="21"/>
        </w:rPr>
        <w:t>1.1% in 2018/19</w:t>
      </w:r>
      <w:sdt>
        <w:sdtPr>
          <w:rPr>
            <w:rFonts w:asciiTheme="minorHAnsi" w:hAnsiTheme="minorHAnsi" w:cs="Arial"/>
            <w:color w:val="1F1F1F"/>
            <w:sz w:val="21"/>
            <w:szCs w:val="21"/>
          </w:rPr>
          <w:id w:val="1119408123"/>
          <w:citation/>
        </w:sdtPr>
        <w:sdtContent>
          <w:r w:rsidR="003B5240">
            <w:rPr>
              <w:rFonts w:asciiTheme="minorHAnsi" w:hAnsiTheme="minorHAnsi" w:cs="Arial"/>
              <w:color w:val="1F1F1F"/>
              <w:sz w:val="21"/>
              <w:szCs w:val="21"/>
            </w:rPr>
            <w:fldChar w:fldCharType="begin"/>
          </w:r>
          <w:r w:rsidR="00783EF6">
            <w:rPr>
              <w:rFonts w:asciiTheme="minorHAnsi" w:hAnsiTheme="minorHAnsi" w:cs="Arial"/>
              <w:color w:val="1F1F1F"/>
              <w:sz w:val="21"/>
              <w:szCs w:val="21"/>
            </w:rPr>
            <w:instrText xml:space="preserve">CITATION Pub20 \l 2057 </w:instrText>
          </w:r>
          <w:r w:rsidR="003B5240">
            <w:rPr>
              <w:rFonts w:asciiTheme="minorHAnsi" w:hAnsiTheme="minorHAnsi" w:cs="Arial"/>
              <w:color w:val="1F1F1F"/>
              <w:sz w:val="21"/>
              <w:szCs w:val="21"/>
            </w:rPr>
            <w:fldChar w:fldCharType="separate"/>
          </w:r>
          <w:r w:rsidR="00E031D7">
            <w:rPr>
              <w:rFonts w:asciiTheme="minorHAnsi" w:hAnsiTheme="minorHAnsi" w:cs="Arial"/>
              <w:noProof/>
              <w:color w:val="1F1F1F"/>
              <w:sz w:val="21"/>
              <w:szCs w:val="21"/>
            </w:rPr>
            <w:t xml:space="preserve"> </w:t>
          </w:r>
          <w:r w:rsidR="00E031D7" w:rsidRPr="00E031D7">
            <w:rPr>
              <w:rFonts w:asciiTheme="minorHAnsi" w:hAnsiTheme="minorHAnsi" w:cs="Arial"/>
              <w:noProof/>
              <w:color w:val="1F1F1F"/>
              <w:sz w:val="21"/>
              <w:szCs w:val="21"/>
            </w:rPr>
            <w:t>(Public Health England, 2021)</w:t>
          </w:r>
          <w:r w:rsidR="003B5240">
            <w:rPr>
              <w:rFonts w:asciiTheme="minorHAnsi" w:hAnsiTheme="minorHAnsi" w:cs="Arial"/>
              <w:color w:val="1F1F1F"/>
              <w:sz w:val="21"/>
              <w:szCs w:val="21"/>
            </w:rPr>
            <w:fldChar w:fldCharType="end"/>
          </w:r>
        </w:sdtContent>
      </w:sdt>
      <w:r w:rsidR="00B24EB7">
        <w:rPr>
          <w:rFonts w:asciiTheme="minorHAnsi" w:hAnsiTheme="minorHAnsi" w:cs="Arial"/>
          <w:color w:val="1F1F1F"/>
          <w:sz w:val="21"/>
          <w:szCs w:val="21"/>
        </w:rPr>
        <w:t xml:space="preserve">. </w:t>
      </w:r>
    </w:p>
    <w:p w14:paraId="435C9230" w14:textId="3AAEAD4A" w:rsidR="00607D37" w:rsidRDefault="00176E82" w:rsidP="003522FD">
      <w:pPr>
        <w:shd w:val="clear" w:color="auto" w:fill="FFFFFF"/>
        <w:spacing w:before="100" w:beforeAutospacing="1" w:after="150"/>
        <w:jc w:val="both"/>
        <w:rPr>
          <w:rFonts w:asciiTheme="minorHAnsi" w:hAnsiTheme="minorHAnsi" w:cs="Arial"/>
          <w:color w:val="1F1F1F"/>
          <w:sz w:val="21"/>
          <w:szCs w:val="21"/>
        </w:rPr>
      </w:pPr>
      <w:r>
        <w:rPr>
          <w:rFonts w:asciiTheme="minorHAnsi" w:hAnsiTheme="minorHAnsi" w:cs="Arial"/>
          <w:color w:val="1F1F1F"/>
          <w:sz w:val="21"/>
          <w:szCs w:val="21"/>
        </w:rPr>
        <w:t xml:space="preserve">There are also stark differences when it comes to the number of dental practices by population. </w:t>
      </w:r>
      <w:r w:rsidR="00A62644">
        <w:rPr>
          <w:rFonts w:asciiTheme="minorHAnsi" w:hAnsiTheme="minorHAnsi" w:cs="Arial"/>
          <w:color w:val="1F1F1F"/>
          <w:sz w:val="21"/>
          <w:szCs w:val="21"/>
        </w:rPr>
        <w:t xml:space="preserve">In </w:t>
      </w:r>
      <w:r w:rsidR="00A62644" w:rsidRPr="00A62644">
        <w:rPr>
          <w:rFonts w:asciiTheme="minorHAnsi" w:hAnsiTheme="minorHAnsi" w:cs="Arial"/>
          <w:color w:val="1F1F1F"/>
          <w:sz w:val="21"/>
          <w:szCs w:val="21"/>
        </w:rPr>
        <w:t>Ashfield</w:t>
      </w:r>
      <w:r w:rsidR="00A62644">
        <w:rPr>
          <w:rFonts w:asciiTheme="minorHAnsi" w:hAnsiTheme="minorHAnsi" w:cs="Arial"/>
          <w:color w:val="1F1F1F"/>
          <w:sz w:val="21"/>
          <w:szCs w:val="21"/>
        </w:rPr>
        <w:t xml:space="preserve"> for instance </w:t>
      </w:r>
      <w:r w:rsidR="00787064">
        <w:rPr>
          <w:rFonts w:asciiTheme="minorHAnsi" w:hAnsiTheme="minorHAnsi" w:cs="Arial"/>
          <w:color w:val="1F1F1F"/>
          <w:sz w:val="21"/>
          <w:szCs w:val="21"/>
        </w:rPr>
        <w:t xml:space="preserve">are </w:t>
      </w:r>
      <w:r w:rsidR="00A62644">
        <w:rPr>
          <w:rFonts w:asciiTheme="minorHAnsi" w:hAnsiTheme="minorHAnsi" w:cs="Arial"/>
          <w:color w:val="1F1F1F"/>
          <w:sz w:val="21"/>
          <w:szCs w:val="21"/>
        </w:rPr>
        <w:t>there only 0.7 dental practices per 10,000 population whereas Westminster, London has 4.1 dental practices per 10,000 population</w:t>
      </w:r>
      <w:r w:rsidR="00FB5526">
        <w:rPr>
          <w:rFonts w:asciiTheme="minorHAnsi" w:hAnsiTheme="minorHAnsi" w:cs="Arial"/>
          <w:color w:val="1F1F1F"/>
          <w:sz w:val="21"/>
          <w:szCs w:val="21"/>
        </w:rPr>
        <w:t>.</w:t>
      </w:r>
      <w:r w:rsidR="005C451D">
        <w:rPr>
          <w:rFonts w:asciiTheme="minorHAnsi" w:hAnsiTheme="minorHAnsi" w:cs="Arial"/>
          <w:color w:val="1F1F1F"/>
          <w:sz w:val="21"/>
          <w:szCs w:val="21"/>
        </w:rPr>
        <w:t xml:space="preserve"> </w:t>
      </w:r>
    </w:p>
    <w:p w14:paraId="3AB3DF65" w14:textId="617EFFB3" w:rsidR="00CE5564" w:rsidRDefault="00A3346F" w:rsidP="008C1B48">
      <w:pPr>
        <w:shd w:val="clear" w:color="auto" w:fill="FFFFFF"/>
        <w:spacing w:before="100" w:beforeAutospacing="1" w:after="150"/>
        <w:jc w:val="both"/>
        <w:rPr>
          <w:rFonts w:asciiTheme="minorHAnsi" w:hAnsiTheme="minorHAnsi" w:cs="Arial"/>
          <w:color w:val="1F1F1F"/>
          <w:sz w:val="21"/>
          <w:szCs w:val="21"/>
        </w:rPr>
      </w:pPr>
      <w:r>
        <w:rPr>
          <w:rFonts w:asciiTheme="minorHAnsi" w:hAnsiTheme="minorHAnsi" w:cs="Arial"/>
          <w:color w:val="1F1F1F"/>
          <w:sz w:val="21"/>
          <w:szCs w:val="21"/>
        </w:rPr>
        <w:t xml:space="preserve">A </w:t>
      </w:r>
      <w:r w:rsidR="008C1B48">
        <w:rPr>
          <w:rFonts w:asciiTheme="minorHAnsi" w:hAnsiTheme="minorHAnsi" w:cs="Arial"/>
          <w:color w:val="1F1F1F"/>
          <w:sz w:val="21"/>
          <w:szCs w:val="21"/>
        </w:rPr>
        <w:t>report</w:t>
      </w:r>
      <w:r>
        <w:rPr>
          <w:rFonts w:asciiTheme="minorHAnsi" w:hAnsiTheme="minorHAnsi" w:cs="Arial"/>
          <w:color w:val="1F1F1F"/>
          <w:sz w:val="21"/>
          <w:szCs w:val="21"/>
        </w:rPr>
        <w:t xml:space="preserve"> </w:t>
      </w:r>
      <w:r w:rsidR="008C1B48">
        <w:rPr>
          <w:rFonts w:asciiTheme="minorHAnsi" w:hAnsiTheme="minorHAnsi" w:cs="Arial"/>
          <w:color w:val="1F1F1F"/>
          <w:sz w:val="21"/>
          <w:szCs w:val="21"/>
        </w:rPr>
        <w:t>by</w:t>
      </w:r>
      <w:r>
        <w:rPr>
          <w:rFonts w:asciiTheme="minorHAnsi" w:hAnsiTheme="minorHAnsi" w:cs="Arial"/>
          <w:color w:val="1F1F1F"/>
          <w:sz w:val="21"/>
          <w:szCs w:val="21"/>
        </w:rPr>
        <w:t xml:space="preserve"> </w:t>
      </w:r>
      <w:proofErr w:type="spellStart"/>
      <w:r w:rsidR="008C1B48" w:rsidRPr="008C1B48">
        <w:rPr>
          <w:rFonts w:asciiTheme="minorHAnsi" w:hAnsiTheme="minorHAnsi" w:cs="Arial"/>
          <w:color w:val="1F1F1F"/>
          <w:sz w:val="21"/>
          <w:szCs w:val="21"/>
        </w:rPr>
        <w:t>QualityWatch</w:t>
      </w:r>
      <w:proofErr w:type="spellEnd"/>
      <w:r w:rsidR="008C1B48" w:rsidRPr="008C1B48">
        <w:rPr>
          <w:rFonts w:asciiTheme="minorHAnsi" w:hAnsiTheme="minorHAnsi" w:cs="Arial"/>
          <w:color w:val="1F1F1F"/>
          <w:sz w:val="21"/>
          <w:szCs w:val="21"/>
        </w:rPr>
        <w:t>, a research</w:t>
      </w:r>
      <w:r w:rsidR="008C1B48">
        <w:rPr>
          <w:rFonts w:asciiTheme="minorHAnsi" w:hAnsiTheme="minorHAnsi" w:cs="Arial"/>
          <w:color w:val="1F1F1F"/>
          <w:sz w:val="21"/>
          <w:szCs w:val="21"/>
        </w:rPr>
        <w:t xml:space="preserve"> </w:t>
      </w:r>
      <w:r w:rsidR="008C1B48" w:rsidRPr="008C1B48">
        <w:rPr>
          <w:rFonts w:asciiTheme="minorHAnsi" w:hAnsiTheme="minorHAnsi" w:cs="Arial"/>
          <w:color w:val="1F1F1F"/>
          <w:sz w:val="21"/>
          <w:szCs w:val="21"/>
        </w:rPr>
        <w:t xml:space="preserve">programme </w:t>
      </w:r>
      <w:r w:rsidR="008C1B48">
        <w:rPr>
          <w:rFonts w:asciiTheme="minorHAnsi" w:hAnsiTheme="minorHAnsi" w:cs="Arial"/>
          <w:color w:val="1F1F1F"/>
          <w:sz w:val="21"/>
          <w:szCs w:val="21"/>
        </w:rPr>
        <w:t xml:space="preserve">by </w:t>
      </w:r>
      <w:r w:rsidR="008C1B48" w:rsidRPr="008C1B48">
        <w:rPr>
          <w:rFonts w:asciiTheme="minorHAnsi" w:hAnsiTheme="minorHAnsi" w:cs="Arial"/>
          <w:color w:val="1F1F1F"/>
          <w:sz w:val="21"/>
          <w:szCs w:val="21"/>
        </w:rPr>
        <w:t>Nuffield Trust and Health Foundation</w:t>
      </w:r>
      <w:r w:rsidR="008C1B48">
        <w:rPr>
          <w:rFonts w:asciiTheme="minorHAnsi" w:hAnsiTheme="minorHAnsi" w:cs="Arial"/>
          <w:color w:val="1F1F1F"/>
          <w:sz w:val="21"/>
          <w:szCs w:val="21"/>
        </w:rPr>
        <w:t>,</w:t>
      </w:r>
      <w:r w:rsidR="008C1B48" w:rsidRPr="008C1B48">
        <w:rPr>
          <w:rFonts w:asciiTheme="minorHAnsi" w:hAnsiTheme="minorHAnsi" w:cs="Arial"/>
          <w:color w:val="1F1F1F"/>
          <w:sz w:val="21"/>
          <w:szCs w:val="21"/>
        </w:rPr>
        <w:t xml:space="preserve"> </w:t>
      </w:r>
      <w:r>
        <w:rPr>
          <w:rFonts w:asciiTheme="minorHAnsi" w:hAnsiTheme="minorHAnsi" w:cs="Arial"/>
          <w:color w:val="1F1F1F"/>
          <w:sz w:val="21"/>
          <w:szCs w:val="21"/>
        </w:rPr>
        <w:t xml:space="preserve">also found that </w:t>
      </w:r>
      <w:r w:rsidR="008C1B48">
        <w:rPr>
          <w:rFonts w:asciiTheme="minorHAnsi" w:hAnsiTheme="minorHAnsi" w:cs="Arial"/>
          <w:color w:val="1F1F1F"/>
          <w:sz w:val="21"/>
          <w:szCs w:val="21"/>
        </w:rPr>
        <w:t xml:space="preserve">people living in </w:t>
      </w:r>
      <w:r>
        <w:rPr>
          <w:rFonts w:asciiTheme="minorHAnsi" w:hAnsiTheme="minorHAnsi" w:cs="Arial"/>
          <w:color w:val="1F1F1F"/>
          <w:sz w:val="21"/>
          <w:szCs w:val="21"/>
        </w:rPr>
        <w:t>d</w:t>
      </w:r>
      <w:r w:rsidR="00CE5564">
        <w:rPr>
          <w:rFonts w:asciiTheme="minorHAnsi" w:hAnsiTheme="minorHAnsi" w:cs="Arial"/>
          <w:color w:val="1F1F1F"/>
          <w:sz w:val="21"/>
          <w:szCs w:val="21"/>
        </w:rPr>
        <w:t>epriv</w:t>
      </w:r>
      <w:r w:rsidR="008C1B48">
        <w:rPr>
          <w:rFonts w:asciiTheme="minorHAnsi" w:hAnsiTheme="minorHAnsi" w:cs="Arial"/>
          <w:color w:val="1F1F1F"/>
          <w:sz w:val="21"/>
          <w:szCs w:val="21"/>
        </w:rPr>
        <w:t>ed areas are more likely to suffer from poor dental health</w:t>
      </w:r>
      <w:r w:rsidR="00687EAE">
        <w:rPr>
          <w:rFonts w:asciiTheme="minorHAnsi" w:hAnsiTheme="minorHAnsi" w:cs="Arial"/>
          <w:color w:val="1F1F1F"/>
          <w:sz w:val="21"/>
          <w:szCs w:val="21"/>
        </w:rPr>
        <w:t xml:space="preserve"> </w:t>
      </w:r>
      <w:sdt>
        <w:sdtPr>
          <w:rPr>
            <w:rFonts w:asciiTheme="minorHAnsi" w:hAnsiTheme="minorHAnsi" w:cs="Arial"/>
            <w:color w:val="1F1F1F"/>
            <w:sz w:val="21"/>
            <w:szCs w:val="21"/>
          </w:rPr>
          <w:id w:val="1202139567"/>
          <w:citation/>
        </w:sdtPr>
        <w:sdtContent>
          <w:r w:rsidR="00687EAE">
            <w:rPr>
              <w:rFonts w:asciiTheme="minorHAnsi" w:hAnsiTheme="minorHAnsi" w:cs="Arial"/>
              <w:color w:val="1F1F1F"/>
              <w:sz w:val="21"/>
              <w:szCs w:val="21"/>
            </w:rPr>
            <w:fldChar w:fldCharType="begin"/>
          </w:r>
          <w:r w:rsidR="00687EAE">
            <w:rPr>
              <w:rFonts w:asciiTheme="minorHAnsi" w:hAnsiTheme="minorHAnsi" w:cs="Arial"/>
              <w:color w:val="1F1F1F"/>
              <w:sz w:val="21"/>
              <w:szCs w:val="21"/>
            </w:rPr>
            <w:instrText xml:space="preserve"> CITATION App17 \l 2057 </w:instrText>
          </w:r>
          <w:r w:rsidR="00687EAE">
            <w:rPr>
              <w:rFonts w:asciiTheme="minorHAnsi" w:hAnsiTheme="minorHAnsi" w:cs="Arial"/>
              <w:color w:val="1F1F1F"/>
              <w:sz w:val="21"/>
              <w:szCs w:val="21"/>
            </w:rPr>
            <w:fldChar w:fldCharType="separate"/>
          </w:r>
          <w:r w:rsidR="00E031D7" w:rsidRPr="00E031D7">
            <w:rPr>
              <w:rFonts w:asciiTheme="minorHAnsi" w:hAnsiTheme="minorHAnsi" w:cs="Arial"/>
              <w:noProof/>
              <w:color w:val="1F1F1F"/>
              <w:sz w:val="21"/>
              <w:szCs w:val="21"/>
            </w:rPr>
            <w:t>(Appleby &amp; Reed, 2017)</w:t>
          </w:r>
          <w:r w:rsidR="00687EAE">
            <w:rPr>
              <w:rFonts w:asciiTheme="minorHAnsi" w:hAnsiTheme="minorHAnsi" w:cs="Arial"/>
              <w:color w:val="1F1F1F"/>
              <w:sz w:val="21"/>
              <w:szCs w:val="21"/>
            </w:rPr>
            <w:fldChar w:fldCharType="end"/>
          </w:r>
        </w:sdtContent>
      </w:sdt>
      <w:r>
        <w:rPr>
          <w:rFonts w:asciiTheme="minorHAnsi" w:hAnsiTheme="minorHAnsi" w:cs="Arial"/>
          <w:color w:val="1F1F1F"/>
          <w:sz w:val="21"/>
          <w:szCs w:val="21"/>
        </w:rPr>
        <w:t xml:space="preserve">. Therefore, having access to affordable NHS dentists is </w:t>
      </w:r>
      <w:r w:rsidR="00EA2246">
        <w:rPr>
          <w:rFonts w:asciiTheme="minorHAnsi" w:hAnsiTheme="minorHAnsi" w:cs="Arial"/>
          <w:color w:val="1F1F1F"/>
          <w:sz w:val="21"/>
          <w:szCs w:val="21"/>
        </w:rPr>
        <w:t xml:space="preserve">especially </w:t>
      </w:r>
      <w:r>
        <w:rPr>
          <w:rFonts w:asciiTheme="minorHAnsi" w:hAnsiTheme="minorHAnsi" w:cs="Arial"/>
          <w:color w:val="1F1F1F"/>
          <w:sz w:val="21"/>
          <w:szCs w:val="21"/>
        </w:rPr>
        <w:t>vital in areas with high deprivation levels</w:t>
      </w:r>
      <w:r w:rsidR="00FB5526">
        <w:rPr>
          <w:rFonts w:asciiTheme="minorHAnsi" w:hAnsiTheme="minorHAnsi" w:cs="Arial"/>
          <w:color w:val="1F1F1F"/>
          <w:sz w:val="21"/>
          <w:szCs w:val="21"/>
        </w:rPr>
        <w:t xml:space="preserve">. </w:t>
      </w:r>
    </w:p>
    <w:p w14:paraId="1C974DCE" w14:textId="5723B67C" w:rsidR="00144278" w:rsidRPr="005C451D" w:rsidRDefault="00144278" w:rsidP="005C451D">
      <w:pPr>
        <w:shd w:val="clear" w:color="auto" w:fill="FFFFFF"/>
        <w:spacing w:before="100" w:beforeAutospacing="1" w:after="150"/>
        <w:jc w:val="both"/>
        <w:rPr>
          <w:rFonts w:asciiTheme="minorHAnsi" w:hAnsiTheme="minorHAnsi" w:cs="Arial"/>
          <w:color w:val="FF0000"/>
          <w:sz w:val="21"/>
          <w:szCs w:val="21"/>
        </w:rPr>
      </w:pPr>
      <w:r w:rsidRPr="00144278">
        <w:rPr>
          <w:rFonts w:asciiTheme="minorHAnsi" w:hAnsiTheme="minorHAnsi" w:cs="Arial"/>
          <w:sz w:val="21"/>
          <w:szCs w:val="21"/>
        </w:rPr>
        <w:t>According to</w:t>
      </w:r>
      <w:r w:rsidR="00C20438">
        <w:rPr>
          <w:rFonts w:asciiTheme="minorHAnsi" w:hAnsiTheme="minorHAnsi" w:cs="Arial"/>
          <w:sz w:val="21"/>
          <w:szCs w:val="21"/>
        </w:rPr>
        <w:t xml:space="preserve"> a 2020 Report from the National Audit Office on Dentistry in England</w:t>
      </w:r>
      <w:r w:rsidRPr="00144278">
        <w:rPr>
          <w:rFonts w:asciiTheme="minorHAnsi" w:hAnsiTheme="minorHAnsi" w:cs="Arial"/>
          <w:sz w:val="21"/>
          <w:szCs w:val="21"/>
        </w:rPr>
        <w:t>,</w:t>
      </w:r>
      <w:r>
        <w:rPr>
          <w:rFonts w:asciiTheme="minorHAnsi" w:hAnsiTheme="minorHAnsi" w:cs="Arial"/>
          <w:sz w:val="21"/>
          <w:szCs w:val="21"/>
        </w:rPr>
        <w:t xml:space="preserve"> </w:t>
      </w:r>
      <w:r w:rsidR="00FB5526">
        <w:rPr>
          <w:rFonts w:asciiTheme="minorHAnsi" w:hAnsiTheme="minorHAnsi" w:cs="Arial"/>
          <w:sz w:val="21"/>
          <w:szCs w:val="21"/>
        </w:rPr>
        <w:t xml:space="preserve">the total funding for </w:t>
      </w:r>
      <w:r w:rsidR="00A11F0D">
        <w:rPr>
          <w:rFonts w:asciiTheme="minorHAnsi" w:hAnsiTheme="minorHAnsi" w:cs="Arial"/>
          <w:sz w:val="21"/>
          <w:szCs w:val="21"/>
        </w:rPr>
        <w:t xml:space="preserve">the </w:t>
      </w:r>
      <w:r w:rsidR="00FB5526">
        <w:rPr>
          <w:rFonts w:asciiTheme="minorHAnsi" w:hAnsiTheme="minorHAnsi" w:cs="Arial"/>
          <w:sz w:val="21"/>
          <w:szCs w:val="21"/>
        </w:rPr>
        <w:t xml:space="preserve">NHS dental sector was 2.9 billion in 2018-19. In real terms, funding decreased by 4% from 2014-15 </w:t>
      </w:r>
      <w:r w:rsidR="00C20438">
        <w:rPr>
          <w:rFonts w:asciiTheme="minorHAnsi" w:hAnsiTheme="minorHAnsi" w:cs="Arial"/>
          <w:sz w:val="21"/>
          <w:szCs w:val="21"/>
        </w:rPr>
        <w:t>to</w:t>
      </w:r>
      <w:r w:rsidR="00FB5526">
        <w:rPr>
          <w:rFonts w:asciiTheme="minorHAnsi" w:hAnsiTheme="minorHAnsi" w:cs="Arial"/>
          <w:sz w:val="21"/>
          <w:szCs w:val="21"/>
        </w:rPr>
        <w:t xml:space="preserve"> 2018-19</w:t>
      </w:r>
      <w:r w:rsidR="003F71A7">
        <w:rPr>
          <w:rFonts w:asciiTheme="minorHAnsi" w:hAnsiTheme="minorHAnsi" w:cs="Arial"/>
          <w:sz w:val="21"/>
          <w:szCs w:val="21"/>
        </w:rPr>
        <w:t xml:space="preserve">. </w:t>
      </w:r>
      <w:r w:rsidR="00FB5526">
        <w:rPr>
          <w:rFonts w:asciiTheme="minorHAnsi" w:hAnsiTheme="minorHAnsi" w:cs="Arial"/>
          <w:sz w:val="21"/>
          <w:szCs w:val="21"/>
        </w:rPr>
        <w:t xml:space="preserve">Furthermore, </w:t>
      </w:r>
      <w:r w:rsidR="00172DB0">
        <w:rPr>
          <w:rFonts w:asciiTheme="minorHAnsi" w:hAnsiTheme="minorHAnsi" w:cs="Arial"/>
          <w:sz w:val="21"/>
          <w:szCs w:val="21"/>
        </w:rPr>
        <w:t>t</w:t>
      </w:r>
      <w:r>
        <w:rPr>
          <w:rFonts w:asciiTheme="minorHAnsi" w:hAnsiTheme="minorHAnsi" w:cs="Arial"/>
          <w:sz w:val="21"/>
          <w:szCs w:val="21"/>
        </w:rPr>
        <w:t>he number of working NHS dentists per 10,000 population in the UK was 5.3 in 2018, which is fewer than Germany, France and Italy</w:t>
      </w:r>
      <w:r w:rsidR="00F33A02">
        <w:rPr>
          <w:rFonts w:asciiTheme="minorHAnsi" w:hAnsiTheme="minorHAnsi" w:cs="Arial"/>
          <w:sz w:val="21"/>
          <w:szCs w:val="21"/>
        </w:rPr>
        <w:t xml:space="preserve"> </w:t>
      </w:r>
      <w:sdt>
        <w:sdtPr>
          <w:rPr>
            <w:rFonts w:asciiTheme="minorHAnsi" w:hAnsiTheme="minorHAnsi" w:cs="Arial"/>
            <w:sz w:val="21"/>
            <w:szCs w:val="21"/>
          </w:rPr>
          <w:id w:val="561757314"/>
          <w:citation/>
        </w:sdtPr>
        <w:sdtContent>
          <w:r w:rsidR="00F33A02">
            <w:rPr>
              <w:rFonts w:asciiTheme="minorHAnsi" w:hAnsiTheme="minorHAnsi" w:cs="Arial"/>
              <w:sz w:val="21"/>
              <w:szCs w:val="21"/>
            </w:rPr>
            <w:fldChar w:fldCharType="begin"/>
          </w:r>
          <w:r w:rsidR="00F33A02">
            <w:rPr>
              <w:rFonts w:asciiTheme="minorHAnsi" w:hAnsiTheme="minorHAnsi" w:cs="Arial"/>
              <w:sz w:val="21"/>
              <w:szCs w:val="21"/>
            </w:rPr>
            <w:instrText xml:space="preserve"> CITATION Nat20 \l 2057 </w:instrText>
          </w:r>
          <w:r w:rsidR="00F33A02">
            <w:rPr>
              <w:rFonts w:asciiTheme="minorHAnsi" w:hAnsiTheme="minorHAnsi" w:cs="Arial"/>
              <w:sz w:val="21"/>
              <w:szCs w:val="21"/>
            </w:rPr>
            <w:fldChar w:fldCharType="separate"/>
          </w:r>
          <w:r w:rsidR="00E031D7" w:rsidRPr="00E031D7">
            <w:rPr>
              <w:rFonts w:asciiTheme="minorHAnsi" w:hAnsiTheme="minorHAnsi" w:cs="Arial"/>
              <w:noProof/>
              <w:sz w:val="21"/>
              <w:szCs w:val="21"/>
            </w:rPr>
            <w:t>(National Audit Office, 2020)</w:t>
          </w:r>
          <w:r w:rsidR="00F33A02">
            <w:rPr>
              <w:rFonts w:asciiTheme="minorHAnsi" w:hAnsiTheme="minorHAnsi" w:cs="Arial"/>
              <w:sz w:val="21"/>
              <w:szCs w:val="21"/>
            </w:rPr>
            <w:fldChar w:fldCharType="end"/>
          </w:r>
        </w:sdtContent>
      </w:sdt>
      <w:r>
        <w:rPr>
          <w:rFonts w:asciiTheme="minorHAnsi" w:hAnsiTheme="minorHAnsi" w:cs="Arial"/>
          <w:sz w:val="21"/>
          <w:szCs w:val="21"/>
        </w:rPr>
        <w:t xml:space="preserve">. </w:t>
      </w:r>
      <w:r w:rsidR="00172DB0">
        <w:rPr>
          <w:rFonts w:asciiTheme="minorHAnsi" w:hAnsiTheme="minorHAnsi" w:cs="Arial"/>
          <w:sz w:val="21"/>
          <w:szCs w:val="21"/>
        </w:rPr>
        <w:t>This clearly highlights a lack of access to affordable dental healthcare</w:t>
      </w:r>
      <w:r w:rsidR="00CC5BD8">
        <w:rPr>
          <w:rFonts w:asciiTheme="minorHAnsi" w:hAnsiTheme="minorHAnsi" w:cs="Arial"/>
          <w:sz w:val="21"/>
          <w:szCs w:val="21"/>
        </w:rPr>
        <w:t xml:space="preserve"> in the UK.</w:t>
      </w:r>
    </w:p>
    <w:p w14:paraId="4900C199" w14:textId="5571E176" w:rsidR="00CE5564" w:rsidRDefault="001D6966" w:rsidP="003522FD">
      <w:pPr>
        <w:shd w:val="clear" w:color="auto" w:fill="FFFFFF"/>
        <w:spacing w:before="100" w:beforeAutospacing="1" w:after="150"/>
        <w:jc w:val="both"/>
        <w:rPr>
          <w:rFonts w:asciiTheme="minorHAnsi" w:hAnsiTheme="minorHAnsi" w:cs="Arial"/>
          <w:color w:val="1F1F1F"/>
          <w:sz w:val="21"/>
          <w:szCs w:val="21"/>
        </w:rPr>
      </w:pPr>
      <w:r>
        <w:rPr>
          <w:rFonts w:asciiTheme="minorHAnsi" w:hAnsiTheme="minorHAnsi" w:cs="Arial"/>
          <w:color w:val="1F1F1F"/>
          <w:sz w:val="21"/>
          <w:szCs w:val="21"/>
        </w:rPr>
        <w:t xml:space="preserve">In this Capstone </w:t>
      </w:r>
      <w:r w:rsidR="00CF7EBB">
        <w:rPr>
          <w:rFonts w:asciiTheme="minorHAnsi" w:hAnsiTheme="minorHAnsi" w:cs="Arial"/>
          <w:color w:val="1F1F1F"/>
          <w:sz w:val="21"/>
          <w:szCs w:val="21"/>
        </w:rPr>
        <w:t xml:space="preserve">project </w:t>
      </w:r>
      <w:r>
        <w:rPr>
          <w:rFonts w:asciiTheme="minorHAnsi" w:hAnsiTheme="minorHAnsi" w:cs="Arial"/>
          <w:color w:val="1F1F1F"/>
          <w:sz w:val="21"/>
          <w:szCs w:val="21"/>
        </w:rPr>
        <w:t xml:space="preserve">of the IBM Data Science Course, a </w:t>
      </w:r>
      <w:r w:rsidR="00CF7EBB">
        <w:rPr>
          <w:rFonts w:asciiTheme="minorHAnsi" w:hAnsiTheme="minorHAnsi" w:cs="Arial"/>
          <w:color w:val="1F1F1F"/>
          <w:sz w:val="21"/>
          <w:szCs w:val="21"/>
        </w:rPr>
        <w:t xml:space="preserve">clustering algorithm </w:t>
      </w:r>
      <w:r>
        <w:rPr>
          <w:rFonts w:asciiTheme="minorHAnsi" w:hAnsiTheme="minorHAnsi" w:cs="Arial"/>
          <w:color w:val="1F1F1F"/>
          <w:sz w:val="21"/>
          <w:szCs w:val="21"/>
        </w:rPr>
        <w:t xml:space="preserve">will be used </w:t>
      </w:r>
      <w:r w:rsidR="00CF7EBB">
        <w:rPr>
          <w:rFonts w:asciiTheme="minorHAnsi" w:hAnsiTheme="minorHAnsi" w:cs="Arial"/>
          <w:color w:val="1F1F1F"/>
          <w:sz w:val="21"/>
          <w:szCs w:val="21"/>
        </w:rPr>
        <w:t xml:space="preserve">combining </w:t>
      </w:r>
      <w:r w:rsidR="0009015D">
        <w:rPr>
          <w:rFonts w:asciiTheme="minorHAnsi" w:hAnsiTheme="minorHAnsi" w:cs="Arial"/>
          <w:color w:val="1F1F1F"/>
          <w:sz w:val="21"/>
          <w:szCs w:val="21"/>
        </w:rPr>
        <w:t>factors</w:t>
      </w:r>
      <w:r w:rsidR="00D265C2" w:rsidRPr="00DD6267">
        <w:rPr>
          <w:rFonts w:asciiTheme="minorHAnsi" w:hAnsiTheme="minorHAnsi" w:cs="Arial"/>
          <w:sz w:val="21"/>
          <w:szCs w:val="21"/>
        </w:rPr>
        <w:t xml:space="preserve"> </w:t>
      </w:r>
      <w:r w:rsidR="00D265C2">
        <w:rPr>
          <w:rFonts w:asciiTheme="minorHAnsi" w:hAnsiTheme="minorHAnsi" w:cs="Arial"/>
          <w:color w:val="1F1F1F"/>
          <w:sz w:val="21"/>
          <w:szCs w:val="21"/>
        </w:rPr>
        <w:t>such as tooth decay in children, deprivation levels</w:t>
      </w:r>
      <w:r w:rsidR="00CF7EBB">
        <w:rPr>
          <w:rFonts w:asciiTheme="minorHAnsi" w:hAnsiTheme="minorHAnsi" w:cs="Arial"/>
          <w:color w:val="1F1F1F"/>
          <w:sz w:val="21"/>
          <w:szCs w:val="21"/>
        </w:rPr>
        <w:t xml:space="preserve"> and</w:t>
      </w:r>
      <w:r w:rsidR="00D265C2">
        <w:rPr>
          <w:rFonts w:asciiTheme="minorHAnsi" w:hAnsiTheme="minorHAnsi" w:cs="Arial"/>
          <w:color w:val="1F1F1F"/>
          <w:sz w:val="21"/>
          <w:szCs w:val="21"/>
        </w:rPr>
        <w:t xml:space="preserve"> number of </w:t>
      </w:r>
      <w:r w:rsidR="00CF7EBB">
        <w:rPr>
          <w:rFonts w:asciiTheme="minorHAnsi" w:hAnsiTheme="minorHAnsi" w:cs="Arial"/>
          <w:color w:val="1F1F1F"/>
          <w:sz w:val="21"/>
          <w:szCs w:val="21"/>
        </w:rPr>
        <w:t>NHS Dental practices by inhabitants and surface area for each Local Authority District in England.</w:t>
      </w:r>
      <w:r w:rsidR="00D265C2">
        <w:rPr>
          <w:rFonts w:asciiTheme="minorHAnsi" w:hAnsiTheme="minorHAnsi" w:cs="Arial"/>
          <w:color w:val="1F1F1F"/>
          <w:sz w:val="21"/>
          <w:szCs w:val="21"/>
        </w:rPr>
        <w:t xml:space="preserve"> </w:t>
      </w:r>
      <w:r w:rsidR="00CE5564">
        <w:rPr>
          <w:rFonts w:asciiTheme="minorHAnsi" w:hAnsiTheme="minorHAnsi" w:cs="Arial"/>
          <w:color w:val="1F1F1F"/>
          <w:sz w:val="21"/>
          <w:szCs w:val="21"/>
        </w:rPr>
        <w:t xml:space="preserve">The aim is to </w:t>
      </w:r>
      <w:r w:rsidR="00A3346F">
        <w:rPr>
          <w:rFonts w:asciiTheme="minorHAnsi" w:hAnsiTheme="minorHAnsi" w:cs="Arial"/>
          <w:color w:val="1F1F1F"/>
          <w:sz w:val="21"/>
          <w:szCs w:val="21"/>
        </w:rPr>
        <w:t>highlight</w:t>
      </w:r>
      <w:r w:rsidR="00CE5564">
        <w:rPr>
          <w:rFonts w:asciiTheme="minorHAnsi" w:hAnsiTheme="minorHAnsi" w:cs="Arial"/>
          <w:color w:val="1F1F1F"/>
          <w:sz w:val="21"/>
          <w:szCs w:val="21"/>
        </w:rPr>
        <w:t xml:space="preserve"> the </w:t>
      </w:r>
      <w:r w:rsidR="00D106F9">
        <w:rPr>
          <w:rFonts w:asciiTheme="minorHAnsi" w:hAnsiTheme="minorHAnsi" w:cs="Arial"/>
          <w:color w:val="1F1F1F"/>
          <w:sz w:val="21"/>
          <w:szCs w:val="21"/>
        </w:rPr>
        <w:t xml:space="preserve">geographic </w:t>
      </w:r>
      <w:r w:rsidR="00CE5564">
        <w:rPr>
          <w:rFonts w:asciiTheme="minorHAnsi" w:hAnsiTheme="minorHAnsi" w:cs="Arial"/>
          <w:color w:val="1F1F1F"/>
          <w:sz w:val="21"/>
          <w:szCs w:val="21"/>
        </w:rPr>
        <w:t>differences in dental health and access to affordable dental care across England</w:t>
      </w:r>
      <w:r w:rsidR="00A11F0D" w:rsidRPr="00250AE6">
        <w:rPr>
          <w:rFonts w:asciiTheme="minorHAnsi" w:hAnsiTheme="minorHAnsi" w:cs="Arial"/>
          <w:sz w:val="21"/>
          <w:szCs w:val="21"/>
        </w:rPr>
        <w:t>,</w:t>
      </w:r>
      <w:r w:rsidR="00CE5564">
        <w:rPr>
          <w:rFonts w:asciiTheme="minorHAnsi" w:hAnsiTheme="minorHAnsi" w:cs="Arial"/>
          <w:color w:val="1F1F1F"/>
          <w:sz w:val="21"/>
          <w:szCs w:val="21"/>
        </w:rPr>
        <w:t xml:space="preserve"> allowing the identification of </w:t>
      </w:r>
      <w:r w:rsidR="00B474D5">
        <w:rPr>
          <w:rFonts w:asciiTheme="minorHAnsi" w:hAnsiTheme="minorHAnsi" w:cs="Arial"/>
          <w:color w:val="1F1F1F"/>
          <w:sz w:val="21"/>
          <w:szCs w:val="21"/>
        </w:rPr>
        <w:t>Local Authority Districts that</w:t>
      </w:r>
      <w:r w:rsidR="00CE5564">
        <w:rPr>
          <w:rFonts w:asciiTheme="minorHAnsi" w:hAnsiTheme="minorHAnsi" w:cs="Arial"/>
          <w:color w:val="1F1F1F"/>
          <w:sz w:val="21"/>
          <w:szCs w:val="21"/>
        </w:rPr>
        <w:t xml:space="preserve"> require serious attention</w:t>
      </w:r>
      <w:r w:rsidR="00B474D5">
        <w:rPr>
          <w:rFonts w:asciiTheme="minorHAnsi" w:hAnsiTheme="minorHAnsi" w:cs="Arial"/>
          <w:color w:val="1F1F1F"/>
          <w:sz w:val="21"/>
          <w:szCs w:val="21"/>
        </w:rPr>
        <w:t xml:space="preserve">. </w:t>
      </w:r>
    </w:p>
    <w:p w14:paraId="193578B8" w14:textId="4EBB4A57" w:rsidR="00B474D5" w:rsidRPr="00E26743" w:rsidRDefault="00B474D5" w:rsidP="003522FD">
      <w:pPr>
        <w:shd w:val="clear" w:color="auto" w:fill="FFFFFF"/>
        <w:spacing w:before="100" w:beforeAutospacing="1" w:after="150"/>
        <w:jc w:val="both"/>
        <w:rPr>
          <w:rFonts w:asciiTheme="minorHAnsi" w:hAnsiTheme="minorHAnsi" w:cs="Arial"/>
          <w:color w:val="1F1F1F"/>
          <w:sz w:val="21"/>
          <w:szCs w:val="21"/>
        </w:rPr>
      </w:pPr>
      <w:r>
        <w:rPr>
          <w:rFonts w:asciiTheme="minorHAnsi" w:hAnsiTheme="minorHAnsi" w:cs="Arial"/>
          <w:color w:val="1F1F1F"/>
          <w:sz w:val="21"/>
          <w:szCs w:val="21"/>
        </w:rPr>
        <w:lastRenderedPageBreak/>
        <w:t>The findings in this report should be considered by the British Dental Association as well as the different Local Authorities</w:t>
      </w:r>
      <w:r w:rsidR="00A11F0D" w:rsidRPr="00491CFA">
        <w:rPr>
          <w:rFonts w:asciiTheme="minorHAnsi" w:hAnsiTheme="minorHAnsi" w:cs="Arial"/>
          <w:sz w:val="21"/>
          <w:szCs w:val="21"/>
        </w:rPr>
        <w:t>,</w:t>
      </w:r>
      <w:r>
        <w:rPr>
          <w:rFonts w:asciiTheme="minorHAnsi" w:hAnsiTheme="minorHAnsi" w:cs="Arial"/>
          <w:color w:val="1F1F1F"/>
          <w:sz w:val="21"/>
          <w:szCs w:val="21"/>
        </w:rPr>
        <w:t xml:space="preserve"> </w:t>
      </w:r>
      <w:proofErr w:type="gramStart"/>
      <w:r>
        <w:rPr>
          <w:rFonts w:asciiTheme="minorHAnsi" w:hAnsiTheme="minorHAnsi" w:cs="Arial"/>
          <w:color w:val="1F1F1F"/>
          <w:sz w:val="21"/>
          <w:szCs w:val="21"/>
        </w:rPr>
        <w:t>in an attempt to</w:t>
      </w:r>
      <w:proofErr w:type="gramEnd"/>
      <w:r>
        <w:rPr>
          <w:rFonts w:asciiTheme="minorHAnsi" w:hAnsiTheme="minorHAnsi" w:cs="Arial"/>
          <w:color w:val="1F1F1F"/>
          <w:sz w:val="21"/>
          <w:szCs w:val="21"/>
        </w:rPr>
        <w:t xml:space="preserve"> provide fairer and more affordable dental health in </w:t>
      </w:r>
      <w:r w:rsidR="00787556">
        <w:rPr>
          <w:rFonts w:asciiTheme="minorHAnsi" w:hAnsiTheme="minorHAnsi" w:cs="Arial"/>
          <w:color w:val="1F1F1F"/>
          <w:sz w:val="21"/>
          <w:szCs w:val="21"/>
        </w:rPr>
        <w:t xml:space="preserve">all areas of </w:t>
      </w:r>
      <w:r>
        <w:rPr>
          <w:rFonts w:asciiTheme="minorHAnsi" w:hAnsiTheme="minorHAnsi" w:cs="Arial"/>
          <w:color w:val="1F1F1F"/>
          <w:sz w:val="21"/>
          <w:szCs w:val="21"/>
        </w:rPr>
        <w:t xml:space="preserve">England. </w:t>
      </w:r>
      <w:r w:rsidR="00CC5BD8">
        <w:rPr>
          <w:rFonts w:asciiTheme="minorHAnsi" w:hAnsiTheme="minorHAnsi" w:cs="Arial"/>
          <w:color w:val="1F1F1F"/>
          <w:sz w:val="21"/>
          <w:szCs w:val="21"/>
        </w:rPr>
        <w:t>Improving dental health is improving health in general.</w:t>
      </w:r>
      <w:r w:rsidR="00DD6267">
        <w:rPr>
          <w:rFonts w:asciiTheme="minorHAnsi" w:hAnsiTheme="minorHAnsi" w:cs="Arial"/>
          <w:color w:val="1F1F1F"/>
          <w:sz w:val="21"/>
          <w:szCs w:val="21"/>
        </w:rPr>
        <w:t xml:space="preserve"> </w:t>
      </w:r>
    </w:p>
    <w:p w14:paraId="4D9B8877" w14:textId="092F3942" w:rsidR="00E26743" w:rsidRPr="008D1244" w:rsidRDefault="00E26743" w:rsidP="003522FD">
      <w:pPr>
        <w:pStyle w:val="Heading1"/>
        <w:numPr>
          <w:ilvl w:val="0"/>
          <w:numId w:val="2"/>
        </w:numPr>
        <w:jc w:val="both"/>
        <w:rPr>
          <w:rFonts w:asciiTheme="minorHAnsi" w:hAnsiTheme="minorHAnsi"/>
          <w:b/>
          <w:bCs/>
        </w:rPr>
      </w:pPr>
      <w:bookmarkStart w:id="1" w:name="_Ref62375238"/>
      <w:bookmarkStart w:id="2" w:name="_Toc63005680"/>
      <w:r w:rsidRPr="008D1244">
        <w:rPr>
          <w:rFonts w:asciiTheme="minorHAnsi" w:hAnsiTheme="minorHAnsi"/>
          <w:b/>
          <w:bCs/>
        </w:rPr>
        <w:t>Data</w:t>
      </w:r>
      <w:bookmarkEnd w:id="1"/>
      <w:bookmarkEnd w:id="2"/>
    </w:p>
    <w:p w14:paraId="59D1C8DD" w14:textId="34472ABF" w:rsidR="00F83312" w:rsidRDefault="00544D80" w:rsidP="003522FD">
      <w:pPr>
        <w:shd w:val="clear" w:color="auto" w:fill="FFFFFF"/>
        <w:spacing w:before="100" w:beforeAutospacing="1" w:after="150"/>
        <w:jc w:val="both"/>
        <w:rPr>
          <w:rFonts w:asciiTheme="minorHAnsi" w:hAnsiTheme="minorHAnsi" w:cs="Arial"/>
          <w:color w:val="1F1F1F"/>
          <w:sz w:val="21"/>
          <w:szCs w:val="21"/>
        </w:rPr>
      </w:pPr>
      <w:r>
        <w:rPr>
          <w:rFonts w:asciiTheme="minorHAnsi" w:hAnsiTheme="minorHAnsi" w:cs="Arial"/>
          <w:color w:val="1F1F1F"/>
          <w:sz w:val="21"/>
          <w:szCs w:val="21"/>
        </w:rPr>
        <w:t>T</w:t>
      </w:r>
      <w:r w:rsidR="00F83312">
        <w:rPr>
          <w:rFonts w:asciiTheme="minorHAnsi" w:hAnsiTheme="minorHAnsi" w:cs="Arial"/>
          <w:color w:val="1F1F1F"/>
          <w:sz w:val="21"/>
          <w:szCs w:val="21"/>
        </w:rPr>
        <w:t xml:space="preserve">he following data was used for the clustering project to highlight the geographic differences of </w:t>
      </w:r>
      <w:r w:rsidR="00537002">
        <w:rPr>
          <w:rFonts w:asciiTheme="minorHAnsi" w:hAnsiTheme="minorHAnsi" w:cs="Arial"/>
          <w:color w:val="1F1F1F"/>
          <w:sz w:val="21"/>
          <w:szCs w:val="21"/>
        </w:rPr>
        <w:t xml:space="preserve">NHS </w:t>
      </w:r>
      <w:r w:rsidR="00537002">
        <w:rPr>
          <w:rFonts w:asciiTheme="minorHAnsi" w:hAnsiTheme="minorHAnsi" w:cs="Arial"/>
          <w:sz w:val="21"/>
          <w:szCs w:val="21"/>
        </w:rPr>
        <w:t>dental care across England</w:t>
      </w:r>
      <w:r w:rsidR="00F83312" w:rsidRPr="00544D80">
        <w:rPr>
          <w:rFonts w:asciiTheme="minorHAnsi" w:hAnsiTheme="minorHAnsi" w:cs="Arial"/>
          <w:sz w:val="21"/>
          <w:szCs w:val="21"/>
        </w:rPr>
        <w:t>:</w:t>
      </w:r>
    </w:p>
    <w:p w14:paraId="7CFCED0F" w14:textId="7B01D5F9" w:rsidR="005679AA" w:rsidRPr="005679AA" w:rsidRDefault="005679AA" w:rsidP="00B01DA8">
      <w:pPr>
        <w:pStyle w:val="ListParagraph"/>
        <w:numPr>
          <w:ilvl w:val="1"/>
          <w:numId w:val="2"/>
        </w:numPr>
        <w:shd w:val="clear" w:color="auto" w:fill="FFFFFF"/>
        <w:spacing w:after="120"/>
        <w:ind w:left="788" w:hanging="431"/>
        <w:contextualSpacing w:val="0"/>
        <w:jc w:val="both"/>
        <w:rPr>
          <w:rFonts w:asciiTheme="minorHAnsi" w:hAnsiTheme="minorHAnsi" w:cs="Arial"/>
          <w:color w:val="1F1F1F"/>
          <w:sz w:val="21"/>
          <w:szCs w:val="21"/>
        </w:rPr>
      </w:pPr>
      <w:r w:rsidRPr="005679AA">
        <w:rPr>
          <w:rFonts w:asciiTheme="minorHAnsi" w:hAnsiTheme="minorHAnsi" w:cs="Arial"/>
          <w:b/>
          <w:bCs/>
          <w:color w:val="1F1F1F"/>
          <w:sz w:val="21"/>
          <w:szCs w:val="21"/>
        </w:rPr>
        <w:t>Geographic Data:</w:t>
      </w:r>
      <w:r>
        <w:rPr>
          <w:rFonts w:asciiTheme="minorHAnsi" w:hAnsiTheme="minorHAnsi" w:cs="Arial"/>
          <w:color w:val="1F1F1F"/>
          <w:sz w:val="21"/>
          <w:szCs w:val="21"/>
        </w:rPr>
        <w:t xml:space="preserve"> </w:t>
      </w:r>
      <w:r w:rsidRPr="005679AA">
        <w:rPr>
          <w:rFonts w:asciiTheme="minorHAnsi" w:hAnsiTheme="minorHAnsi" w:cs="Arial"/>
          <w:color w:val="1F1F1F"/>
          <w:sz w:val="21"/>
          <w:szCs w:val="21"/>
        </w:rPr>
        <w:t xml:space="preserve">This data </w:t>
      </w:r>
      <w:r w:rsidR="00760AA6">
        <w:rPr>
          <w:rFonts w:asciiTheme="minorHAnsi" w:hAnsiTheme="minorHAnsi" w:cs="Arial"/>
          <w:color w:val="1F1F1F"/>
          <w:sz w:val="21"/>
          <w:szCs w:val="21"/>
        </w:rPr>
        <w:t>from December 2019 contains the</w:t>
      </w:r>
      <w:r w:rsidRPr="005679AA">
        <w:rPr>
          <w:rFonts w:asciiTheme="minorHAnsi" w:hAnsiTheme="minorHAnsi" w:cs="Arial"/>
          <w:color w:val="1F1F1F"/>
          <w:sz w:val="21"/>
          <w:szCs w:val="21"/>
        </w:rPr>
        <w:t xml:space="preserve"> </w:t>
      </w:r>
      <w:r w:rsidRPr="005679AA">
        <w:rPr>
          <w:rFonts w:asciiTheme="minorHAnsi" w:hAnsiTheme="minorHAnsi" w:cs="Arial"/>
          <w:color w:val="1F1F1F"/>
          <w:sz w:val="21"/>
          <w:szCs w:val="21"/>
        </w:rPr>
        <w:t>Longitude</w:t>
      </w:r>
      <w:r w:rsidRPr="005679AA">
        <w:rPr>
          <w:rFonts w:asciiTheme="minorHAnsi" w:hAnsiTheme="minorHAnsi" w:cs="Arial"/>
          <w:color w:val="1F1F1F"/>
          <w:sz w:val="21"/>
          <w:szCs w:val="21"/>
        </w:rPr>
        <w:t>, L</w:t>
      </w:r>
      <w:r w:rsidRPr="005679AA">
        <w:rPr>
          <w:rFonts w:asciiTheme="minorHAnsi" w:hAnsiTheme="minorHAnsi" w:cs="Arial"/>
          <w:color w:val="1F1F1F"/>
          <w:sz w:val="21"/>
          <w:szCs w:val="21"/>
        </w:rPr>
        <w:t xml:space="preserve">atitude </w:t>
      </w:r>
      <w:r w:rsidRPr="005679AA">
        <w:rPr>
          <w:rFonts w:asciiTheme="minorHAnsi" w:hAnsiTheme="minorHAnsi" w:cs="Arial"/>
          <w:color w:val="1F1F1F"/>
          <w:sz w:val="21"/>
          <w:szCs w:val="21"/>
        </w:rPr>
        <w:t xml:space="preserve">and </w:t>
      </w:r>
      <w:r w:rsidRPr="005679AA">
        <w:rPr>
          <w:rFonts w:asciiTheme="minorHAnsi" w:hAnsiTheme="minorHAnsi" w:cs="Arial"/>
          <w:color w:val="1F1F1F"/>
          <w:sz w:val="21"/>
          <w:szCs w:val="21"/>
        </w:rPr>
        <w:t xml:space="preserve">surface area </w:t>
      </w:r>
      <w:r w:rsidRPr="005679AA">
        <w:rPr>
          <w:rFonts w:asciiTheme="minorHAnsi" w:hAnsiTheme="minorHAnsi" w:cs="Arial"/>
          <w:color w:val="1F1F1F"/>
          <w:sz w:val="21"/>
          <w:szCs w:val="21"/>
        </w:rPr>
        <w:t>in square kilometre</w:t>
      </w:r>
      <w:r w:rsidR="00760AA6">
        <w:rPr>
          <w:rFonts w:asciiTheme="minorHAnsi" w:hAnsiTheme="minorHAnsi" w:cs="Arial"/>
          <w:color w:val="1F1F1F"/>
          <w:sz w:val="21"/>
          <w:szCs w:val="21"/>
        </w:rPr>
        <w:t xml:space="preserve"> for every Local Authority District in England from the Office for National Statistics</w:t>
      </w:r>
      <w:r w:rsidR="00C42E92">
        <w:rPr>
          <w:rFonts w:asciiTheme="minorHAnsi" w:hAnsiTheme="minorHAnsi" w:cs="Arial"/>
          <w:color w:val="1F1F1F"/>
          <w:sz w:val="21"/>
          <w:szCs w:val="21"/>
        </w:rPr>
        <w:t xml:space="preserve"> </w:t>
      </w:r>
      <w:sdt>
        <w:sdtPr>
          <w:rPr>
            <w:rFonts w:asciiTheme="minorHAnsi" w:hAnsiTheme="minorHAnsi" w:cs="Arial"/>
            <w:color w:val="1F1F1F"/>
            <w:sz w:val="21"/>
            <w:szCs w:val="21"/>
          </w:rPr>
          <w:id w:val="-2108499024"/>
          <w:citation/>
        </w:sdtPr>
        <w:sdtContent>
          <w:r w:rsidR="00C42E92">
            <w:rPr>
              <w:rFonts w:asciiTheme="minorHAnsi" w:hAnsiTheme="minorHAnsi" w:cs="Arial"/>
              <w:color w:val="1F1F1F"/>
              <w:sz w:val="21"/>
              <w:szCs w:val="21"/>
            </w:rPr>
            <w:fldChar w:fldCharType="begin"/>
          </w:r>
          <w:r w:rsidR="00783EF6">
            <w:rPr>
              <w:rFonts w:asciiTheme="minorHAnsi" w:hAnsiTheme="minorHAnsi" w:cs="Arial"/>
              <w:color w:val="1F1F1F"/>
              <w:sz w:val="21"/>
              <w:szCs w:val="21"/>
            </w:rPr>
            <w:instrText xml:space="preserve">CITATION Off20 \l 2057 </w:instrText>
          </w:r>
          <w:r w:rsidR="00C42E92">
            <w:rPr>
              <w:rFonts w:asciiTheme="minorHAnsi" w:hAnsiTheme="minorHAnsi" w:cs="Arial"/>
              <w:color w:val="1F1F1F"/>
              <w:sz w:val="21"/>
              <w:szCs w:val="21"/>
            </w:rPr>
            <w:fldChar w:fldCharType="separate"/>
          </w:r>
          <w:r w:rsidR="00E031D7" w:rsidRPr="00E031D7">
            <w:rPr>
              <w:rFonts w:asciiTheme="minorHAnsi" w:hAnsiTheme="minorHAnsi" w:cs="Arial"/>
              <w:noProof/>
              <w:color w:val="1F1F1F"/>
              <w:sz w:val="21"/>
              <w:szCs w:val="21"/>
            </w:rPr>
            <w:t>(Office for National Statistics, 2021)</w:t>
          </w:r>
          <w:r w:rsidR="00C42E92">
            <w:rPr>
              <w:rFonts w:asciiTheme="minorHAnsi" w:hAnsiTheme="minorHAnsi" w:cs="Arial"/>
              <w:color w:val="1F1F1F"/>
              <w:sz w:val="21"/>
              <w:szCs w:val="21"/>
            </w:rPr>
            <w:fldChar w:fldCharType="end"/>
          </w:r>
        </w:sdtContent>
      </w:sdt>
      <w:r w:rsidR="00760AA6">
        <w:rPr>
          <w:rFonts w:asciiTheme="minorHAnsi" w:hAnsiTheme="minorHAnsi" w:cs="Arial"/>
          <w:color w:val="1F1F1F"/>
          <w:sz w:val="21"/>
          <w:szCs w:val="21"/>
        </w:rPr>
        <w:t xml:space="preserve">. The coordinates will be used to plot the different clusters and Local Authority Districts onto a visual map of England. The surface area will be used to calculate the number of NHS dental practices per square kilometre to give </w:t>
      </w:r>
      <w:r w:rsidR="00760AA6" w:rsidRPr="00CE5D47">
        <w:rPr>
          <w:rFonts w:asciiTheme="minorHAnsi" w:hAnsiTheme="minorHAnsi" w:cs="Arial"/>
          <w:sz w:val="21"/>
          <w:szCs w:val="21"/>
        </w:rPr>
        <w:t xml:space="preserve">an indication </w:t>
      </w:r>
      <w:r w:rsidR="00CE5D47" w:rsidRPr="00CE5D47">
        <w:rPr>
          <w:rFonts w:asciiTheme="minorHAnsi" w:hAnsiTheme="minorHAnsi" w:cs="Arial"/>
          <w:sz w:val="21"/>
          <w:szCs w:val="21"/>
        </w:rPr>
        <w:t>of geographic</w:t>
      </w:r>
      <w:r w:rsidR="00760AA6" w:rsidRPr="00CE5D47">
        <w:rPr>
          <w:rFonts w:asciiTheme="minorHAnsi" w:hAnsiTheme="minorHAnsi" w:cs="Arial"/>
          <w:sz w:val="21"/>
          <w:szCs w:val="21"/>
        </w:rPr>
        <w:t xml:space="preserve"> </w:t>
      </w:r>
      <w:r w:rsidR="00760AA6">
        <w:rPr>
          <w:rFonts w:asciiTheme="minorHAnsi" w:hAnsiTheme="minorHAnsi" w:cs="Arial"/>
          <w:color w:val="1F1F1F"/>
          <w:sz w:val="21"/>
          <w:szCs w:val="21"/>
        </w:rPr>
        <w:t>access to NHS dental practices in an area. The assumption is that the fewer dental practices a District has per square kilometre</w:t>
      </w:r>
      <w:r w:rsidR="00A11F0D" w:rsidRPr="00CE5D47">
        <w:rPr>
          <w:rFonts w:asciiTheme="minorHAnsi" w:hAnsiTheme="minorHAnsi" w:cs="Arial"/>
          <w:sz w:val="21"/>
          <w:szCs w:val="21"/>
        </w:rPr>
        <w:t>,</w:t>
      </w:r>
      <w:r w:rsidR="00760AA6">
        <w:rPr>
          <w:rFonts w:asciiTheme="minorHAnsi" w:hAnsiTheme="minorHAnsi" w:cs="Arial"/>
          <w:color w:val="1F1F1F"/>
          <w:sz w:val="21"/>
          <w:szCs w:val="21"/>
        </w:rPr>
        <w:t xml:space="preserve"> the further </w:t>
      </w:r>
      <w:r w:rsidR="00A11F0D" w:rsidRPr="00CE5D47">
        <w:rPr>
          <w:rFonts w:asciiTheme="minorHAnsi" w:hAnsiTheme="minorHAnsi" w:cs="Arial"/>
          <w:sz w:val="21"/>
          <w:szCs w:val="21"/>
        </w:rPr>
        <w:t xml:space="preserve">the </w:t>
      </w:r>
      <w:r w:rsidR="00760AA6">
        <w:rPr>
          <w:rFonts w:asciiTheme="minorHAnsi" w:hAnsiTheme="minorHAnsi" w:cs="Arial"/>
          <w:color w:val="1F1F1F"/>
          <w:sz w:val="21"/>
          <w:szCs w:val="21"/>
        </w:rPr>
        <w:t xml:space="preserve">patients </w:t>
      </w:r>
      <w:proofErr w:type="gramStart"/>
      <w:r w:rsidR="00C73265">
        <w:rPr>
          <w:rFonts w:asciiTheme="minorHAnsi" w:hAnsiTheme="minorHAnsi" w:cs="Arial"/>
          <w:color w:val="1F1F1F"/>
          <w:sz w:val="21"/>
          <w:szCs w:val="21"/>
        </w:rPr>
        <w:t>have to</w:t>
      </w:r>
      <w:proofErr w:type="gramEnd"/>
      <w:r w:rsidR="00C73265">
        <w:rPr>
          <w:rFonts w:asciiTheme="minorHAnsi" w:hAnsiTheme="minorHAnsi" w:cs="Arial"/>
          <w:color w:val="1F1F1F"/>
          <w:sz w:val="21"/>
          <w:szCs w:val="21"/>
        </w:rPr>
        <w:t xml:space="preserve"> travel to </w:t>
      </w:r>
      <w:r w:rsidR="00E21C2E">
        <w:rPr>
          <w:rFonts w:asciiTheme="minorHAnsi" w:hAnsiTheme="minorHAnsi" w:cs="Arial"/>
          <w:color w:val="1F1F1F"/>
          <w:sz w:val="21"/>
          <w:szCs w:val="21"/>
        </w:rPr>
        <w:t>been seen by a dentist</w:t>
      </w:r>
      <w:r w:rsidR="00C73265">
        <w:rPr>
          <w:rFonts w:asciiTheme="minorHAnsi" w:hAnsiTheme="minorHAnsi" w:cs="Arial"/>
          <w:color w:val="1F1F1F"/>
          <w:sz w:val="21"/>
          <w:szCs w:val="21"/>
        </w:rPr>
        <w:t xml:space="preserve">. How the practices are </w:t>
      </w:r>
      <w:r w:rsidR="00CE5D47">
        <w:rPr>
          <w:rFonts w:asciiTheme="minorHAnsi" w:hAnsiTheme="minorHAnsi" w:cs="Arial"/>
          <w:color w:val="1F1F1F"/>
          <w:sz w:val="21"/>
          <w:szCs w:val="21"/>
        </w:rPr>
        <w:t xml:space="preserve">geographically </w:t>
      </w:r>
      <w:r w:rsidR="00C73265">
        <w:rPr>
          <w:rFonts w:asciiTheme="minorHAnsi" w:hAnsiTheme="minorHAnsi" w:cs="Arial"/>
          <w:color w:val="1F1F1F"/>
          <w:sz w:val="21"/>
          <w:szCs w:val="21"/>
        </w:rPr>
        <w:t xml:space="preserve">distributed </w:t>
      </w:r>
      <w:r w:rsidR="00CE5D47">
        <w:rPr>
          <w:rFonts w:asciiTheme="minorHAnsi" w:hAnsiTheme="minorHAnsi" w:cs="Arial"/>
          <w:color w:val="1F1F1F"/>
          <w:sz w:val="21"/>
          <w:szCs w:val="21"/>
        </w:rPr>
        <w:t>within</w:t>
      </w:r>
      <w:r w:rsidR="00C73265">
        <w:rPr>
          <w:rFonts w:asciiTheme="minorHAnsi" w:hAnsiTheme="minorHAnsi" w:cs="Arial"/>
          <w:color w:val="1F1F1F"/>
          <w:sz w:val="21"/>
          <w:szCs w:val="21"/>
        </w:rPr>
        <w:t xml:space="preserve"> a District has </w:t>
      </w:r>
      <w:r w:rsidR="00CE5D47">
        <w:rPr>
          <w:rFonts w:asciiTheme="minorHAnsi" w:hAnsiTheme="minorHAnsi" w:cs="Arial"/>
          <w:color w:val="1F1F1F"/>
          <w:sz w:val="21"/>
          <w:szCs w:val="21"/>
        </w:rPr>
        <w:t>not been taken into consideration in the project.</w:t>
      </w:r>
    </w:p>
    <w:p w14:paraId="6575FAF2" w14:textId="4B195FE1" w:rsidR="005679AA" w:rsidRPr="00B01DA8" w:rsidRDefault="005679AA" w:rsidP="00B01DA8">
      <w:pPr>
        <w:pStyle w:val="ListParagraph"/>
        <w:numPr>
          <w:ilvl w:val="1"/>
          <w:numId w:val="2"/>
        </w:numPr>
        <w:shd w:val="clear" w:color="auto" w:fill="FFFFFF"/>
        <w:spacing w:after="120"/>
        <w:ind w:left="788" w:hanging="431"/>
        <w:contextualSpacing w:val="0"/>
        <w:jc w:val="both"/>
        <w:rPr>
          <w:rFonts w:asciiTheme="minorHAnsi" w:hAnsiTheme="minorHAnsi" w:cs="Arial"/>
          <w:color w:val="1F1F1F"/>
          <w:sz w:val="21"/>
          <w:szCs w:val="21"/>
        </w:rPr>
      </w:pPr>
      <w:r w:rsidRPr="00D32C3D">
        <w:rPr>
          <w:rFonts w:asciiTheme="minorHAnsi" w:hAnsiTheme="minorHAnsi" w:cs="Arial"/>
          <w:b/>
          <w:bCs/>
          <w:color w:val="1F1F1F"/>
          <w:sz w:val="21"/>
          <w:szCs w:val="21"/>
        </w:rPr>
        <w:t>Population</w:t>
      </w:r>
      <w:r w:rsidR="00D32C3D" w:rsidRPr="00D32C3D">
        <w:rPr>
          <w:rFonts w:asciiTheme="minorHAnsi" w:hAnsiTheme="minorHAnsi" w:cs="Arial"/>
          <w:b/>
          <w:bCs/>
          <w:color w:val="1F1F1F"/>
          <w:sz w:val="21"/>
          <w:szCs w:val="21"/>
        </w:rPr>
        <w:t xml:space="preserve"> D</w:t>
      </w:r>
      <w:r w:rsidRPr="00D32C3D">
        <w:rPr>
          <w:rFonts w:asciiTheme="minorHAnsi" w:hAnsiTheme="minorHAnsi" w:cs="Arial"/>
          <w:b/>
          <w:bCs/>
          <w:color w:val="1F1F1F"/>
          <w:sz w:val="21"/>
          <w:szCs w:val="21"/>
        </w:rPr>
        <w:t>ata</w:t>
      </w:r>
      <w:r w:rsidR="00D32C3D" w:rsidRPr="00D32C3D">
        <w:rPr>
          <w:rFonts w:asciiTheme="minorHAnsi" w:hAnsiTheme="minorHAnsi" w:cs="Arial"/>
          <w:b/>
          <w:bCs/>
          <w:color w:val="1F1F1F"/>
          <w:sz w:val="21"/>
          <w:szCs w:val="21"/>
        </w:rPr>
        <w:t>:</w:t>
      </w:r>
      <w:r w:rsidR="00D32C3D" w:rsidRPr="00D32C3D">
        <w:rPr>
          <w:rFonts w:asciiTheme="minorHAnsi" w:hAnsiTheme="minorHAnsi" w:cs="Arial"/>
          <w:color w:val="1F1F1F"/>
          <w:sz w:val="21"/>
          <w:szCs w:val="21"/>
        </w:rPr>
        <w:t xml:space="preserve"> </w:t>
      </w:r>
      <w:r w:rsidRPr="00D32C3D">
        <w:rPr>
          <w:rFonts w:asciiTheme="minorHAnsi" w:hAnsiTheme="minorHAnsi" w:cs="Arial"/>
          <w:color w:val="1F1F1F"/>
          <w:sz w:val="21"/>
          <w:szCs w:val="21"/>
        </w:rPr>
        <w:t xml:space="preserve"> </w:t>
      </w:r>
      <w:r w:rsidR="00D32C3D">
        <w:rPr>
          <w:rFonts w:asciiTheme="minorHAnsi" w:hAnsiTheme="minorHAnsi" w:cs="Arial"/>
          <w:color w:val="1F1F1F"/>
          <w:sz w:val="21"/>
          <w:szCs w:val="21"/>
        </w:rPr>
        <w:t xml:space="preserve">Population data </w:t>
      </w:r>
      <w:r w:rsidRPr="00D32C3D">
        <w:rPr>
          <w:rFonts w:asciiTheme="minorHAnsi" w:hAnsiTheme="minorHAnsi" w:cs="Arial"/>
          <w:color w:val="1F1F1F"/>
          <w:sz w:val="21"/>
          <w:szCs w:val="21"/>
        </w:rPr>
        <w:t>by Local Authority District in England</w:t>
      </w:r>
      <w:r w:rsidR="00D32C3D">
        <w:rPr>
          <w:rFonts w:asciiTheme="minorHAnsi" w:hAnsiTheme="minorHAnsi" w:cs="Arial"/>
          <w:color w:val="1F1F1F"/>
          <w:sz w:val="21"/>
          <w:szCs w:val="21"/>
        </w:rPr>
        <w:t xml:space="preserve">, dated from December 2019, was taken from </w:t>
      </w:r>
      <w:r w:rsidR="00D32C3D">
        <w:rPr>
          <w:rFonts w:asciiTheme="minorHAnsi" w:hAnsiTheme="minorHAnsi" w:cs="Arial"/>
          <w:color w:val="1F1F1F"/>
          <w:sz w:val="21"/>
          <w:szCs w:val="21"/>
        </w:rPr>
        <w:t>Office for National Statistics</w:t>
      </w:r>
      <w:r w:rsidR="00783EF6">
        <w:rPr>
          <w:rFonts w:asciiTheme="minorHAnsi" w:hAnsiTheme="minorHAnsi" w:cs="Arial"/>
          <w:color w:val="1F1F1F"/>
          <w:sz w:val="21"/>
          <w:szCs w:val="21"/>
        </w:rPr>
        <w:t xml:space="preserve"> </w:t>
      </w:r>
      <w:sdt>
        <w:sdtPr>
          <w:rPr>
            <w:rFonts w:asciiTheme="minorHAnsi" w:hAnsiTheme="minorHAnsi" w:cs="Arial"/>
            <w:color w:val="1F1F1F"/>
            <w:sz w:val="21"/>
            <w:szCs w:val="21"/>
          </w:rPr>
          <w:id w:val="37097916"/>
          <w:citation/>
        </w:sdtPr>
        <w:sdtContent>
          <w:r w:rsidR="00783EF6">
            <w:rPr>
              <w:rFonts w:asciiTheme="minorHAnsi" w:hAnsiTheme="minorHAnsi" w:cs="Arial"/>
              <w:color w:val="1F1F1F"/>
              <w:sz w:val="21"/>
              <w:szCs w:val="21"/>
            </w:rPr>
            <w:fldChar w:fldCharType="begin"/>
          </w:r>
          <w:r w:rsidR="00783EF6">
            <w:rPr>
              <w:rFonts w:asciiTheme="minorHAnsi" w:hAnsiTheme="minorHAnsi" w:cs="Arial"/>
              <w:color w:val="1F1F1F"/>
              <w:sz w:val="21"/>
              <w:szCs w:val="21"/>
            </w:rPr>
            <w:instrText xml:space="preserve"> CITATION Off21 \l 2057 </w:instrText>
          </w:r>
          <w:r w:rsidR="00783EF6">
            <w:rPr>
              <w:rFonts w:asciiTheme="minorHAnsi" w:hAnsiTheme="minorHAnsi" w:cs="Arial"/>
              <w:color w:val="1F1F1F"/>
              <w:sz w:val="21"/>
              <w:szCs w:val="21"/>
            </w:rPr>
            <w:fldChar w:fldCharType="separate"/>
          </w:r>
          <w:r w:rsidR="00E031D7" w:rsidRPr="00E031D7">
            <w:rPr>
              <w:rFonts w:asciiTheme="minorHAnsi" w:hAnsiTheme="minorHAnsi" w:cs="Arial"/>
              <w:noProof/>
              <w:color w:val="1F1F1F"/>
              <w:sz w:val="21"/>
              <w:szCs w:val="21"/>
            </w:rPr>
            <w:t>(Office for National Statistics, 2021)</w:t>
          </w:r>
          <w:r w:rsidR="00783EF6">
            <w:rPr>
              <w:rFonts w:asciiTheme="minorHAnsi" w:hAnsiTheme="minorHAnsi" w:cs="Arial"/>
              <w:color w:val="1F1F1F"/>
              <w:sz w:val="21"/>
              <w:szCs w:val="21"/>
            </w:rPr>
            <w:fldChar w:fldCharType="end"/>
          </w:r>
        </w:sdtContent>
      </w:sdt>
      <w:r w:rsidR="00D32C3D">
        <w:rPr>
          <w:rFonts w:asciiTheme="minorHAnsi" w:hAnsiTheme="minorHAnsi" w:cs="Arial"/>
          <w:color w:val="1F1F1F"/>
          <w:sz w:val="21"/>
          <w:szCs w:val="21"/>
        </w:rPr>
        <w:t>. It was used to calculate the number of dental practices</w:t>
      </w:r>
      <w:r w:rsidR="00126DA4" w:rsidRPr="00126DA4">
        <w:rPr>
          <w:rFonts w:asciiTheme="minorHAnsi" w:hAnsiTheme="minorHAnsi" w:cs="Arial"/>
          <w:color w:val="FF0000"/>
          <w:sz w:val="21"/>
          <w:szCs w:val="21"/>
        </w:rPr>
        <w:t xml:space="preserve"> </w:t>
      </w:r>
      <w:r w:rsidR="00126DA4" w:rsidRPr="003F12F7">
        <w:rPr>
          <w:rFonts w:asciiTheme="minorHAnsi" w:hAnsiTheme="minorHAnsi" w:cs="Arial"/>
          <w:sz w:val="21"/>
          <w:szCs w:val="21"/>
        </w:rPr>
        <w:t>per</w:t>
      </w:r>
      <w:r w:rsidR="00D32C3D" w:rsidRPr="003F12F7">
        <w:rPr>
          <w:rFonts w:asciiTheme="minorHAnsi" w:hAnsiTheme="minorHAnsi" w:cs="Arial"/>
          <w:sz w:val="21"/>
          <w:szCs w:val="21"/>
        </w:rPr>
        <w:t xml:space="preserve"> </w:t>
      </w:r>
      <w:r w:rsidR="00D32C3D">
        <w:rPr>
          <w:rFonts w:asciiTheme="minorHAnsi" w:hAnsiTheme="minorHAnsi" w:cs="Arial"/>
          <w:color w:val="1F1F1F"/>
          <w:sz w:val="21"/>
          <w:szCs w:val="21"/>
        </w:rPr>
        <w:t>10,000 population for each Local Authority District, which allowed for a like for like comparison among the District with regards to access to NHS dental practices.</w:t>
      </w:r>
      <w:r w:rsidR="003E671C">
        <w:rPr>
          <w:rFonts w:asciiTheme="minorHAnsi" w:hAnsiTheme="minorHAnsi" w:cs="Arial"/>
          <w:color w:val="1F1F1F"/>
          <w:sz w:val="21"/>
          <w:szCs w:val="21"/>
        </w:rPr>
        <w:t xml:space="preserve"> The higher the number of practices per population the better the access to affordable dental care.</w:t>
      </w:r>
    </w:p>
    <w:p w14:paraId="7A28FCB6" w14:textId="297F9716" w:rsidR="005679AA" w:rsidRPr="005679AA" w:rsidRDefault="003E671C" w:rsidP="00B01DA8">
      <w:pPr>
        <w:pStyle w:val="ListParagraph"/>
        <w:numPr>
          <w:ilvl w:val="1"/>
          <w:numId w:val="2"/>
        </w:numPr>
        <w:shd w:val="clear" w:color="auto" w:fill="FFFFFF"/>
        <w:spacing w:after="120"/>
        <w:ind w:left="788" w:hanging="431"/>
        <w:contextualSpacing w:val="0"/>
        <w:jc w:val="both"/>
        <w:rPr>
          <w:rFonts w:asciiTheme="minorHAnsi" w:hAnsiTheme="minorHAnsi" w:cs="Arial"/>
          <w:color w:val="1F1F1F"/>
          <w:sz w:val="21"/>
          <w:szCs w:val="21"/>
        </w:rPr>
      </w:pPr>
      <w:r w:rsidRPr="003E671C">
        <w:rPr>
          <w:rFonts w:asciiTheme="minorHAnsi" w:hAnsiTheme="minorHAnsi" w:cs="Arial"/>
          <w:b/>
          <w:bCs/>
          <w:color w:val="1F1F1F"/>
          <w:sz w:val="21"/>
          <w:szCs w:val="21"/>
        </w:rPr>
        <w:t>Tooth Decay Data:</w:t>
      </w:r>
      <w:r>
        <w:rPr>
          <w:rFonts w:asciiTheme="minorHAnsi" w:hAnsiTheme="minorHAnsi" w:cs="Arial"/>
          <w:color w:val="1F1F1F"/>
          <w:sz w:val="21"/>
          <w:szCs w:val="21"/>
        </w:rPr>
        <w:t xml:space="preserve"> The p</w:t>
      </w:r>
      <w:r w:rsidR="005679AA" w:rsidRPr="005679AA">
        <w:rPr>
          <w:rFonts w:asciiTheme="minorHAnsi" w:hAnsiTheme="minorHAnsi" w:cs="Arial"/>
          <w:color w:val="1F1F1F"/>
          <w:sz w:val="21"/>
          <w:szCs w:val="21"/>
        </w:rPr>
        <w:t xml:space="preserve">ercentage of </w:t>
      </w:r>
      <w:r w:rsidR="005E037D" w:rsidRPr="005679AA">
        <w:rPr>
          <w:rFonts w:asciiTheme="minorHAnsi" w:hAnsiTheme="minorHAnsi" w:cs="Arial"/>
          <w:color w:val="1F1F1F"/>
          <w:sz w:val="21"/>
          <w:szCs w:val="21"/>
        </w:rPr>
        <w:t>5-year</w:t>
      </w:r>
      <w:r w:rsidR="005679AA" w:rsidRPr="005679AA">
        <w:rPr>
          <w:rFonts w:asciiTheme="minorHAnsi" w:hAnsiTheme="minorHAnsi" w:cs="Arial"/>
          <w:color w:val="1F1F1F"/>
          <w:sz w:val="21"/>
          <w:szCs w:val="21"/>
        </w:rPr>
        <w:t xml:space="preserve"> olds </w:t>
      </w:r>
      <w:r w:rsidR="003F12F7">
        <w:rPr>
          <w:rFonts w:asciiTheme="minorHAnsi" w:hAnsiTheme="minorHAnsi" w:cs="Arial"/>
          <w:color w:val="1F1F1F"/>
          <w:sz w:val="21"/>
          <w:szCs w:val="21"/>
        </w:rPr>
        <w:t xml:space="preserve">with </w:t>
      </w:r>
      <w:r w:rsidR="005679AA" w:rsidRPr="005679AA">
        <w:rPr>
          <w:rFonts w:asciiTheme="minorHAnsi" w:hAnsiTheme="minorHAnsi" w:cs="Arial"/>
          <w:color w:val="1F1F1F"/>
          <w:sz w:val="21"/>
          <w:szCs w:val="21"/>
        </w:rPr>
        <w:t>visually obvious dental decay</w:t>
      </w:r>
      <w:r>
        <w:rPr>
          <w:rFonts w:asciiTheme="minorHAnsi" w:hAnsiTheme="minorHAnsi" w:cs="Arial"/>
          <w:color w:val="1F1F1F"/>
          <w:sz w:val="21"/>
          <w:szCs w:val="21"/>
        </w:rPr>
        <w:t xml:space="preserve"> in 2018-19 from Public Health England was used as</w:t>
      </w:r>
      <w:r w:rsidR="00126DA4">
        <w:rPr>
          <w:rFonts w:asciiTheme="minorHAnsi" w:hAnsiTheme="minorHAnsi" w:cs="Arial"/>
          <w:color w:val="1F1F1F"/>
          <w:sz w:val="21"/>
          <w:szCs w:val="21"/>
        </w:rPr>
        <w:t xml:space="preserve"> an</w:t>
      </w:r>
      <w:r>
        <w:rPr>
          <w:rFonts w:asciiTheme="minorHAnsi" w:hAnsiTheme="minorHAnsi" w:cs="Arial"/>
          <w:color w:val="1F1F1F"/>
          <w:sz w:val="21"/>
          <w:szCs w:val="21"/>
        </w:rPr>
        <w:t xml:space="preserve"> indicator for the level of dental health in each District</w:t>
      </w:r>
      <w:r w:rsidR="00624BA7">
        <w:rPr>
          <w:rFonts w:asciiTheme="minorHAnsi" w:hAnsiTheme="minorHAnsi" w:cs="Arial"/>
          <w:color w:val="1F1F1F"/>
          <w:sz w:val="21"/>
          <w:szCs w:val="21"/>
        </w:rPr>
        <w:t xml:space="preserve"> </w:t>
      </w:r>
      <w:sdt>
        <w:sdtPr>
          <w:rPr>
            <w:rFonts w:asciiTheme="minorHAnsi" w:hAnsiTheme="minorHAnsi" w:cs="Arial"/>
            <w:color w:val="1F1F1F"/>
            <w:sz w:val="21"/>
            <w:szCs w:val="21"/>
          </w:rPr>
          <w:id w:val="-1918544681"/>
          <w:citation/>
        </w:sdtPr>
        <w:sdtContent>
          <w:r w:rsidR="00624BA7">
            <w:rPr>
              <w:rFonts w:asciiTheme="minorHAnsi" w:hAnsiTheme="minorHAnsi" w:cs="Arial"/>
              <w:color w:val="1F1F1F"/>
              <w:sz w:val="21"/>
              <w:szCs w:val="21"/>
            </w:rPr>
            <w:fldChar w:fldCharType="begin"/>
          </w:r>
          <w:r w:rsidR="00624BA7">
            <w:rPr>
              <w:rFonts w:asciiTheme="minorHAnsi" w:hAnsiTheme="minorHAnsi" w:cs="Arial"/>
              <w:color w:val="1F1F1F"/>
              <w:sz w:val="21"/>
              <w:szCs w:val="21"/>
            </w:rPr>
            <w:instrText xml:space="preserve"> CITATION Pub20 \l 2057 </w:instrText>
          </w:r>
          <w:r w:rsidR="00624BA7">
            <w:rPr>
              <w:rFonts w:asciiTheme="minorHAnsi" w:hAnsiTheme="minorHAnsi" w:cs="Arial"/>
              <w:color w:val="1F1F1F"/>
              <w:sz w:val="21"/>
              <w:szCs w:val="21"/>
            </w:rPr>
            <w:fldChar w:fldCharType="separate"/>
          </w:r>
          <w:r w:rsidR="00E031D7" w:rsidRPr="00E031D7">
            <w:rPr>
              <w:rFonts w:asciiTheme="minorHAnsi" w:hAnsiTheme="minorHAnsi" w:cs="Arial"/>
              <w:noProof/>
              <w:color w:val="1F1F1F"/>
              <w:sz w:val="21"/>
              <w:szCs w:val="21"/>
            </w:rPr>
            <w:t>(Public Health England, 2021)</w:t>
          </w:r>
          <w:r w:rsidR="00624BA7">
            <w:rPr>
              <w:rFonts w:asciiTheme="minorHAnsi" w:hAnsiTheme="minorHAnsi" w:cs="Arial"/>
              <w:color w:val="1F1F1F"/>
              <w:sz w:val="21"/>
              <w:szCs w:val="21"/>
            </w:rPr>
            <w:fldChar w:fldCharType="end"/>
          </w:r>
        </w:sdtContent>
      </w:sdt>
      <w:r>
        <w:rPr>
          <w:rFonts w:asciiTheme="minorHAnsi" w:hAnsiTheme="minorHAnsi" w:cs="Arial"/>
          <w:color w:val="1F1F1F"/>
          <w:sz w:val="21"/>
          <w:szCs w:val="21"/>
        </w:rPr>
        <w:t xml:space="preserve">. </w:t>
      </w:r>
      <w:r w:rsidR="00A578A8" w:rsidRPr="00A578A8">
        <w:rPr>
          <w:rFonts w:asciiTheme="minorHAnsi" w:hAnsiTheme="minorHAnsi" w:cs="Arial"/>
          <w:sz w:val="21"/>
          <w:szCs w:val="21"/>
        </w:rPr>
        <w:t xml:space="preserve">Tooth decay in children is an important </w:t>
      </w:r>
      <w:r w:rsidR="003F12F7">
        <w:rPr>
          <w:rFonts w:asciiTheme="minorHAnsi" w:hAnsiTheme="minorHAnsi" w:cs="Arial"/>
          <w:sz w:val="21"/>
          <w:szCs w:val="21"/>
        </w:rPr>
        <w:t xml:space="preserve">factor </w:t>
      </w:r>
      <w:r w:rsidR="00A578A8" w:rsidRPr="00A578A8">
        <w:rPr>
          <w:rFonts w:asciiTheme="minorHAnsi" w:hAnsiTheme="minorHAnsi" w:cs="Arial"/>
          <w:sz w:val="21"/>
          <w:szCs w:val="21"/>
        </w:rPr>
        <w:t xml:space="preserve">as it forecasts the future impact on the dental health system. Children that have poor dental health are more likely to have dental problems later in </w:t>
      </w:r>
      <w:r w:rsidR="00126DA4">
        <w:rPr>
          <w:rFonts w:asciiTheme="minorHAnsi" w:hAnsiTheme="minorHAnsi" w:cs="Arial"/>
          <w:sz w:val="21"/>
          <w:szCs w:val="21"/>
        </w:rPr>
        <w:t>life</w:t>
      </w:r>
      <w:r w:rsidR="00A578A8" w:rsidRPr="00A578A8">
        <w:rPr>
          <w:rFonts w:asciiTheme="minorHAnsi" w:hAnsiTheme="minorHAnsi" w:cs="Arial"/>
          <w:sz w:val="21"/>
          <w:szCs w:val="21"/>
        </w:rPr>
        <w:t>, putting a burden on the health system.</w:t>
      </w:r>
      <w:r w:rsidR="00A578A8" w:rsidRPr="00A578A8">
        <w:rPr>
          <w:rFonts w:asciiTheme="minorHAnsi" w:hAnsiTheme="minorHAnsi" w:cs="Arial"/>
          <w:sz w:val="21"/>
          <w:szCs w:val="21"/>
        </w:rPr>
        <w:t xml:space="preserve"> Since the values are expressed as percentages</w:t>
      </w:r>
      <w:r w:rsidR="00126DA4" w:rsidRPr="003F12F7">
        <w:rPr>
          <w:rFonts w:asciiTheme="minorHAnsi" w:hAnsiTheme="minorHAnsi" w:cs="Arial"/>
          <w:sz w:val="21"/>
          <w:szCs w:val="21"/>
        </w:rPr>
        <w:t>,</w:t>
      </w:r>
      <w:r w:rsidR="00A578A8" w:rsidRPr="00A578A8">
        <w:rPr>
          <w:rFonts w:asciiTheme="minorHAnsi" w:hAnsiTheme="minorHAnsi" w:cs="Arial"/>
          <w:sz w:val="21"/>
          <w:szCs w:val="21"/>
        </w:rPr>
        <w:t xml:space="preserve"> the level of tooth decay in children can be easily compared among the Districts. </w:t>
      </w:r>
    </w:p>
    <w:p w14:paraId="16F0C552" w14:textId="30281E86" w:rsidR="005679AA" w:rsidRPr="00627AA1" w:rsidRDefault="00145F2E" w:rsidP="00627AA1">
      <w:pPr>
        <w:pStyle w:val="ListParagraph"/>
        <w:numPr>
          <w:ilvl w:val="1"/>
          <w:numId w:val="2"/>
        </w:numPr>
        <w:shd w:val="clear" w:color="auto" w:fill="FFFFFF"/>
        <w:spacing w:after="120"/>
        <w:ind w:left="788" w:hanging="431"/>
        <w:contextualSpacing w:val="0"/>
        <w:jc w:val="both"/>
        <w:rPr>
          <w:rFonts w:asciiTheme="minorHAnsi" w:hAnsiTheme="minorHAnsi" w:cs="Arial"/>
          <w:color w:val="1F1F1F"/>
          <w:sz w:val="21"/>
          <w:szCs w:val="21"/>
        </w:rPr>
      </w:pPr>
      <w:r w:rsidRPr="00145F2E">
        <w:rPr>
          <w:rFonts w:asciiTheme="minorHAnsi" w:hAnsiTheme="minorHAnsi" w:cs="Arial"/>
          <w:b/>
          <w:bCs/>
          <w:color w:val="1F1F1F"/>
          <w:sz w:val="21"/>
          <w:szCs w:val="21"/>
        </w:rPr>
        <w:t>Deprivation Data:</w:t>
      </w:r>
      <w:r>
        <w:rPr>
          <w:rFonts w:asciiTheme="minorHAnsi" w:hAnsiTheme="minorHAnsi" w:cs="Arial"/>
          <w:color w:val="1F1F1F"/>
          <w:sz w:val="21"/>
          <w:szCs w:val="21"/>
        </w:rPr>
        <w:t xml:space="preserve"> The Index for Multiple Deprivation (IMD) scores in 2019 </w:t>
      </w:r>
      <w:r w:rsidR="00126DA4">
        <w:rPr>
          <w:rFonts w:asciiTheme="minorHAnsi" w:hAnsiTheme="minorHAnsi" w:cs="Arial"/>
          <w:color w:val="1F1F1F"/>
          <w:sz w:val="21"/>
          <w:szCs w:val="21"/>
        </w:rPr>
        <w:t xml:space="preserve">obtained </w:t>
      </w:r>
      <w:r>
        <w:rPr>
          <w:rFonts w:asciiTheme="minorHAnsi" w:hAnsiTheme="minorHAnsi" w:cs="Arial"/>
          <w:color w:val="1F1F1F"/>
          <w:sz w:val="21"/>
          <w:szCs w:val="21"/>
        </w:rPr>
        <w:t>from the government statistics on gov.uk were used to indicate the level of deprivation in each Local Authority District. The IMD combines seven different domains to create the overall IMD score and include</w:t>
      </w:r>
      <w:r w:rsidR="00126DA4">
        <w:rPr>
          <w:rFonts w:asciiTheme="minorHAnsi" w:hAnsiTheme="minorHAnsi" w:cs="Arial"/>
          <w:color w:val="1F1F1F"/>
          <w:sz w:val="21"/>
          <w:szCs w:val="21"/>
        </w:rPr>
        <w:t>s</w:t>
      </w:r>
      <w:r>
        <w:rPr>
          <w:rFonts w:asciiTheme="minorHAnsi" w:hAnsiTheme="minorHAnsi" w:cs="Arial"/>
          <w:color w:val="1F1F1F"/>
          <w:sz w:val="21"/>
          <w:szCs w:val="21"/>
        </w:rPr>
        <w:t xml:space="preserve"> Income, Employment, Education, Health, Crime, </w:t>
      </w:r>
      <w:r w:rsidR="005E1D24">
        <w:rPr>
          <w:rFonts w:asciiTheme="minorHAnsi" w:hAnsiTheme="minorHAnsi" w:cs="Arial"/>
          <w:color w:val="1F1F1F"/>
          <w:sz w:val="21"/>
          <w:szCs w:val="21"/>
        </w:rPr>
        <w:t>Barriers to Housing &amp; services and Living Environment. The higher the IMD score in a District</w:t>
      </w:r>
      <w:r w:rsidR="00126DA4">
        <w:rPr>
          <w:rFonts w:asciiTheme="minorHAnsi" w:hAnsiTheme="minorHAnsi" w:cs="Arial"/>
          <w:color w:val="1F1F1F"/>
          <w:sz w:val="21"/>
          <w:szCs w:val="21"/>
        </w:rPr>
        <w:t>,</w:t>
      </w:r>
      <w:r w:rsidR="005E1D24">
        <w:rPr>
          <w:rFonts w:asciiTheme="minorHAnsi" w:hAnsiTheme="minorHAnsi" w:cs="Arial"/>
          <w:color w:val="1F1F1F"/>
          <w:sz w:val="21"/>
          <w:szCs w:val="21"/>
        </w:rPr>
        <w:t xml:space="preserve"> the more deprived the District is relative to other Districts</w:t>
      </w:r>
      <w:r w:rsidR="00624BA7">
        <w:rPr>
          <w:rFonts w:asciiTheme="minorHAnsi" w:hAnsiTheme="minorHAnsi" w:cs="Arial"/>
          <w:color w:val="1F1F1F"/>
          <w:sz w:val="21"/>
          <w:szCs w:val="21"/>
        </w:rPr>
        <w:t xml:space="preserve"> </w:t>
      </w:r>
      <w:sdt>
        <w:sdtPr>
          <w:rPr>
            <w:rFonts w:asciiTheme="minorHAnsi" w:hAnsiTheme="minorHAnsi" w:cs="Arial"/>
            <w:color w:val="1F1F1F"/>
            <w:sz w:val="21"/>
            <w:szCs w:val="21"/>
          </w:rPr>
          <w:id w:val="-587306103"/>
          <w:citation/>
        </w:sdtPr>
        <w:sdtContent>
          <w:r w:rsidR="002152F8">
            <w:rPr>
              <w:rFonts w:asciiTheme="minorHAnsi" w:hAnsiTheme="minorHAnsi" w:cs="Arial"/>
              <w:color w:val="1F1F1F"/>
              <w:sz w:val="21"/>
              <w:szCs w:val="21"/>
            </w:rPr>
            <w:fldChar w:fldCharType="begin"/>
          </w:r>
          <w:r w:rsidR="002152F8">
            <w:rPr>
              <w:rFonts w:asciiTheme="minorHAnsi" w:hAnsiTheme="minorHAnsi" w:cs="Arial"/>
              <w:color w:val="1F1F1F"/>
              <w:sz w:val="21"/>
              <w:szCs w:val="21"/>
            </w:rPr>
            <w:instrText xml:space="preserve"> CITATION Min19 \l 2057 </w:instrText>
          </w:r>
          <w:r w:rsidR="002152F8">
            <w:rPr>
              <w:rFonts w:asciiTheme="minorHAnsi" w:hAnsiTheme="minorHAnsi" w:cs="Arial"/>
              <w:color w:val="1F1F1F"/>
              <w:sz w:val="21"/>
              <w:szCs w:val="21"/>
            </w:rPr>
            <w:fldChar w:fldCharType="separate"/>
          </w:r>
          <w:r w:rsidR="00E031D7" w:rsidRPr="00E031D7">
            <w:rPr>
              <w:rFonts w:asciiTheme="minorHAnsi" w:hAnsiTheme="minorHAnsi" w:cs="Arial"/>
              <w:noProof/>
              <w:color w:val="1F1F1F"/>
              <w:sz w:val="21"/>
              <w:szCs w:val="21"/>
            </w:rPr>
            <w:t>(Ministry of Housing, Communities &amp; Local Government, 2019)</w:t>
          </w:r>
          <w:r w:rsidR="002152F8">
            <w:rPr>
              <w:rFonts w:asciiTheme="minorHAnsi" w:hAnsiTheme="minorHAnsi" w:cs="Arial"/>
              <w:color w:val="1F1F1F"/>
              <w:sz w:val="21"/>
              <w:szCs w:val="21"/>
            </w:rPr>
            <w:fldChar w:fldCharType="end"/>
          </w:r>
        </w:sdtContent>
      </w:sdt>
      <w:r w:rsidR="005E1D24">
        <w:rPr>
          <w:rFonts w:asciiTheme="minorHAnsi" w:hAnsiTheme="minorHAnsi" w:cs="Arial"/>
          <w:color w:val="1F1F1F"/>
          <w:sz w:val="21"/>
          <w:szCs w:val="21"/>
        </w:rPr>
        <w:t xml:space="preserve">. </w:t>
      </w:r>
      <w:r w:rsidR="00170446">
        <w:rPr>
          <w:rFonts w:asciiTheme="minorHAnsi" w:hAnsiTheme="minorHAnsi" w:cs="Arial"/>
          <w:color w:val="1F1F1F"/>
          <w:sz w:val="21"/>
          <w:szCs w:val="21"/>
        </w:rPr>
        <w:t>The level of deprivation in an area is important to consider as it is more vital to ensure access to affordable dental services in more deprived areas. People on low</w:t>
      </w:r>
      <w:r w:rsidR="002B0FD9">
        <w:rPr>
          <w:rFonts w:asciiTheme="minorHAnsi" w:hAnsiTheme="minorHAnsi" w:cs="Arial"/>
          <w:color w:val="1F1F1F"/>
          <w:sz w:val="21"/>
          <w:szCs w:val="21"/>
        </w:rPr>
        <w:t>er</w:t>
      </w:r>
      <w:r w:rsidR="00170446">
        <w:rPr>
          <w:rFonts w:asciiTheme="minorHAnsi" w:hAnsiTheme="minorHAnsi" w:cs="Arial"/>
          <w:color w:val="1F1F1F"/>
          <w:sz w:val="21"/>
          <w:szCs w:val="21"/>
        </w:rPr>
        <w:t xml:space="preserve"> income are more reliant on NHS </w:t>
      </w:r>
      <w:r w:rsidR="002B0FD9">
        <w:rPr>
          <w:rFonts w:asciiTheme="minorHAnsi" w:hAnsiTheme="minorHAnsi" w:cs="Arial"/>
          <w:color w:val="1F1F1F"/>
          <w:sz w:val="21"/>
          <w:szCs w:val="21"/>
        </w:rPr>
        <w:t xml:space="preserve">dental </w:t>
      </w:r>
      <w:r w:rsidR="00170446">
        <w:rPr>
          <w:rFonts w:asciiTheme="minorHAnsi" w:hAnsiTheme="minorHAnsi" w:cs="Arial"/>
          <w:color w:val="1F1F1F"/>
          <w:sz w:val="21"/>
          <w:szCs w:val="21"/>
        </w:rPr>
        <w:t>services</w:t>
      </w:r>
      <w:r w:rsidR="002B0FD9">
        <w:rPr>
          <w:rFonts w:asciiTheme="minorHAnsi" w:hAnsiTheme="minorHAnsi" w:cs="Arial"/>
          <w:color w:val="1F1F1F"/>
          <w:sz w:val="21"/>
          <w:szCs w:val="21"/>
        </w:rPr>
        <w:t xml:space="preserve"> </w:t>
      </w:r>
      <w:r w:rsidR="00126DA4">
        <w:rPr>
          <w:rFonts w:asciiTheme="minorHAnsi" w:hAnsiTheme="minorHAnsi" w:cs="Arial"/>
          <w:color w:val="1F1F1F"/>
          <w:sz w:val="21"/>
          <w:szCs w:val="21"/>
        </w:rPr>
        <w:t>that</w:t>
      </w:r>
      <w:r w:rsidR="002B0FD9">
        <w:rPr>
          <w:rFonts w:asciiTheme="minorHAnsi" w:hAnsiTheme="minorHAnsi" w:cs="Arial"/>
          <w:color w:val="1F1F1F"/>
          <w:sz w:val="21"/>
          <w:szCs w:val="21"/>
        </w:rPr>
        <w:t xml:space="preserve"> are </w:t>
      </w:r>
      <w:r w:rsidR="00126DA4">
        <w:rPr>
          <w:rFonts w:asciiTheme="minorHAnsi" w:hAnsiTheme="minorHAnsi" w:cs="Arial"/>
          <w:color w:val="1F1F1F"/>
          <w:sz w:val="21"/>
          <w:szCs w:val="21"/>
        </w:rPr>
        <w:t>reasonably priced (and in some cases even free)</w:t>
      </w:r>
      <w:r w:rsidR="002B0FD9">
        <w:rPr>
          <w:rFonts w:asciiTheme="minorHAnsi" w:hAnsiTheme="minorHAnsi" w:cs="Arial"/>
          <w:color w:val="1F1F1F"/>
          <w:sz w:val="21"/>
          <w:szCs w:val="21"/>
        </w:rPr>
        <w:t xml:space="preserve"> </w:t>
      </w:r>
      <w:r w:rsidR="00126DA4">
        <w:rPr>
          <w:rFonts w:asciiTheme="minorHAnsi" w:hAnsiTheme="minorHAnsi" w:cs="Arial"/>
          <w:color w:val="1F1F1F"/>
          <w:sz w:val="21"/>
          <w:szCs w:val="21"/>
        </w:rPr>
        <w:t>compared to</w:t>
      </w:r>
      <w:r w:rsidR="002B0FD9">
        <w:rPr>
          <w:rFonts w:asciiTheme="minorHAnsi" w:hAnsiTheme="minorHAnsi" w:cs="Arial"/>
          <w:color w:val="1F1F1F"/>
          <w:sz w:val="21"/>
          <w:szCs w:val="21"/>
        </w:rPr>
        <w:t xml:space="preserve"> private sector </w:t>
      </w:r>
      <w:r w:rsidR="00126DA4">
        <w:rPr>
          <w:rFonts w:asciiTheme="minorHAnsi" w:hAnsiTheme="minorHAnsi" w:cs="Arial"/>
          <w:color w:val="1F1F1F"/>
          <w:sz w:val="21"/>
          <w:szCs w:val="21"/>
        </w:rPr>
        <w:t>services.</w:t>
      </w:r>
      <w:r w:rsidR="002B0FD9">
        <w:rPr>
          <w:rFonts w:asciiTheme="minorHAnsi" w:hAnsiTheme="minorHAnsi" w:cs="Arial"/>
          <w:color w:val="1F1F1F"/>
          <w:sz w:val="21"/>
          <w:szCs w:val="21"/>
        </w:rPr>
        <w:t xml:space="preserve">  </w:t>
      </w:r>
    </w:p>
    <w:p w14:paraId="45C5961B" w14:textId="76AEF9F9" w:rsidR="00F83312" w:rsidRDefault="00627AA1" w:rsidP="00B01DA8">
      <w:pPr>
        <w:pStyle w:val="ListParagraph"/>
        <w:numPr>
          <w:ilvl w:val="1"/>
          <w:numId w:val="2"/>
        </w:numPr>
        <w:shd w:val="clear" w:color="auto" w:fill="FFFFFF"/>
        <w:spacing w:after="120"/>
        <w:ind w:left="788" w:hanging="431"/>
        <w:contextualSpacing w:val="0"/>
        <w:jc w:val="both"/>
        <w:rPr>
          <w:rFonts w:asciiTheme="minorHAnsi" w:hAnsiTheme="minorHAnsi" w:cs="Arial"/>
          <w:color w:val="1F1F1F"/>
          <w:sz w:val="21"/>
          <w:szCs w:val="21"/>
        </w:rPr>
      </w:pPr>
      <w:r w:rsidRPr="00627AA1">
        <w:rPr>
          <w:rFonts w:asciiTheme="minorHAnsi" w:hAnsiTheme="minorHAnsi" w:cs="Arial"/>
          <w:b/>
          <w:bCs/>
          <w:color w:val="1F1F1F"/>
          <w:sz w:val="21"/>
          <w:szCs w:val="21"/>
        </w:rPr>
        <w:t>Dental Practice Data:</w:t>
      </w:r>
      <w:r>
        <w:rPr>
          <w:rFonts w:asciiTheme="minorHAnsi" w:hAnsiTheme="minorHAnsi" w:cs="Arial"/>
          <w:color w:val="1F1F1F"/>
          <w:sz w:val="21"/>
          <w:szCs w:val="21"/>
        </w:rPr>
        <w:t xml:space="preserve"> The n</w:t>
      </w:r>
      <w:r w:rsidR="005679AA" w:rsidRPr="005679AA">
        <w:rPr>
          <w:rFonts w:asciiTheme="minorHAnsi" w:hAnsiTheme="minorHAnsi" w:cs="Arial"/>
          <w:color w:val="1F1F1F"/>
          <w:sz w:val="21"/>
          <w:szCs w:val="21"/>
        </w:rPr>
        <w:t xml:space="preserve">umber of NHS dental practices </w:t>
      </w:r>
      <w:r w:rsidR="00126DA4">
        <w:rPr>
          <w:rFonts w:asciiTheme="minorHAnsi" w:hAnsiTheme="minorHAnsi" w:cs="Arial"/>
          <w:color w:val="1F1F1F"/>
          <w:sz w:val="21"/>
          <w:szCs w:val="21"/>
        </w:rPr>
        <w:t xml:space="preserve">per District in </w:t>
      </w:r>
      <w:r w:rsidR="005679AA" w:rsidRPr="005679AA">
        <w:rPr>
          <w:rFonts w:asciiTheme="minorHAnsi" w:hAnsiTheme="minorHAnsi" w:cs="Arial"/>
          <w:color w:val="1F1F1F"/>
          <w:sz w:val="21"/>
          <w:szCs w:val="21"/>
        </w:rPr>
        <w:t xml:space="preserve">2020 </w:t>
      </w:r>
      <w:r>
        <w:rPr>
          <w:rFonts w:asciiTheme="minorHAnsi" w:hAnsiTheme="minorHAnsi" w:cs="Arial"/>
          <w:color w:val="1F1F1F"/>
          <w:sz w:val="21"/>
          <w:szCs w:val="21"/>
        </w:rPr>
        <w:t xml:space="preserve">was taken from  </w:t>
      </w:r>
      <w:r w:rsidR="004809E8">
        <w:rPr>
          <w:rFonts w:asciiTheme="minorHAnsi" w:hAnsiTheme="minorHAnsi" w:cs="Arial"/>
          <w:color w:val="1F1F1F"/>
          <w:sz w:val="21"/>
          <w:szCs w:val="21"/>
        </w:rPr>
        <w:t>D</w:t>
      </w:r>
      <w:r>
        <w:rPr>
          <w:rFonts w:asciiTheme="minorHAnsi" w:hAnsiTheme="minorHAnsi" w:cs="Arial"/>
          <w:color w:val="1F1F1F"/>
          <w:sz w:val="21"/>
          <w:szCs w:val="21"/>
        </w:rPr>
        <w:t>igital</w:t>
      </w:r>
      <w:r w:rsidR="004809E8">
        <w:rPr>
          <w:rFonts w:asciiTheme="minorHAnsi" w:hAnsiTheme="minorHAnsi" w:cs="Arial"/>
          <w:color w:val="1F1F1F"/>
          <w:sz w:val="21"/>
          <w:szCs w:val="21"/>
        </w:rPr>
        <w:t xml:space="preserve"> NHS</w:t>
      </w:r>
      <w:r w:rsidR="00055C19">
        <w:rPr>
          <w:rFonts w:asciiTheme="minorHAnsi" w:hAnsiTheme="minorHAnsi" w:cs="Arial"/>
          <w:color w:val="1F1F1F"/>
          <w:sz w:val="21"/>
          <w:szCs w:val="21"/>
        </w:rPr>
        <w:t xml:space="preserve"> </w:t>
      </w:r>
      <w:sdt>
        <w:sdtPr>
          <w:rPr>
            <w:rFonts w:asciiTheme="minorHAnsi" w:hAnsiTheme="minorHAnsi" w:cs="Arial"/>
            <w:color w:val="1F1F1F"/>
            <w:sz w:val="21"/>
            <w:szCs w:val="21"/>
          </w:rPr>
          <w:id w:val="-1605263289"/>
          <w:citation/>
        </w:sdtPr>
        <w:sdtContent>
          <w:r w:rsidR="00055C19">
            <w:rPr>
              <w:rFonts w:asciiTheme="minorHAnsi" w:hAnsiTheme="minorHAnsi" w:cs="Arial"/>
              <w:color w:val="1F1F1F"/>
              <w:sz w:val="21"/>
              <w:szCs w:val="21"/>
            </w:rPr>
            <w:fldChar w:fldCharType="begin"/>
          </w:r>
          <w:r w:rsidR="00055C19">
            <w:rPr>
              <w:rFonts w:asciiTheme="minorHAnsi" w:hAnsiTheme="minorHAnsi" w:cs="Arial"/>
              <w:color w:val="1F1F1F"/>
              <w:sz w:val="21"/>
              <w:szCs w:val="21"/>
            </w:rPr>
            <w:instrText xml:space="preserve"> CITATION Dig21 \l 2057 </w:instrText>
          </w:r>
          <w:r w:rsidR="00055C19">
            <w:rPr>
              <w:rFonts w:asciiTheme="minorHAnsi" w:hAnsiTheme="minorHAnsi" w:cs="Arial"/>
              <w:color w:val="1F1F1F"/>
              <w:sz w:val="21"/>
              <w:szCs w:val="21"/>
            </w:rPr>
            <w:fldChar w:fldCharType="separate"/>
          </w:r>
          <w:r w:rsidR="00E031D7" w:rsidRPr="00E031D7">
            <w:rPr>
              <w:rFonts w:asciiTheme="minorHAnsi" w:hAnsiTheme="minorHAnsi" w:cs="Arial"/>
              <w:noProof/>
              <w:color w:val="1F1F1F"/>
              <w:sz w:val="21"/>
              <w:szCs w:val="21"/>
            </w:rPr>
            <w:t>(Digital NHS, 2021)</w:t>
          </w:r>
          <w:r w:rsidR="00055C19">
            <w:rPr>
              <w:rFonts w:asciiTheme="minorHAnsi" w:hAnsiTheme="minorHAnsi" w:cs="Arial"/>
              <w:color w:val="1F1F1F"/>
              <w:sz w:val="21"/>
              <w:szCs w:val="21"/>
            </w:rPr>
            <w:fldChar w:fldCharType="end"/>
          </w:r>
        </w:sdtContent>
      </w:sdt>
      <w:r>
        <w:rPr>
          <w:rFonts w:asciiTheme="minorHAnsi" w:hAnsiTheme="minorHAnsi" w:cs="Arial"/>
          <w:color w:val="1F1F1F"/>
          <w:sz w:val="21"/>
          <w:szCs w:val="21"/>
        </w:rPr>
        <w:t xml:space="preserve">. Divided by population and surface area, it served as a measure for access to NHS dental services. The more practices per population and square kilometre the better the access to affordable dental care. </w:t>
      </w:r>
      <w:r w:rsidR="0017019B" w:rsidRPr="0017019B">
        <w:rPr>
          <w:rFonts w:asciiTheme="minorHAnsi" w:hAnsiTheme="minorHAnsi" w:cs="Arial"/>
          <w:color w:val="1F1F1F"/>
          <w:sz w:val="21"/>
          <w:szCs w:val="21"/>
        </w:rPr>
        <w:t xml:space="preserve">Occupancy of the dental practices has not been taken into consideration </w:t>
      </w:r>
      <w:r w:rsidR="004809E8">
        <w:rPr>
          <w:rFonts w:asciiTheme="minorHAnsi" w:hAnsiTheme="minorHAnsi" w:cs="Arial"/>
          <w:color w:val="1F1F1F"/>
          <w:sz w:val="21"/>
          <w:szCs w:val="21"/>
        </w:rPr>
        <w:t>in this project</w:t>
      </w:r>
      <w:r w:rsidR="0017019B" w:rsidRPr="0017019B">
        <w:rPr>
          <w:rFonts w:asciiTheme="minorHAnsi" w:hAnsiTheme="minorHAnsi" w:cs="Arial"/>
          <w:color w:val="1F1F1F"/>
          <w:sz w:val="21"/>
          <w:szCs w:val="21"/>
        </w:rPr>
        <w:t>. It was assumed that all practices are fully occupied. Another assumption was that the number of dentists per practice is roughly the same for all practices.</w:t>
      </w:r>
    </w:p>
    <w:p w14:paraId="40BED4B4" w14:textId="6D244FF6" w:rsidR="0032792D" w:rsidRPr="00F01ABA" w:rsidRDefault="00D40699" w:rsidP="00F01ABA">
      <w:pPr>
        <w:shd w:val="clear" w:color="auto" w:fill="FFFFFF"/>
        <w:spacing w:before="100" w:beforeAutospacing="1" w:after="150"/>
        <w:jc w:val="both"/>
        <w:rPr>
          <w:rFonts w:asciiTheme="minorHAnsi" w:hAnsiTheme="minorHAnsi" w:cs="Arial"/>
          <w:color w:val="1F1F1F"/>
          <w:sz w:val="21"/>
          <w:szCs w:val="21"/>
        </w:rPr>
      </w:pPr>
      <w:r w:rsidRPr="003D4B3C">
        <w:rPr>
          <w:rFonts w:asciiTheme="minorHAnsi" w:hAnsiTheme="minorHAnsi" w:cs="Arial"/>
          <w:b/>
          <w:bCs/>
          <w:color w:val="1F1F1F"/>
          <w:sz w:val="21"/>
          <w:szCs w:val="21"/>
        </w:rPr>
        <w:t>Note:</w:t>
      </w:r>
      <w:r>
        <w:rPr>
          <w:rFonts w:asciiTheme="minorHAnsi" w:hAnsiTheme="minorHAnsi" w:cs="Arial"/>
          <w:color w:val="1F1F1F"/>
          <w:sz w:val="21"/>
          <w:szCs w:val="21"/>
        </w:rPr>
        <w:t xml:space="preserve"> </w:t>
      </w:r>
      <w:r w:rsidR="003D4B3C">
        <w:rPr>
          <w:rFonts w:asciiTheme="minorHAnsi" w:hAnsiTheme="minorHAnsi" w:cs="Arial"/>
          <w:color w:val="1F1F1F"/>
          <w:sz w:val="21"/>
          <w:szCs w:val="21"/>
        </w:rPr>
        <w:t>D</w:t>
      </w:r>
      <w:r>
        <w:rPr>
          <w:rFonts w:asciiTheme="minorHAnsi" w:hAnsiTheme="minorHAnsi" w:cs="Arial"/>
          <w:color w:val="1F1F1F"/>
          <w:sz w:val="21"/>
          <w:szCs w:val="21"/>
        </w:rPr>
        <w:t xml:space="preserve">ata from Foursquare was not used in this project </w:t>
      </w:r>
      <w:r w:rsidR="003D4B3C">
        <w:rPr>
          <w:rFonts w:asciiTheme="minorHAnsi" w:hAnsiTheme="minorHAnsi" w:cs="Arial"/>
          <w:color w:val="1F1F1F"/>
          <w:sz w:val="21"/>
          <w:szCs w:val="21"/>
        </w:rPr>
        <w:t>as it did not differentiate between NHS and private Dental Practices</w:t>
      </w:r>
      <w:r w:rsidR="00A26F61">
        <w:rPr>
          <w:rFonts w:asciiTheme="minorHAnsi" w:hAnsiTheme="minorHAnsi" w:cs="Arial"/>
          <w:color w:val="1F1F1F"/>
          <w:sz w:val="21"/>
          <w:szCs w:val="21"/>
        </w:rPr>
        <w:t>.</w:t>
      </w:r>
      <w:r w:rsidR="003D4B3C">
        <w:rPr>
          <w:rFonts w:asciiTheme="minorHAnsi" w:hAnsiTheme="minorHAnsi" w:cs="Arial"/>
          <w:color w:val="1F1F1F"/>
          <w:sz w:val="21"/>
          <w:szCs w:val="21"/>
        </w:rPr>
        <w:t xml:space="preserve"> </w:t>
      </w:r>
      <w:r w:rsidR="00180C90" w:rsidRPr="00180C90">
        <w:rPr>
          <w:rFonts w:asciiTheme="minorHAnsi" w:hAnsiTheme="minorHAnsi" w:cs="Arial"/>
          <w:sz w:val="21"/>
          <w:szCs w:val="21"/>
        </w:rPr>
        <w:t>Establishing which practices are NHS</w:t>
      </w:r>
      <w:r w:rsidR="00A26F61" w:rsidRPr="00180C90">
        <w:rPr>
          <w:rFonts w:asciiTheme="minorHAnsi" w:hAnsiTheme="minorHAnsi" w:cs="Arial"/>
          <w:sz w:val="21"/>
          <w:szCs w:val="21"/>
        </w:rPr>
        <w:t xml:space="preserve"> </w:t>
      </w:r>
      <w:r w:rsidR="00A26F61">
        <w:rPr>
          <w:rFonts w:asciiTheme="minorHAnsi" w:hAnsiTheme="minorHAnsi" w:cs="Arial"/>
          <w:color w:val="1F1F1F"/>
          <w:sz w:val="21"/>
          <w:szCs w:val="21"/>
        </w:rPr>
        <w:t>was</w:t>
      </w:r>
      <w:r w:rsidR="003D4B3C">
        <w:rPr>
          <w:rFonts w:asciiTheme="minorHAnsi" w:hAnsiTheme="minorHAnsi" w:cs="Arial"/>
          <w:color w:val="1F1F1F"/>
          <w:sz w:val="21"/>
          <w:szCs w:val="21"/>
        </w:rPr>
        <w:t xml:space="preserve"> essential</w:t>
      </w:r>
      <w:r w:rsidR="00A26F61">
        <w:rPr>
          <w:rFonts w:asciiTheme="minorHAnsi" w:hAnsiTheme="minorHAnsi" w:cs="Arial"/>
          <w:color w:val="1F1F1F"/>
          <w:sz w:val="21"/>
          <w:szCs w:val="21"/>
        </w:rPr>
        <w:t xml:space="preserve"> </w:t>
      </w:r>
      <w:r w:rsidR="003D4B3C">
        <w:rPr>
          <w:rFonts w:asciiTheme="minorHAnsi" w:hAnsiTheme="minorHAnsi" w:cs="Arial"/>
          <w:color w:val="1F1F1F"/>
          <w:sz w:val="21"/>
          <w:szCs w:val="21"/>
        </w:rPr>
        <w:t xml:space="preserve">to </w:t>
      </w:r>
      <w:r w:rsidR="00A26F61">
        <w:rPr>
          <w:rFonts w:asciiTheme="minorHAnsi" w:hAnsiTheme="minorHAnsi" w:cs="Arial"/>
          <w:color w:val="1F1F1F"/>
          <w:sz w:val="21"/>
          <w:szCs w:val="21"/>
        </w:rPr>
        <w:t xml:space="preserve">ensure </w:t>
      </w:r>
      <w:r w:rsidR="00180C90">
        <w:rPr>
          <w:rFonts w:asciiTheme="minorHAnsi" w:hAnsiTheme="minorHAnsi" w:cs="Arial"/>
          <w:color w:val="1F1F1F"/>
          <w:sz w:val="21"/>
          <w:szCs w:val="21"/>
        </w:rPr>
        <w:t>that access to affordable dental care could be measured.</w:t>
      </w:r>
    </w:p>
    <w:bookmarkStart w:id="3" w:name="_Toc63005681" w:displacedByCustomXml="next"/>
    <w:sdt>
      <w:sdtPr>
        <w:rPr>
          <w:rFonts w:asciiTheme="minorHAnsi" w:eastAsia="Times New Roman" w:hAnsiTheme="minorHAnsi" w:cs="Times New Roman"/>
          <w:color w:val="auto"/>
          <w:sz w:val="24"/>
          <w:szCs w:val="24"/>
        </w:rPr>
        <w:id w:val="589512922"/>
        <w:docPartObj>
          <w:docPartGallery w:val="Bibliographies"/>
          <w:docPartUnique/>
        </w:docPartObj>
      </w:sdtPr>
      <w:sdtEndPr/>
      <w:sdtContent>
        <w:p w14:paraId="7247971C" w14:textId="0442CBD1" w:rsidR="005A4510" w:rsidRPr="00F33A02" w:rsidRDefault="005A4510" w:rsidP="003522FD">
          <w:pPr>
            <w:pStyle w:val="Heading1"/>
            <w:jc w:val="both"/>
            <w:rPr>
              <w:rFonts w:asciiTheme="minorHAnsi" w:hAnsiTheme="minorHAnsi"/>
              <w:b/>
              <w:bCs/>
            </w:rPr>
          </w:pPr>
          <w:r w:rsidRPr="00F33A02">
            <w:rPr>
              <w:rFonts w:asciiTheme="minorHAnsi" w:hAnsiTheme="minorHAnsi"/>
              <w:b/>
              <w:bCs/>
            </w:rPr>
            <w:t>References</w:t>
          </w:r>
          <w:bookmarkEnd w:id="3"/>
        </w:p>
        <w:sdt>
          <w:sdtPr>
            <w:rPr>
              <w:rFonts w:asciiTheme="minorHAnsi" w:hAnsiTheme="minorHAnsi"/>
            </w:rPr>
            <w:id w:val="-573587230"/>
            <w:bibliography/>
          </w:sdtPr>
          <w:sdtEndPr/>
          <w:sdtContent>
            <w:p w14:paraId="163EF741" w14:textId="77777777" w:rsidR="00E031D7" w:rsidRPr="00E031D7" w:rsidRDefault="005A4510" w:rsidP="00E031D7">
              <w:pPr>
                <w:pStyle w:val="Bibliography"/>
                <w:ind w:left="720" w:hanging="720"/>
                <w:rPr>
                  <w:rFonts w:asciiTheme="minorHAnsi" w:hAnsiTheme="minorHAnsi" w:cstheme="minorHAnsi"/>
                  <w:noProof/>
                  <w:sz w:val="21"/>
                  <w:szCs w:val="21"/>
                </w:rPr>
              </w:pPr>
              <w:r w:rsidRPr="00E031D7">
                <w:rPr>
                  <w:rFonts w:asciiTheme="minorHAnsi" w:hAnsiTheme="minorHAnsi" w:cstheme="minorHAnsi"/>
                  <w:sz w:val="21"/>
                  <w:szCs w:val="21"/>
                </w:rPr>
                <w:fldChar w:fldCharType="begin"/>
              </w:r>
              <w:r w:rsidRPr="00E031D7">
                <w:rPr>
                  <w:rFonts w:asciiTheme="minorHAnsi" w:hAnsiTheme="minorHAnsi" w:cstheme="minorHAnsi"/>
                  <w:sz w:val="21"/>
                  <w:szCs w:val="21"/>
                </w:rPr>
                <w:instrText xml:space="preserve"> BIBLIOGRAPHY </w:instrText>
              </w:r>
              <w:r w:rsidRPr="00E031D7">
                <w:rPr>
                  <w:rFonts w:asciiTheme="minorHAnsi" w:hAnsiTheme="minorHAnsi" w:cstheme="minorHAnsi"/>
                  <w:sz w:val="21"/>
                  <w:szCs w:val="21"/>
                </w:rPr>
                <w:fldChar w:fldCharType="separate"/>
              </w:r>
              <w:r w:rsidR="00E031D7" w:rsidRPr="00E031D7">
                <w:rPr>
                  <w:rFonts w:asciiTheme="minorHAnsi" w:hAnsiTheme="minorHAnsi" w:cstheme="minorHAnsi"/>
                  <w:noProof/>
                  <w:sz w:val="21"/>
                  <w:szCs w:val="21"/>
                </w:rPr>
                <w:t xml:space="preserve">Appleby, J., &amp; Reed, R. (2017). </w:t>
              </w:r>
              <w:r w:rsidR="00E031D7" w:rsidRPr="00E031D7">
                <w:rPr>
                  <w:rFonts w:asciiTheme="minorHAnsi" w:hAnsiTheme="minorHAnsi" w:cstheme="minorHAnsi"/>
                  <w:i/>
                  <w:iCs/>
                  <w:noProof/>
                  <w:sz w:val="21"/>
                  <w:szCs w:val="21"/>
                </w:rPr>
                <w:t>Root causes - Quality and Inequality in Dental Health.</w:t>
              </w:r>
              <w:r w:rsidR="00E031D7" w:rsidRPr="00E031D7">
                <w:rPr>
                  <w:rFonts w:asciiTheme="minorHAnsi" w:hAnsiTheme="minorHAnsi" w:cstheme="minorHAnsi"/>
                  <w:noProof/>
                  <w:sz w:val="21"/>
                  <w:szCs w:val="21"/>
                </w:rPr>
                <w:t xml:space="preserve"> London: QualityWatch.</w:t>
              </w:r>
            </w:p>
            <w:p w14:paraId="08A03097" w14:textId="77777777" w:rsidR="00E031D7" w:rsidRPr="00E031D7" w:rsidRDefault="00E031D7" w:rsidP="00E031D7">
              <w:pPr>
                <w:pStyle w:val="Bibliography"/>
                <w:ind w:left="720" w:hanging="720"/>
                <w:rPr>
                  <w:rFonts w:asciiTheme="minorHAnsi" w:hAnsiTheme="minorHAnsi" w:cstheme="minorHAnsi"/>
                  <w:noProof/>
                  <w:sz w:val="21"/>
                  <w:szCs w:val="21"/>
                </w:rPr>
              </w:pPr>
              <w:r w:rsidRPr="00E031D7">
                <w:rPr>
                  <w:rFonts w:asciiTheme="minorHAnsi" w:hAnsiTheme="minorHAnsi" w:cstheme="minorHAnsi"/>
                  <w:noProof/>
                  <w:sz w:val="21"/>
                  <w:szCs w:val="21"/>
                </w:rPr>
                <w:t xml:space="preserve">Digital NHS. (2021, January 31). </w:t>
              </w:r>
              <w:r w:rsidRPr="00E031D7">
                <w:rPr>
                  <w:rFonts w:asciiTheme="minorHAnsi" w:hAnsiTheme="minorHAnsi" w:cstheme="minorHAnsi"/>
                  <w:i/>
                  <w:iCs/>
                  <w:noProof/>
                  <w:sz w:val="21"/>
                  <w:szCs w:val="21"/>
                </w:rPr>
                <w:t>Miscellaneous</w:t>
              </w:r>
              <w:r w:rsidRPr="00E031D7">
                <w:rPr>
                  <w:rFonts w:asciiTheme="minorHAnsi" w:hAnsiTheme="minorHAnsi" w:cstheme="minorHAnsi"/>
                  <w:noProof/>
                  <w:sz w:val="21"/>
                  <w:szCs w:val="21"/>
                </w:rPr>
                <w:t>. Retrieved from Miscellaneous: https://digital.nhs.uk/services/organisation-data-service/data-downloads/miscellaneous</w:t>
              </w:r>
            </w:p>
            <w:p w14:paraId="0474B846" w14:textId="77777777" w:rsidR="00E031D7" w:rsidRPr="00E031D7" w:rsidRDefault="00E031D7" w:rsidP="00E031D7">
              <w:pPr>
                <w:pStyle w:val="Bibliography"/>
                <w:ind w:left="720" w:hanging="720"/>
                <w:rPr>
                  <w:rFonts w:asciiTheme="minorHAnsi" w:hAnsiTheme="minorHAnsi" w:cstheme="minorHAnsi"/>
                  <w:noProof/>
                  <w:sz w:val="21"/>
                  <w:szCs w:val="21"/>
                </w:rPr>
              </w:pPr>
              <w:r w:rsidRPr="00E031D7">
                <w:rPr>
                  <w:rFonts w:asciiTheme="minorHAnsi" w:hAnsiTheme="minorHAnsi" w:cstheme="minorHAnsi"/>
                  <w:noProof/>
                  <w:sz w:val="21"/>
                  <w:szCs w:val="21"/>
                </w:rPr>
                <w:t>Ministry of Housing, Communities &amp; Local Government. (2019, September 26). English Indices of Deprivation 2019. UK. Retrieved January 31, 2021, from https://www.gov.uk/government/statistics/english-indices-of-deprivation-2019</w:t>
              </w:r>
            </w:p>
            <w:p w14:paraId="0CCDF760" w14:textId="77777777" w:rsidR="00E031D7" w:rsidRPr="00E031D7" w:rsidRDefault="00E031D7" w:rsidP="00E031D7">
              <w:pPr>
                <w:pStyle w:val="Bibliography"/>
                <w:ind w:left="720" w:hanging="720"/>
                <w:rPr>
                  <w:rFonts w:asciiTheme="minorHAnsi" w:hAnsiTheme="minorHAnsi" w:cstheme="minorHAnsi"/>
                  <w:noProof/>
                  <w:sz w:val="21"/>
                  <w:szCs w:val="21"/>
                </w:rPr>
              </w:pPr>
              <w:r w:rsidRPr="00E031D7">
                <w:rPr>
                  <w:rFonts w:asciiTheme="minorHAnsi" w:hAnsiTheme="minorHAnsi" w:cstheme="minorHAnsi"/>
                  <w:noProof/>
                  <w:sz w:val="21"/>
                  <w:szCs w:val="21"/>
                </w:rPr>
                <w:t xml:space="preserve">National Audit Office. (2020). </w:t>
              </w:r>
              <w:r w:rsidRPr="00E031D7">
                <w:rPr>
                  <w:rFonts w:asciiTheme="minorHAnsi" w:hAnsiTheme="minorHAnsi" w:cstheme="minorHAnsi"/>
                  <w:i/>
                  <w:iCs/>
                  <w:noProof/>
                  <w:sz w:val="21"/>
                  <w:szCs w:val="21"/>
                </w:rPr>
                <w:t>Dentistry in England.</w:t>
              </w:r>
              <w:r w:rsidRPr="00E031D7">
                <w:rPr>
                  <w:rFonts w:asciiTheme="minorHAnsi" w:hAnsiTheme="minorHAnsi" w:cstheme="minorHAnsi"/>
                  <w:noProof/>
                  <w:sz w:val="21"/>
                  <w:szCs w:val="21"/>
                </w:rPr>
                <w:t xml:space="preserve"> National Audit Office.</w:t>
              </w:r>
            </w:p>
            <w:p w14:paraId="5497DC37" w14:textId="77777777" w:rsidR="00E031D7" w:rsidRPr="00E031D7" w:rsidRDefault="00E031D7" w:rsidP="00E031D7">
              <w:pPr>
                <w:pStyle w:val="Bibliography"/>
                <w:ind w:left="720" w:hanging="720"/>
                <w:rPr>
                  <w:rFonts w:asciiTheme="minorHAnsi" w:hAnsiTheme="minorHAnsi" w:cstheme="minorHAnsi"/>
                  <w:noProof/>
                  <w:sz w:val="21"/>
                  <w:szCs w:val="21"/>
                </w:rPr>
              </w:pPr>
              <w:r w:rsidRPr="00E031D7">
                <w:rPr>
                  <w:rFonts w:asciiTheme="minorHAnsi" w:hAnsiTheme="minorHAnsi" w:cstheme="minorHAnsi"/>
                  <w:noProof/>
                  <w:sz w:val="21"/>
                  <w:szCs w:val="21"/>
                </w:rPr>
                <w:t xml:space="preserve">Office for National Statistics. (2021, January 31). </w:t>
              </w:r>
              <w:r w:rsidRPr="00E031D7">
                <w:rPr>
                  <w:rFonts w:asciiTheme="minorHAnsi" w:hAnsiTheme="minorHAnsi" w:cstheme="minorHAnsi"/>
                  <w:i/>
                  <w:iCs/>
                  <w:noProof/>
                  <w:sz w:val="21"/>
                  <w:szCs w:val="21"/>
                </w:rPr>
                <w:t>Geoportal Statistics</w:t>
              </w:r>
              <w:r w:rsidRPr="00E031D7">
                <w:rPr>
                  <w:rFonts w:asciiTheme="minorHAnsi" w:hAnsiTheme="minorHAnsi" w:cstheme="minorHAnsi"/>
                  <w:noProof/>
                  <w:sz w:val="21"/>
                  <w:szCs w:val="21"/>
                </w:rPr>
                <w:t>. Retrieved from Local Authority Districts (December 2019) Boundaries UK BFC: https://geoportal.statistics.gov.uk/datasets/1d78d47c87df4212b79fe2323aae8e08_0/data</w:t>
              </w:r>
            </w:p>
            <w:p w14:paraId="60E8089D" w14:textId="77777777" w:rsidR="00E031D7" w:rsidRPr="00E031D7" w:rsidRDefault="00E031D7" w:rsidP="00E031D7">
              <w:pPr>
                <w:pStyle w:val="Bibliography"/>
                <w:ind w:left="720" w:hanging="720"/>
                <w:rPr>
                  <w:rFonts w:asciiTheme="minorHAnsi" w:hAnsiTheme="minorHAnsi" w:cstheme="minorHAnsi"/>
                  <w:noProof/>
                  <w:sz w:val="21"/>
                  <w:szCs w:val="21"/>
                </w:rPr>
              </w:pPr>
              <w:r w:rsidRPr="00E031D7">
                <w:rPr>
                  <w:rFonts w:asciiTheme="minorHAnsi" w:hAnsiTheme="minorHAnsi" w:cstheme="minorHAnsi"/>
                  <w:noProof/>
                  <w:sz w:val="21"/>
                  <w:szCs w:val="21"/>
                </w:rPr>
                <w:t xml:space="preserve">Office for National Statistics. (2021, January 31). </w:t>
              </w:r>
              <w:r w:rsidRPr="00E031D7">
                <w:rPr>
                  <w:rFonts w:asciiTheme="minorHAnsi" w:hAnsiTheme="minorHAnsi" w:cstheme="minorHAnsi"/>
                  <w:i/>
                  <w:iCs/>
                  <w:noProof/>
                  <w:sz w:val="21"/>
                  <w:szCs w:val="21"/>
                </w:rPr>
                <w:t>Nomis - Official Labour Market Statistics</w:t>
              </w:r>
              <w:r w:rsidRPr="00E031D7">
                <w:rPr>
                  <w:rFonts w:asciiTheme="minorHAnsi" w:hAnsiTheme="minorHAnsi" w:cstheme="minorHAnsi"/>
                  <w:noProof/>
                  <w:sz w:val="21"/>
                  <w:szCs w:val="21"/>
                </w:rPr>
                <w:t>. Retrieved from Population estimates - local authority based by single year of age: https://www.nomisweb.co.uk/query/construct/summary.asp?reset=yes&amp;mode=construct&amp;dataset=2002&amp;version=0&amp;anal=1&amp;initsel=</w:t>
              </w:r>
            </w:p>
            <w:p w14:paraId="409F58AF" w14:textId="77777777" w:rsidR="00E031D7" w:rsidRPr="00E031D7" w:rsidRDefault="00E031D7" w:rsidP="00E031D7">
              <w:pPr>
                <w:pStyle w:val="Bibliography"/>
                <w:ind w:left="720" w:hanging="720"/>
                <w:rPr>
                  <w:rFonts w:asciiTheme="minorHAnsi" w:hAnsiTheme="minorHAnsi" w:cstheme="minorHAnsi"/>
                  <w:noProof/>
                  <w:sz w:val="21"/>
                  <w:szCs w:val="21"/>
                </w:rPr>
              </w:pPr>
              <w:r w:rsidRPr="00E031D7">
                <w:rPr>
                  <w:rFonts w:asciiTheme="minorHAnsi" w:hAnsiTheme="minorHAnsi" w:cstheme="minorHAnsi"/>
                  <w:noProof/>
                  <w:sz w:val="21"/>
                  <w:szCs w:val="21"/>
                </w:rPr>
                <w:t xml:space="preserve">Public Health England. (2021, January 31). </w:t>
              </w:r>
              <w:r w:rsidRPr="00E031D7">
                <w:rPr>
                  <w:rFonts w:asciiTheme="minorHAnsi" w:hAnsiTheme="minorHAnsi" w:cstheme="minorHAnsi"/>
                  <w:i/>
                  <w:iCs/>
                  <w:noProof/>
                  <w:sz w:val="21"/>
                  <w:szCs w:val="21"/>
                </w:rPr>
                <w:t>Public Health Profiles</w:t>
              </w:r>
              <w:r w:rsidRPr="00E031D7">
                <w:rPr>
                  <w:rFonts w:asciiTheme="minorHAnsi" w:hAnsiTheme="minorHAnsi" w:cstheme="minorHAnsi"/>
                  <w:noProof/>
                  <w:sz w:val="21"/>
                  <w:szCs w:val="21"/>
                </w:rPr>
                <w:t>. Retrieved from fingertips.phe: https://fingertips.phe.org.uk/search/dental#page/0/gid/1/pat/6/par/E12000004/ati/102/are/E06000015/cid/4/tbm/1/page-options/ovw-do-0</w:t>
              </w:r>
            </w:p>
            <w:p w14:paraId="79FFC395" w14:textId="1D5C3811" w:rsidR="00550217" w:rsidRPr="008D1244" w:rsidRDefault="005A4510" w:rsidP="00E031D7">
              <w:pPr>
                <w:jc w:val="both"/>
                <w:rPr>
                  <w:rFonts w:asciiTheme="minorHAnsi" w:hAnsiTheme="minorHAnsi"/>
                </w:rPr>
              </w:pPr>
              <w:r w:rsidRPr="00E031D7">
                <w:rPr>
                  <w:rFonts w:asciiTheme="minorHAnsi" w:hAnsiTheme="minorHAnsi" w:cstheme="minorHAnsi"/>
                  <w:b/>
                  <w:bCs/>
                  <w:noProof/>
                  <w:sz w:val="21"/>
                  <w:szCs w:val="21"/>
                </w:rPr>
                <w:fldChar w:fldCharType="end"/>
              </w:r>
            </w:p>
          </w:sdtContent>
        </w:sdt>
      </w:sdtContent>
    </w:sdt>
    <w:sectPr w:rsidR="00550217" w:rsidRPr="008D1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444B7C"/>
    <w:multiLevelType w:val="multilevel"/>
    <w:tmpl w:val="342E577A"/>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AA2F25"/>
    <w:multiLevelType w:val="multilevel"/>
    <w:tmpl w:val="9E10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43"/>
    <w:rsid w:val="000050E6"/>
    <w:rsid w:val="000152EE"/>
    <w:rsid w:val="00021066"/>
    <w:rsid w:val="00055C19"/>
    <w:rsid w:val="0009015D"/>
    <w:rsid w:val="00126DA4"/>
    <w:rsid w:val="00144278"/>
    <w:rsid w:val="00145F2E"/>
    <w:rsid w:val="0017019B"/>
    <w:rsid w:val="00170446"/>
    <w:rsid w:val="00172DB0"/>
    <w:rsid w:val="00176E82"/>
    <w:rsid w:val="00180C90"/>
    <w:rsid w:val="001A56C4"/>
    <w:rsid w:val="001D59F2"/>
    <w:rsid w:val="001D6966"/>
    <w:rsid w:val="001E0131"/>
    <w:rsid w:val="002152F8"/>
    <w:rsid w:val="00250AE6"/>
    <w:rsid w:val="002579D0"/>
    <w:rsid w:val="002B0FD9"/>
    <w:rsid w:val="002C7713"/>
    <w:rsid w:val="003241B2"/>
    <w:rsid w:val="00346613"/>
    <w:rsid w:val="003522FD"/>
    <w:rsid w:val="003B5240"/>
    <w:rsid w:val="003D4B3C"/>
    <w:rsid w:val="003E671C"/>
    <w:rsid w:val="003F12F7"/>
    <w:rsid w:val="003F71A7"/>
    <w:rsid w:val="004522CA"/>
    <w:rsid w:val="004809E8"/>
    <w:rsid w:val="00491CFA"/>
    <w:rsid w:val="004D4916"/>
    <w:rsid w:val="004F459F"/>
    <w:rsid w:val="00506E66"/>
    <w:rsid w:val="005274BA"/>
    <w:rsid w:val="00537002"/>
    <w:rsid w:val="00544D80"/>
    <w:rsid w:val="00550217"/>
    <w:rsid w:val="00550F8C"/>
    <w:rsid w:val="005679AA"/>
    <w:rsid w:val="005975F6"/>
    <w:rsid w:val="005A4510"/>
    <w:rsid w:val="005C32A0"/>
    <w:rsid w:val="005C451D"/>
    <w:rsid w:val="005C563A"/>
    <w:rsid w:val="005E037D"/>
    <w:rsid w:val="005E1D24"/>
    <w:rsid w:val="005E397F"/>
    <w:rsid w:val="005F72EE"/>
    <w:rsid w:val="00607D37"/>
    <w:rsid w:val="00624BA7"/>
    <w:rsid w:val="00627AA1"/>
    <w:rsid w:val="00641BF2"/>
    <w:rsid w:val="00687EAE"/>
    <w:rsid w:val="0072754E"/>
    <w:rsid w:val="00760AA6"/>
    <w:rsid w:val="00783EF6"/>
    <w:rsid w:val="00787064"/>
    <w:rsid w:val="00787556"/>
    <w:rsid w:val="00883B6A"/>
    <w:rsid w:val="008C1B48"/>
    <w:rsid w:val="008D1244"/>
    <w:rsid w:val="008D3772"/>
    <w:rsid w:val="00A11F0D"/>
    <w:rsid w:val="00A17688"/>
    <w:rsid w:val="00A26F61"/>
    <w:rsid w:val="00A3346F"/>
    <w:rsid w:val="00A578A8"/>
    <w:rsid w:val="00A62644"/>
    <w:rsid w:val="00A7032B"/>
    <w:rsid w:val="00A9737A"/>
    <w:rsid w:val="00AC40F2"/>
    <w:rsid w:val="00B01DA8"/>
    <w:rsid w:val="00B24EB7"/>
    <w:rsid w:val="00B474D5"/>
    <w:rsid w:val="00B83F61"/>
    <w:rsid w:val="00B85FC3"/>
    <w:rsid w:val="00C20438"/>
    <w:rsid w:val="00C42E92"/>
    <w:rsid w:val="00C60C11"/>
    <w:rsid w:val="00C727B1"/>
    <w:rsid w:val="00C73265"/>
    <w:rsid w:val="00CC5BD8"/>
    <w:rsid w:val="00CE5564"/>
    <w:rsid w:val="00CE5D47"/>
    <w:rsid w:val="00CF7EBB"/>
    <w:rsid w:val="00D106F9"/>
    <w:rsid w:val="00D265C2"/>
    <w:rsid w:val="00D32C3D"/>
    <w:rsid w:val="00D40699"/>
    <w:rsid w:val="00DD6267"/>
    <w:rsid w:val="00DF0787"/>
    <w:rsid w:val="00DF67E0"/>
    <w:rsid w:val="00E031D7"/>
    <w:rsid w:val="00E21C2E"/>
    <w:rsid w:val="00E26743"/>
    <w:rsid w:val="00EA2246"/>
    <w:rsid w:val="00ED1D68"/>
    <w:rsid w:val="00F01ABA"/>
    <w:rsid w:val="00F33A02"/>
    <w:rsid w:val="00F57E27"/>
    <w:rsid w:val="00F83312"/>
    <w:rsid w:val="00FA6352"/>
    <w:rsid w:val="00FB3CFA"/>
    <w:rsid w:val="00FB5526"/>
    <w:rsid w:val="00FE4BA9"/>
    <w:rsid w:val="00FF06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DCF0"/>
  <w15:chartTrackingRefBased/>
  <w15:docId w15:val="{24DC9E28-78C8-4217-92AC-E23786244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743"/>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E267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743"/>
    <w:rPr>
      <w:rFonts w:asciiTheme="majorHAnsi" w:eastAsiaTheme="majorEastAsia" w:hAnsiTheme="majorHAnsi" w:cstheme="majorBidi"/>
      <w:color w:val="2F5496" w:themeColor="accent1" w:themeShade="BF"/>
      <w:sz w:val="32"/>
      <w:szCs w:val="32"/>
      <w:lang w:eastAsia="en-GB"/>
    </w:rPr>
  </w:style>
  <w:style w:type="paragraph" w:styleId="Title">
    <w:name w:val="Title"/>
    <w:basedOn w:val="Normal"/>
    <w:next w:val="Normal"/>
    <w:link w:val="TitleChar"/>
    <w:uiPriority w:val="10"/>
    <w:qFormat/>
    <w:rsid w:val="00E267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743"/>
    <w:rPr>
      <w:rFonts w:asciiTheme="majorHAnsi" w:eastAsiaTheme="majorEastAsia" w:hAnsiTheme="majorHAnsi" w:cstheme="majorBidi"/>
      <w:spacing w:val="-10"/>
      <w:kern w:val="28"/>
      <w:sz w:val="56"/>
      <w:szCs w:val="56"/>
      <w:lang w:eastAsia="en-GB"/>
    </w:rPr>
  </w:style>
  <w:style w:type="paragraph" w:styleId="TOCHeading">
    <w:name w:val="TOC Heading"/>
    <w:basedOn w:val="Heading1"/>
    <w:next w:val="Normal"/>
    <w:uiPriority w:val="39"/>
    <w:unhideWhenUsed/>
    <w:qFormat/>
    <w:rsid w:val="004D4916"/>
    <w:pPr>
      <w:spacing w:line="259" w:lineRule="auto"/>
      <w:outlineLvl w:val="9"/>
    </w:pPr>
    <w:rPr>
      <w:lang w:val="en-US" w:eastAsia="en-US"/>
    </w:rPr>
  </w:style>
  <w:style w:type="paragraph" w:styleId="TOC1">
    <w:name w:val="toc 1"/>
    <w:basedOn w:val="Normal"/>
    <w:next w:val="Normal"/>
    <w:autoRedefine/>
    <w:uiPriority w:val="39"/>
    <w:unhideWhenUsed/>
    <w:rsid w:val="004D4916"/>
    <w:pPr>
      <w:spacing w:after="100"/>
    </w:pPr>
  </w:style>
  <w:style w:type="character" w:styleId="Hyperlink">
    <w:name w:val="Hyperlink"/>
    <w:basedOn w:val="DefaultParagraphFont"/>
    <w:uiPriority w:val="99"/>
    <w:unhideWhenUsed/>
    <w:rsid w:val="004D4916"/>
    <w:rPr>
      <w:color w:val="0563C1" w:themeColor="hyperlink"/>
      <w:u w:val="single"/>
    </w:rPr>
  </w:style>
  <w:style w:type="character" w:styleId="UnresolvedMention">
    <w:name w:val="Unresolved Mention"/>
    <w:basedOn w:val="DefaultParagraphFont"/>
    <w:uiPriority w:val="99"/>
    <w:semiHidden/>
    <w:unhideWhenUsed/>
    <w:rsid w:val="00550217"/>
    <w:rPr>
      <w:color w:val="605E5C"/>
      <w:shd w:val="clear" w:color="auto" w:fill="E1DFDD"/>
    </w:rPr>
  </w:style>
  <w:style w:type="paragraph" w:styleId="ListParagraph">
    <w:name w:val="List Paragraph"/>
    <w:basedOn w:val="Normal"/>
    <w:uiPriority w:val="34"/>
    <w:qFormat/>
    <w:rsid w:val="00F83312"/>
    <w:pPr>
      <w:ind w:left="720"/>
      <w:contextualSpacing/>
    </w:pPr>
  </w:style>
  <w:style w:type="paragraph" w:styleId="Bibliography">
    <w:name w:val="Bibliography"/>
    <w:basedOn w:val="Normal"/>
    <w:next w:val="Normal"/>
    <w:uiPriority w:val="37"/>
    <w:unhideWhenUsed/>
    <w:rsid w:val="003B5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40206">
      <w:bodyDiv w:val="1"/>
      <w:marLeft w:val="0"/>
      <w:marRight w:val="0"/>
      <w:marTop w:val="0"/>
      <w:marBottom w:val="0"/>
      <w:divBdr>
        <w:top w:val="none" w:sz="0" w:space="0" w:color="auto"/>
        <w:left w:val="none" w:sz="0" w:space="0" w:color="auto"/>
        <w:bottom w:val="none" w:sz="0" w:space="0" w:color="auto"/>
        <w:right w:val="none" w:sz="0" w:space="0" w:color="auto"/>
      </w:divBdr>
    </w:div>
    <w:div w:id="127286097">
      <w:bodyDiv w:val="1"/>
      <w:marLeft w:val="0"/>
      <w:marRight w:val="0"/>
      <w:marTop w:val="0"/>
      <w:marBottom w:val="0"/>
      <w:divBdr>
        <w:top w:val="none" w:sz="0" w:space="0" w:color="auto"/>
        <w:left w:val="none" w:sz="0" w:space="0" w:color="auto"/>
        <w:bottom w:val="none" w:sz="0" w:space="0" w:color="auto"/>
        <w:right w:val="none" w:sz="0" w:space="0" w:color="auto"/>
      </w:divBdr>
    </w:div>
    <w:div w:id="186254872">
      <w:bodyDiv w:val="1"/>
      <w:marLeft w:val="0"/>
      <w:marRight w:val="0"/>
      <w:marTop w:val="0"/>
      <w:marBottom w:val="0"/>
      <w:divBdr>
        <w:top w:val="none" w:sz="0" w:space="0" w:color="auto"/>
        <w:left w:val="none" w:sz="0" w:space="0" w:color="auto"/>
        <w:bottom w:val="none" w:sz="0" w:space="0" w:color="auto"/>
        <w:right w:val="none" w:sz="0" w:space="0" w:color="auto"/>
      </w:divBdr>
    </w:div>
    <w:div w:id="259530824">
      <w:bodyDiv w:val="1"/>
      <w:marLeft w:val="0"/>
      <w:marRight w:val="0"/>
      <w:marTop w:val="0"/>
      <w:marBottom w:val="0"/>
      <w:divBdr>
        <w:top w:val="none" w:sz="0" w:space="0" w:color="auto"/>
        <w:left w:val="none" w:sz="0" w:space="0" w:color="auto"/>
        <w:bottom w:val="none" w:sz="0" w:space="0" w:color="auto"/>
        <w:right w:val="none" w:sz="0" w:space="0" w:color="auto"/>
      </w:divBdr>
    </w:div>
    <w:div w:id="486826142">
      <w:bodyDiv w:val="1"/>
      <w:marLeft w:val="0"/>
      <w:marRight w:val="0"/>
      <w:marTop w:val="0"/>
      <w:marBottom w:val="0"/>
      <w:divBdr>
        <w:top w:val="none" w:sz="0" w:space="0" w:color="auto"/>
        <w:left w:val="none" w:sz="0" w:space="0" w:color="auto"/>
        <w:bottom w:val="none" w:sz="0" w:space="0" w:color="auto"/>
        <w:right w:val="none" w:sz="0" w:space="0" w:color="auto"/>
      </w:divBdr>
    </w:div>
    <w:div w:id="600185251">
      <w:bodyDiv w:val="1"/>
      <w:marLeft w:val="0"/>
      <w:marRight w:val="0"/>
      <w:marTop w:val="0"/>
      <w:marBottom w:val="0"/>
      <w:divBdr>
        <w:top w:val="none" w:sz="0" w:space="0" w:color="auto"/>
        <w:left w:val="none" w:sz="0" w:space="0" w:color="auto"/>
        <w:bottom w:val="none" w:sz="0" w:space="0" w:color="auto"/>
        <w:right w:val="none" w:sz="0" w:space="0" w:color="auto"/>
      </w:divBdr>
    </w:div>
    <w:div w:id="657925476">
      <w:bodyDiv w:val="1"/>
      <w:marLeft w:val="0"/>
      <w:marRight w:val="0"/>
      <w:marTop w:val="0"/>
      <w:marBottom w:val="0"/>
      <w:divBdr>
        <w:top w:val="none" w:sz="0" w:space="0" w:color="auto"/>
        <w:left w:val="none" w:sz="0" w:space="0" w:color="auto"/>
        <w:bottom w:val="none" w:sz="0" w:space="0" w:color="auto"/>
        <w:right w:val="none" w:sz="0" w:space="0" w:color="auto"/>
      </w:divBdr>
    </w:div>
    <w:div w:id="677461431">
      <w:bodyDiv w:val="1"/>
      <w:marLeft w:val="0"/>
      <w:marRight w:val="0"/>
      <w:marTop w:val="0"/>
      <w:marBottom w:val="0"/>
      <w:divBdr>
        <w:top w:val="none" w:sz="0" w:space="0" w:color="auto"/>
        <w:left w:val="none" w:sz="0" w:space="0" w:color="auto"/>
        <w:bottom w:val="none" w:sz="0" w:space="0" w:color="auto"/>
        <w:right w:val="none" w:sz="0" w:space="0" w:color="auto"/>
      </w:divBdr>
    </w:div>
    <w:div w:id="724454312">
      <w:bodyDiv w:val="1"/>
      <w:marLeft w:val="0"/>
      <w:marRight w:val="0"/>
      <w:marTop w:val="0"/>
      <w:marBottom w:val="0"/>
      <w:divBdr>
        <w:top w:val="none" w:sz="0" w:space="0" w:color="auto"/>
        <w:left w:val="none" w:sz="0" w:space="0" w:color="auto"/>
        <w:bottom w:val="none" w:sz="0" w:space="0" w:color="auto"/>
        <w:right w:val="none" w:sz="0" w:space="0" w:color="auto"/>
      </w:divBdr>
    </w:div>
    <w:div w:id="760639962">
      <w:bodyDiv w:val="1"/>
      <w:marLeft w:val="0"/>
      <w:marRight w:val="0"/>
      <w:marTop w:val="0"/>
      <w:marBottom w:val="0"/>
      <w:divBdr>
        <w:top w:val="none" w:sz="0" w:space="0" w:color="auto"/>
        <w:left w:val="none" w:sz="0" w:space="0" w:color="auto"/>
        <w:bottom w:val="none" w:sz="0" w:space="0" w:color="auto"/>
        <w:right w:val="none" w:sz="0" w:space="0" w:color="auto"/>
      </w:divBdr>
    </w:div>
    <w:div w:id="864562010">
      <w:bodyDiv w:val="1"/>
      <w:marLeft w:val="0"/>
      <w:marRight w:val="0"/>
      <w:marTop w:val="0"/>
      <w:marBottom w:val="0"/>
      <w:divBdr>
        <w:top w:val="none" w:sz="0" w:space="0" w:color="auto"/>
        <w:left w:val="none" w:sz="0" w:space="0" w:color="auto"/>
        <w:bottom w:val="none" w:sz="0" w:space="0" w:color="auto"/>
        <w:right w:val="none" w:sz="0" w:space="0" w:color="auto"/>
      </w:divBdr>
    </w:div>
    <w:div w:id="954486206">
      <w:bodyDiv w:val="1"/>
      <w:marLeft w:val="0"/>
      <w:marRight w:val="0"/>
      <w:marTop w:val="0"/>
      <w:marBottom w:val="0"/>
      <w:divBdr>
        <w:top w:val="none" w:sz="0" w:space="0" w:color="auto"/>
        <w:left w:val="none" w:sz="0" w:space="0" w:color="auto"/>
        <w:bottom w:val="none" w:sz="0" w:space="0" w:color="auto"/>
        <w:right w:val="none" w:sz="0" w:space="0" w:color="auto"/>
      </w:divBdr>
    </w:div>
    <w:div w:id="1004474882">
      <w:bodyDiv w:val="1"/>
      <w:marLeft w:val="0"/>
      <w:marRight w:val="0"/>
      <w:marTop w:val="0"/>
      <w:marBottom w:val="0"/>
      <w:divBdr>
        <w:top w:val="none" w:sz="0" w:space="0" w:color="auto"/>
        <w:left w:val="none" w:sz="0" w:space="0" w:color="auto"/>
        <w:bottom w:val="none" w:sz="0" w:space="0" w:color="auto"/>
        <w:right w:val="none" w:sz="0" w:space="0" w:color="auto"/>
      </w:divBdr>
    </w:div>
    <w:div w:id="1011032618">
      <w:bodyDiv w:val="1"/>
      <w:marLeft w:val="0"/>
      <w:marRight w:val="0"/>
      <w:marTop w:val="0"/>
      <w:marBottom w:val="0"/>
      <w:divBdr>
        <w:top w:val="none" w:sz="0" w:space="0" w:color="auto"/>
        <w:left w:val="none" w:sz="0" w:space="0" w:color="auto"/>
        <w:bottom w:val="none" w:sz="0" w:space="0" w:color="auto"/>
        <w:right w:val="none" w:sz="0" w:space="0" w:color="auto"/>
      </w:divBdr>
    </w:div>
    <w:div w:id="1127235100">
      <w:bodyDiv w:val="1"/>
      <w:marLeft w:val="0"/>
      <w:marRight w:val="0"/>
      <w:marTop w:val="0"/>
      <w:marBottom w:val="0"/>
      <w:divBdr>
        <w:top w:val="none" w:sz="0" w:space="0" w:color="auto"/>
        <w:left w:val="none" w:sz="0" w:space="0" w:color="auto"/>
        <w:bottom w:val="none" w:sz="0" w:space="0" w:color="auto"/>
        <w:right w:val="none" w:sz="0" w:space="0" w:color="auto"/>
      </w:divBdr>
    </w:div>
    <w:div w:id="1156611838">
      <w:bodyDiv w:val="1"/>
      <w:marLeft w:val="0"/>
      <w:marRight w:val="0"/>
      <w:marTop w:val="0"/>
      <w:marBottom w:val="0"/>
      <w:divBdr>
        <w:top w:val="none" w:sz="0" w:space="0" w:color="auto"/>
        <w:left w:val="none" w:sz="0" w:space="0" w:color="auto"/>
        <w:bottom w:val="none" w:sz="0" w:space="0" w:color="auto"/>
        <w:right w:val="none" w:sz="0" w:space="0" w:color="auto"/>
      </w:divBdr>
    </w:div>
    <w:div w:id="1215509257">
      <w:bodyDiv w:val="1"/>
      <w:marLeft w:val="0"/>
      <w:marRight w:val="0"/>
      <w:marTop w:val="0"/>
      <w:marBottom w:val="0"/>
      <w:divBdr>
        <w:top w:val="none" w:sz="0" w:space="0" w:color="auto"/>
        <w:left w:val="none" w:sz="0" w:space="0" w:color="auto"/>
        <w:bottom w:val="none" w:sz="0" w:space="0" w:color="auto"/>
        <w:right w:val="none" w:sz="0" w:space="0" w:color="auto"/>
      </w:divBdr>
    </w:div>
    <w:div w:id="1237939848">
      <w:bodyDiv w:val="1"/>
      <w:marLeft w:val="0"/>
      <w:marRight w:val="0"/>
      <w:marTop w:val="0"/>
      <w:marBottom w:val="0"/>
      <w:divBdr>
        <w:top w:val="none" w:sz="0" w:space="0" w:color="auto"/>
        <w:left w:val="none" w:sz="0" w:space="0" w:color="auto"/>
        <w:bottom w:val="none" w:sz="0" w:space="0" w:color="auto"/>
        <w:right w:val="none" w:sz="0" w:space="0" w:color="auto"/>
      </w:divBdr>
    </w:div>
    <w:div w:id="1349327833">
      <w:bodyDiv w:val="1"/>
      <w:marLeft w:val="0"/>
      <w:marRight w:val="0"/>
      <w:marTop w:val="0"/>
      <w:marBottom w:val="0"/>
      <w:divBdr>
        <w:top w:val="none" w:sz="0" w:space="0" w:color="auto"/>
        <w:left w:val="none" w:sz="0" w:space="0" w:color="auto"/>
        <w:bottom w:val="none" w:sz="0" w:space="0" w:color="auto"/>
        <w:right w:val="none" w:sz="0" w:space="0" w:color="auto"/>
      </w:divBdr>
    </w:div>
    <w:div w:id="1351294647">
      <w:bodyDiv w:val="1"/>
      <w:marLeft w:val="0"/>
      <w:marRight w:val="0"/>
      <w:marTop w:val="0"/>
      <w:marBottom w:val="0"/>
      <w:divBdr>
        <w:top w:val="none" w:sz="0" w:space="0" w:color="auto"/>
        <w:left w:val="none" w:sz="0" w:space="0" w:color="auto"/>
        <w:bottom w:val="none" w:sz="0" w:space="0" w:color="auto"/>
        <w:right w:val="none" w:sz="0" w:space="0" w:color="auto"/>
      </w:divBdr>
      <w:divsChild>
        <w:div w:id="257176991">
          <w:marLeft w:val="0"/>
          <w:marRight w:val="0"/>
          <w:marTop w:val="0"/>
          <w:marBottom w:val="0"/>
          <w:divBdr>
            <w:top w:val="single" w:sz="6" w:space="4" w:color="auto"/>
            <w:left w:val="single" w:sz="6" w:space="4" w:color="auto"/>
            <w:bottom w:val="single" w:sz="6" w:space="4" w:color="auto"/>
            <w:right w:val="single" w:sz="6" w:space="4" w:color="auto"/>
          </w:divBdr>
          <w:divsChild>
            <w:div w:id="1641033158">
              <w:marLeft w:val="0"/>
              <w:marRight w:val="0"/>
              <w:marTop w:val="0"/>
              <w:marBottom w:val="0"/>
              <w:divBdr>
                <w:top w:val="none" w:sz="0" w:space="0" w:color="auto"/>
                <w:left w:val="none" w:sz="0" w:space="0" w:color="auto"/>
                <w:bottom w:val="none" w:sz="0" w:space="0" w:color="auto"/>
                <w:right w:val="none" w:sz="0" w:space="0" w:color="auto"/>
              </w:divBdr>
              <w:divsChild>
                <w:div w:id="15399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5677">
          <w:marLeft w:val="0"/>
          <w:marRight w:val="0"/>
          <w:marTop w:val="0"/>
          <w:marBottom w:val="0"/>
          <w:divBdr>
            <w:top w:val="single" w:sz="6" w:space="4" w:color="auto"/>
            <w:left w:val="single" w:sz="6" w:space="4" w:color="auto"/>
            <w:bottom w:val="single" w:sz="6" w:space="4" w:color="auto"/>
            <w:right w:val="single" w:sz="6" w:space="4" w:color="auto"/>
          </w:divBdr>
          <w:divsChild>
            <w:div w:id="394622777">
              <w:marLeft w:val="0"/>
              <w:marRight w:val="0"/>
              <w:marTop w:val="0"/>
              <w:marBottom w:val="0"/>
              <w:divBdr>
                <w:top w:val="none" w:sz="0" w:space="0" w:color="auto"/>
                <w:left w:val="none" w:sz="0" w:space="0" w:color="auto"/>
                <w:bottom w:val="none" w:sz="0" w:space="0" w:color="auto"/>
                <w:right w:val="none" w:sz="0" w:space="0" w:color="auto"/>
              </w:divBdr>
              <w:divsChild>
                <w:div w:id="8913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7922">
          <w:marLeft w:val="0"/>
          <w:marRight w:val="0"/>
          <w:marTop w:val="0"/>
          <w:marBottom w:val="0"/>
          <w:divBdr>
            <w:top w:val="single" w:sz="6" w:space="4" w:color="auto"/>
            <w:left w:val="single" w:sz="6" w:space="4" w:color="auto"/>
            <w:bottom w:val="single" w:sz="6" w:space="4" w:color="auto"/>
            <w:right w:val="single" w:sz="6" w:space="4" w:color="auto"/>
          </w:divBdr>
          <w:divsChild>
            <w:div w:id="990208459">
              <w:marLeft w:val="0"/>
              <w:marRight w:val="0"/>
              <w:marTop w:val="0"/>
              <w:marBottom w:val="0"/>
              <w:divBdr>
                <w:top w:val="none" w:sz="0" w:space="0" w:color="auto"/>
                <w:left w:val="none" w:sz="0" w:space="0" w:color="auto"/>
                <w:bottom w:val="none" w:sz="0" w:space="0" w:color="auto"/>
                <w:right w:val="none" w:sz="0" w:space="0" w:color="auto"/>
              </w:divBdr>
              <w:divsChild>
                <w:div w:id="16633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4058">
          <w:marLeft w:val="0"/>
          <w:marRight w:val="0"/>
          <w:marTop w:val="0"/>
          <w:marBottom w:val="0"/>
          <w:divBdr>
            <w:top w:val="single" w:sz="6" w:space="4" w:color="auto"/>
            <w:left w:val="single" w:sz="6" w:space="4" w:color="auto"/>
            <w:bottom w:val="single" w:sz="6" w:space="4" w:color="auto"/>
            <w:right w:val="single" w:sz="6" w:space="4" w:color="auto"/>
          </w:divBdr>
          <w:divsChild>
            <w:div w:id="1193883437">
              <w:marLeft w:val="0"/>
              <w:marRight w:val="0"/>
              <w:marTop w:val="0"/>
              <w:marBottom w:val="0"/>
              <w:divBdr>
                <w:top w:val="none" w:sz="0" w:space="0" w:color="auto"/>
                <w:left w:val="none" w:sz="0" w:space="0" w:color="auto"/>
                <w:bottom w:val="none" w:sz="0" w:space="0" w:color="auto"/>
                <w:right w:val="none" w:sz="0" w:space="0" w:color="auto"/>
              </w:divBdr>
              <w:divsChild>
                <w:div w:id="16839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2809">
          <w:marLeft w:val="0"/>
          <w:marRight w:val="0"/>
          <w:marTop w:val="0"/>
          <w:marBottom w:val="0"/>
          <w:divBdr>
            <w:top w:val="single" w:sz="6" w:space="4" w:color="auto"/>
            <w:left w:val="single" w:sz="6" w:space="4" w:color="auto"/>
            <w:bottom w:val="single" w:sz="6" w:space="4" w:color="auto"/>
            <w:right w:val="single" w:sz="6" w:space="4" w:color="auto"/>
          </w:divBdr>
          <w:divsChild>
            <w:div w:id="885531626">
              <w:marLeft w:val="0"/>
              <w:marRight w:val="0"/>
              <w:marTop w:val="0"/>
              <w:marBottom w:val="0"/>
              <w:divBdr>
                <w:top w:val="none" w:sz="0" w:space="0" w:color="auto"/>
                <w:left w:val="none" w:sz="0" w:space="0" w:color="auto"/>
                <w:bottom w:val="none" w:sz="0" w:space="0" w:color="auto"/>
                <w:right w:val="none" w:sz="0" w:space="0" w:color="auto"/>
              </w:divBdr>
              <w:divsChild>
                <w:div w:id="446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74482">
      <w:bodyDiv w:val="1"/>
      <w:marLeft w:val="0"/>
      <w:marRight w:val="0"/>
      <w:marTop w:val="0"/>
      <w:marBottom w:val="0"/>
      <w:divBdr>
        <w:top w:val="none" w:sz="0" w:space="0" w:color="auto"/>
        <w:left w:val="none" w:sz="0" w:space="0" w:color="auto"/>
        <w:bottom w:val="none" w:sz="0" w:space="0" w:color="auto"/>
        <w:right w:val="none" w:sz="0" w:space="0" w:color="auto"/>
      </w:divBdr>
    </w:div>
    <w:div w:id="1411542187">
      <w:bodyDiv w:val="1"/>
      <w:marLeft w:val="0"/>
      <w:marRight w:val="0"/>
      <w:marTop w:val="0"/>
      <w:marBottom w:val="0"/>
      <w:divBdr>
        <w:top w:val="none" w:sz="0" w:space="0" w:color="auto"/>
        <w:left w:val="none" w:sz="0" w:space="0" w:color="auto"/>
        <w:bottom w:val="none" w:sz="0" w:space="0" w:color="auto"/>
        <w:right w:val="none" w:sz="0" w:space="0" w:color="auto"/>
      </w:divBdr>
    </w:div>
    <w:div w:id="1515730665">
      <w:bodyDiv w:val="1"/>
      <w:marLeft w:val="0"/>
      <w:marRight w:val="0"/>
      <w:marTop w:val="0"/>
      <w:marBottom w:val="0"/>
      <w:divBdr>
        <w:top w:val="none" w:sz="0" w:space="0" w:color="auto"/>
        <w:left w:val="none" w:sz="0" w:space="0" w:color="auto"/>
        <w:bottom w:val="none" w:sz="0" w:space="0" w:color="auto"/>
        <w:right w:val="none" w:sz="0" w:space="0" w:color="auto"/>
      </w:divBdr>
    </w:div>
    <w:div w:id="1537355824">
      <w:bodyDiv w:val="1"/>
      <w:marLeft w:val="0"/>
      <w:marRight w:val="0"/>
      <w:marTop w:val="0"/>
      <w:marBottom w:val="0"/>
      <w:divBdr>
        <w:top w:val="none" w:sz="0" w:space="0" w:color="auto"/>
        <w:left w:val="none" w:sz="0" w:space="0" w:color="auto"/>
        <w:bottom w:val="none" w:sz="0" w:space="0" w:color="auto"/>
        <w:right w:val="none" w:sz="0" w:space="0" w:color="auto"/>
      </w:divBdr>
    </w:div>
    <w:div w:id="1547377639">
      <w:bodyDiv w:val="1"/>
      <w:marLeft w:val="0"/>
      <w:marRight w:val="0"/>
      <w:marTop w:val="0"/>
      <w:marBottom w:val="0"/>
      <w:divBdr>
        <w:top w:val="none" w:sz="0" w:space="0" w:color="auto"/>
        <w:left w:val="none" w:sz="0" w:space="0" w:color="auto"/>
        <w:bottom w:val="none" w:sz="0" w:space="0" w:color="auto"/>
        <w:right w:val="none" w:sz="0" w:space="0" w:color="auto"/>
      </w:divBdr>
    </w:div>
    <w:div w:id="1732999015">
      <w:bodyDiv w:val="1"/>
      <w:marLeft w:val="0"/>
      <w:marRight w:val="0"/>
      <w:marTop w:val="0"/>
      <w:marBottom w:val="0"/>
      <w:divBdr>
        <w:top w:val="none" w:sz="0" w:space="0" w:color="auto"/>
        <w:left w:val="none" w:sz="0" w:space="0" w:color="auto"/>
        <w:bottom w:val="none" w:sz="0" w:space="0" w:color="auto"/>
        <w:right w:val="none" w:sz="0" w:space="0" w:color="auto"/>
      </w:divBdr>
    </w:div>
    <w:div w:id="1745688876">
      <w:bodyDiv w:val="1"/>
      <w:marLeft w:val="0"/>
      <w:marRight w:val="0"/>
      <w:marTop w:val="0"/>
      <w:marBottom w:val="0"/>
      <w:divBdr>
        <w:top w:val="none" w:sz="0" w:space="0" w:color="auto"/>
        <w:left w:val="none" w:sz="0" w:space="0" w:color="auto"/>
        <w:bottom w:val="none" w:sz="0" w:space="0" w:color="auto"/>
        <w:right w:val="none" w:sz="0" w:space="0" w:color="auto"/>
      </w:divBdr>
    </w:div>
    <w:div w:id="1820341764">
      <w:bodyDiv w:val="1"/>
      <w:marLeft w:val="0"/>
      <w:marRight w:val="0"/>
      <w:marTop w:val="0"/>
      <w:marBottom w:val="0"/>
      <w:divBdr>
        <w:top w:val="none" w:sz="0" w:space="0" w:color="auto"/>
        <w:left w:val="none" w:sz="0" w:space="0" w:color="auto"/>
        <w:bottom w:val="none" w:sz="0" w:space="0" w:color="auto"/>
        <w:right w:val="none" w:sz="0" w:space="0" w:color="auto"/>
      </w:divBdr>
    </w:div>
    <w:div w:id="1859193997">
      <w:bodyDiv w:val="1"/>
      <w:marLeft w:val="0"/>
      <w:marRight w:val="0"/>
      <w:marTop w:val="0"/>
      <w:marBottom w:val="0"/>
      <w:divBdr>
        <w:top w:val="none" w:sz="0" w:space="0" w:color="auto"/>
        <w:left w:val="none" w:sz="0" w:space="0" w:color="auto"/>
        <w:bottom w:val="none" w:sz="0" w:space="0" w:color="auto"/>
        <w:right w:val="none" w:sz="0" w:space="0" w:color="auto"/>
      </w:divBdr>
    </w:div>
    <w:div w:id="1882857344">
      <w:bodyDiv w:val="1"/>
      <w:marLeft w:val="0"/>
      <w:marRight w:val="0"/>
      <w:marTop w:val="0"/>
      <w:marBottom w:val="0"/>
      <w:divBdr>
        <w:top w:val="none" w:sz="0" w:space="0" w:color="auto"/>
        <w:left w:val="none" w:sz="0" w:space="0" w:color="auto"/>
        <w:bottom w:val="none" w:sz="0" w:space="0" w:color="auto"/>
        <w:right w:val="none" w:sz="0" w:space="0" w:color="auto"/>
      </w:divBdr>
    </w:div>
    <w:div w:id="1933970642">
      <w:bodyDiv w:val="1"/>
      <w:marLeft w:val="0"/>
      <w:marRight w:val="0"/>
      <w:marTop w:val="0"/>
      <w:marBottom w:val="0"/>
      <w:divBdr>
        <w:top w:val="none" w:sz="0" w:space="0" w:color="auto"/>
        <w:left w:val="none" w:sz="0" w:space="0" w:color="auto"/>
        <w:bottom w:val="none" w:sz="0" w:space="0" w:color="auto"/>
        <w:right w:val="none" w:sz="0" w:space="0" w:color="auto"/>
      </w:divBdr>
    </w:div>
    <w:div w:id="1948852424">
      <w:bodyDiv w:val="1"/>
      <w:marLeft w:val="0"/>
      <w:marRight w:val="0"/>
      <w:marTop w:val="0"/>
      <w:marBottom w:val="0"/>
      <w:divBdr>
        <w:top w:val="none" w:sz="0" w:space="0" w:color="auto"/>
        <w:left w:val="none" w:sz="0" w:space="0" w:color="auto"/>
        <w:bottom w:val="none" w:sz="0" w:space="0" w:color="auto"/>
        <w:right w:val="none" w:sz="0" w:space="0" w:color="auto"/>
      </w:divBdr>
    </w:div>
    <w:div w:id="1982491556">
      <w:bodyDiv w:val="1"/>
      <w:marLeft w:val="0"/>
      <w:marRight w:val="0"/>
      <w:marTop w:val="0"/>
      <w:marBottom w:val="0"/>
      <w:divBdr>
        <w:top w:val="none" w:sz="0" w:space="0" w:color="auto"/>
        <w:left w:val="none" w:sz="0" w:space="0" w:color="auto"/>
        <w:bottom w:val="none" w:sz="0" w:space="0" w:color="auto"/>
        <w:right w:val="none" w:sz="0" w:space="0" w:color="auto"/>
      </w:divBdr>
    </w:div>
    <w:div w:id="1989701541">
      <w:bodyDiv w:val="1"/>
      <w:marLeft w:val="0"/>
      <w:marRight w:val="0"/>
      <w:marTop w:val="0"/>
      <w:marBottom w:val="0"/>
      <w:divBdr>
        <w:top w:val="none" w:sz="0" w:space="0" w:color="auto"/>
        <w:left w:val="none" w:sz="0" w:space="0" w:color="auto"/>
        <w:bottom w:val="none" w:sz="0" w:space="0" w:color="auto"/>
        <w:right w:val="none" w:sz="0" w:space="0" w:color="auto"/>
      </w:divBdr>
    </w:div>
    <w:div w:id="2026008455">
      <w:bodyDiv w:val="1"/>
      <w:marLeft w:val="0"/>
      <w:marRight w:val="0"/>
      <w:marTop w:val="0"/>
      <w:marBottom w:val="0"/>
      <w:divBdr>
        <w:top w:val="none" w:sz="0" w:space="0" w:color="auto"/>
        <w:left w:val="none" w:sz="0" w:space="0" w:color="auto"/>
        <w:bottom w:val="none" w:sz="0" w:space="0" w:color="auto"/>
        <w:right w:val="none" w:sz="0" w:space="0" w:color="auto"/>
      </w:divBdr>
    </w:div>
    <w:div w:id="2048144032">
      <w:bodyDiv w:val="1"/>
      <w:marLeft w:val="0"/>
      <w:marRight w:val="0"/>
      <w:marTop w:val="0"/>
      <w:marBottom w:val="0"/>
      <w:divBdr>
        <w:top w:val="none" w:sz="0" w:space="0" w:color="auto"/>
        <w:left w:val="none" w:sz="0" w:space="0" w:color="auto"/>
        <w:bottom w:val="none" w:sz="0" w:space="0" w:color="auto"/>
        <w:right w:val="none" w:sz="0" w:space="0" w:color="auto"/>
      </w:divBdr>
    </w:div>
    <w:div w:id="2126464878">
      <w:bodyDiv w:val="1"/>
      <w:marLeft w:val="0"/>
      <w:marRight w:val="0"/>
      <w:marTop w:val="0"/>
      <w:marBottom w:val="0"/>
      <w:divBdr>
        <w:top w:val="none" w:sz="0" w:space="0" w:color="auto"/>
        <w:left w:val="none" w:sz="0" w:space="0" w:color="auto"/>
        <w:bottom w:val="none" w:sz="0" w:space="0" w:color="auto"/>
        <w:right w:val="none" w:sz="0" w:space="0" w:color="auto"/>
      </w:divBdr>
    </w:div>
    <w:div w:id="213529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App17</b:Tag>
    <b:SourceType>Report</b:SourceType>
    <b:Guid>{C721110B-4556-4943-B6BE-3527AB33570C}</b:Guid>
    <b:Title>Root causes - Quality and Inequality in Dental Health</b:Title>
    <b:Year>2017</b:Year>
    <b:Author>
      <b:Author>
        <b:NameList>
          <b:Person>
            <b:Last>Appleby</b:Last>
            <b:First>John</b:First>
          </b:Person>
          <b:Person>
            <b:Last>Reed</b:Last>
            <b:First>Robert</b:First>
          </b:Person>
        </b:NameList>
      </b:Author>
    </b:Author>
    <b:Publisher>QualityWatch</b:Publisher>
    <b:City>London</b:City>
    <b:RefOrder>2</b:RefOrder>
  </b:Source>
  <b:Source>
    <b:Tag>Nat20</b:Tag>
    <b:SourceType>Report</b:SourceType>
    <b:Guid>{5139D2E7-32AF-4E89-BA1F-08F7F150AD11}</b:Guid>
    <b:Author>
      <b:Author>
        <b:Corporate>National Audit Office</b:Corporate>
      </b:Author>
    </b:Author>
    <b:Title>Dentistry in England</b:Title>
    <b:Year>2020</b:Year>
    <b:Publisher>National Audit Office</b:Publisher>
    <b:RefOrder>3</b:RefOrder>
  </b:Source>
  <b:Source>
    <b:Tag>Off21</b:Tag>
    <b:SourceType>InternetSite</b:SourceType>
    <b:Guid>{DA2A1996-3090-4B0B-AFC9-62A39715D97F}</b:Guid>
    <b:Author>
      <b:Author>
        <b:Corporate>Office for National Statistics</b:Corporate>
      </b:Author>
    </b:Author>
    <b:Title>Nomis - Official Labour Market Statistics</b:Title>
    <b:InternetSiteTitle>Population estimates - local authority based by single year of age</b:InternetSiteTitle>
    <b:Year>2021</b:Year>
    <b:Month>January</b:Month>
    <b:Day>31</b:Day>
    <b:URL>https://www.nomisweb.co.uk/query/construct/summary.asp?reset=yes&amp;mode=construct&amp;dataset=2002&amp;version=0&amp;anal=1&amp;initsel=</b:URL>
    <b:RefOrder>5</b:RefOrder>
  </b:Source>
  <b:Source>
    <b:Tag>Off20</b:Tag>
    <b:SourceType>InternetSite</b:SourceType>
    <b:Guid>{EA48F145-0F1A-4796-875F-114A8DCFEF8E}</b:Guid>
    <b:Title>Geoportal Statistics</b:Title>
    <b:Year>2021</b:Year>
    <b:Author>
      <b:Author>
        <b:Corporate>Office for National Statistics</b:Corporate>
      </b:Author>
    </b:Author>
    <b:InternetSiteTitle>Local Authority Districts (December 2019) Boundaries UK BFC</b:InternetSiteTitle>
    <b:Month>January</b:Month>
    <b:Day>31</b:Day>
    <b:URL>https://geoportal.statistics.gov.uk/datasets/1d78d47c87df4212b79fe2323aae8e08_0/data</b:URL>
    <b:RefOrder>4</b:RefOrder>
  </b:Source>
  <b:Source>
    <b:Tag>Pub20</b:Tag>
    <b:SourceType>InternetSite</b:SourceType>
    <b:Guid>{E740CBE7-F831-4E22-925B-AB1199A04E0B}</b:Guid>
    <b:Title>Public Health Profiles</b:Title>
    <b:Year>2021</b:Year>
    <b:Author>
      <b:Author>
        <b:Corporate>Public Health England</b:Corporate>
      </b:Author>
    </b:Author>
    <b:InternetSiteTitle>fingertips.phe</b:InternetSiteTitle>
    <b:Month>January</b:Month>
    <b:Day>31</b:Day>
    <b:URL>https://fingertips.phe.org.uk/search/dental#page/0/gid/1/pat/6/par/E12000004/ati/102/are/E06000015/cid/4/tbm/1/page-options/ovw-do-0</b:URL>
    <b:RefOrder>1</b:RefOrder>
  </b:Source>
  <b:Source>
    <b:Tag>Min19</b:Tag>
    <b:SourceType>ElectronicSource</b:SourceType>
    <b:Guid>{045E69CF-20C1-4635-BBA9-E1F537B8869C}</b:Guid>
    <b:Title>English Indices of Deprivation 2019</b:Title>
    <b:Year>2019</b:Year>
    <b:Month>September</b:Month>
    <b:Day>26</b:Day>
    <b:URL>https://www.gov.uk/government/statistics/english-indices-of-deprivation-2019</b:URL>
    <b:CountryRegion>UK</b:CountryRegion>
    <b:Author>
      <b:Author>
        <b:Corporate>Ministry of Housing, Communities &amp; Local Government</b:Corporate>
      </b:Author>
    </b:Author>
    <b:YearAccessed>2021</b:YearAccessed>
    <b:MonthAccessed>January</b:MonthAccessed>
    <b:DayAccessed>31</b:DayAccessed>
    <b:RefOrder>6</b:RefOrder>
  </b:Source>
  <b:Source>
    <b:Tag>Dig21</b:Tag>
    <b:SourceType>InternetSite</b:SourceType>
    <b:Guid>{53AFA352-22FA-4C20-9B2B-DE153520E54B}</b:Guid>
    <b:Title>Miscellaneous</b:Title>
    <b:Year>2021</b:Year>
    <b:Month>January</b:Month>
    <b:Day>31</b:Day>
    <b:InternetSiteTitle>Miscellaneous</b:InternetSiteTitle>
    <b:URL>https://digital.nhs.uk/services/organisation-data-service/data-downloads/miscellaneous</b:URL>
    <b:Author>
      <b:Author>
        <b:Corporate>Digital NHS</b:Corporate>
      </b:Author>
    </b:Author>
    <b:RefOrder>7</b:RefOrder>
  </b:Source>
</b:Sources>
</file>

<file path=customXml/itemProps1.xml><?xml version="1.0" encoding="utf-8"?>
<ds:datastoreItem xmlns:ds="http://schemas.openxmlformats.org/officeDocument/2006/customXml" ds:itemID="{911CC8A9-5A8B-4CFF-821D-70AEDE1FF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Lueckert, Peter (Customer Management)</dc:creator>
  <cp:keywords/>
  <dc:description/>
  <cp:lastModifiedBy>Lueckert, Peter (Customer Management)</cp:lastModifiedBy>
  <cp:revision>3</cp:revision>
  <dcterms:created xsi:type="dcterms:W3CDTF">2021-01-31T17:14:00Z</dcterms:created>
  <dcterms:modified xsi:type="dcterms:W3CDTF">2021-01-31T17:15:00Z</dcterms:modified>
</cp:coreProperties>
</file>