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111111111111111111111111111111111111111111111111111111111111</w:t>
      </w:r>
    </w:p>
    <w:p>
      <w:pPr>
        <w:numPr>
          <w:ilvl w:val="0"/>
          <w:numId w:val="1001"/>
        </w:numPr>
        <w:pStyle w:val="Compact"/>
      </w:pPr>
      <w:r>
        <w:t xml:space="preserve">11111111111111111111111111111111111</w:t>
      </w:r>
    </w:p>
    <w:p>
      <w:pPr>
        <w:numPr>
          <w:ilvl w:val="0"/>
          <w:numId w:val="1001"/>
        </w:numPr>
        <w:pStyle w:val="Compact"/>
      </w:pPr>
      <w:r>
        <w:t xml:space="preserve">1111111111111111111111</w:t>
      </w:r>
    </w:p>
    <w:p>
      <w:pPr>
        <w:numPr>
          <w:ilvl w:val="0"/>
          <w:numId w:val="1001"/>
        </w:numPr>
        <w:pStyle w:val="Compact"/>
      </w:pPr>
      <w:r>
        <w:t xml:space="preserve">111111111111111111111111111111111111111111111111111</w:t>
      </w:r>
    </w:p>
    <w:p>
      <w:pPr>
        <w:numPr>
          <w:ilvl w:val="0"/>
          <w:numId w:val="1001"/>
        </w:numPr>
        <w:pStyle w:val="Compact"/>
      </w:pPr>
      <w:r>
        <w:t xml:space="preserve">1111111111111111111</w:t>
      </w:r>
    </w:p>
    <w:p>
      <w:pPr>
        <w:numPr>
          <w:ilvl w:val="0"/>
          <w:numId w:val="1001"/>
        </w:numPr>
        <w:pStyle w:val="Compact"/>
      </w:pPr>
      <w:r>
        <w:t xml:space="preserve">111111111111111111111111</w:t>
      </w:r>
    </w:p>
    <w:p>
      <w:pPr>
        <w:numPr>
          <w:ilvl w:val="0"/>
          <w:numId w:val="1001"/>
        </w:numPr>
        <w:pStyle w:val="Compact"/>
      </w:pPr>
      <w:r>
        <w:t xml:space="preserve">1111111111111111111111111111111111111111111111</w:t>
      </w:r>
    </w:p>
    <w:p>
      <w:pPr>
        <w:numPr>
          <w:ilvl w:val="0"/>
          <w:numId w:val="1001"/>
        </w:numPr>
        <w:pStyle w:val="Compact"/>
      </w:pPr>
      <w:r>
        <w:t xml:space="preserve">111111</w:t>
      </w:r>
    </w:p>
    <w:p>
      <w:pPr>
        <w:numPr>
          <w:ilvl w:val="0"/>
          <w:numId w:val="1001"/>
        </w:numPr>
        <w:pStyle w:val="Compact"/>
      </w:pPr>
      <w:r>
        <w:t xml:space="preserve">1111111111111111111111111111111111111111111111</w:t>
      </w:r>
    </w:p>
    <w:p>
      <w:pPr>
        <w:pStyle w:val="FirstParagraph"/>
      </w:pPr>
      <w:r>
        <w:t xml:space="preserve">85%</w:t>
      </w:r>
    </w:p>
    <w:p>
      <w:pPr>
        <w:pStyle w:val="BodyText"/>
      </w:pPr>
      <w:r>
        <w:t xml:space="preserve">100%</w:t>
      </w:r>
    </w:p>
    <w:p>
      <w:pPr>
        <w:pStyle w:val="BodyText"/>
      </w:pPr>
      <w:r>
        <w:rPr>
          <w:highlight w:val="yellow"/>
        </w:rPr>
        <w:t xml:space="preserve">mark me</w:t>
      </w:r>
    </w:p>
    <w:p>
      <w:pPr>
        <w:pStyle w:val="BodyText"/>
      </w:pPr>
      <w:r>
        <w:rPr>
          <w:highlight w:val="yellow"/>
        </w:rPr>
        <w:t xml:space="preserve">smart==mark</w:t>
      </w:r>
    </w:p>
    <w:p>
      <w:pPr>
        <w:pStyle w:val="BodyText"/>
      </w:pPr>
      <w:r>
        <w:t xml:space="preserve">This * won't emphasize *</w:t>
      </w:r>
    </w:p>
    <w:p>
      <w:pPr>
        <w:pStyle w:val="BodyText"/>
      </w:pPr>
      <w:r>
        <w:t xml:space="preserve">This</w:t>
      </w:r>
      <w:r>
        <w:t xml:space="preserve"> </w:t>
      </w:r>
      <w:r>
        <w:rPr>
          <w:iCs/>
          <w:i/>
        </w:rPr>
        <w:t xml:space="preserve">will emphasize</w:t>
      </w:r>
    </w:p>
    <w:p>
      <w:pPr>
        <w:pStyle w:val="BodyText"/>
      </w:pPr>
      <w:r>
        <w:rPr>
          <w:iCs/>
          <w:i/>
          <w:bCs/>
          <w:b/>
        </w:rPr>
        <w:t xml:space="preserve">I'm italic and bold</w:t>
      </w:r>
      <w:r>
        <w:rPr>
          <w:bCs/>
          <w:b/>
        </w:rPr>
        <w:t xml:space="preserve"> </w:t>
      </w:r>
      <w:r>
        <w:rPr>
          <w:bCs/>
          <w:b/>
        </w:rPr>
        <w:t xml:space="preserve">I am just bold.</w:t>
      </w:r>
    </w:p>
    <w:p>
      <w:pPr>
        <w:pStyle w:val="BodyText"/>
      </w:pPr>
      <w:r>
        <w:rPr>
          <w:bCs/>
          <w:b/>
          <w:iCs/>
          <w:i/>
        </w:rPr>
        <w:t xml:space="preserve">I'm bold and italic!</w:t>
      </w:r>
      <w:r>
        <w:rPr>
          <w:iCs/>
          <w:i/>
        </w:rPr>
        <w:t xml:space="preserve"> </w:t>
      </w:r>
      <w:r>
        <w:rPr>
          <w:iCs/>
          <w:i/>
        </w:rPr>
        <w:t xml:space="preserve">I am just italic.</w:t>
      </w:r>
    </w:p>
    <w:p>
      <w:pPr>
        <w:pStyle w:val="BodyText"/>
      </w:pPr>
      <w:r>
        <w:rPr>
          <w:iCs/>
          <w:i/>
        </w:rPr>
        <w:t xml:space="preserve">I'm italic.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I'm bold and italic.</w:t>
      </w:r>
      <w:r>
        <w:rPr>
          <w:iCs/>
          <w:i/>
        </w:rPr>
        <w:t xml:space="preserve"> </w:t>
      </w:r>
      <w:r>
        <w:rPr>
          <w:iCs/>
          <w:i/>
        </w:rPr>
        <w:t xml:space="preserve">I'm also just italic.</w:t>
      </w:r>
    </w:p>
    <w:p>
      <w:pPr>
        <w:pStyle w:val="BodyText"/>
      </w:pPr>
      <w:r>
        <w:rPr>
          <w:iCs/>
          <w:i/>
          <w:bCs/>
          <w:b/>
        </w:rPr>
        <w:t xml:space="preserve">A lot of underscores____________is okay</w:t>
      </w:r>
    </w:p>
    <w:p>
      <w:pPr>
        <w:pStyle w:val="BodyText"/>
      </w:pPr>
      <w:r>
        <w:rPr>
          <w:bCs/>
          <w:b/>
        </w:rPr>
        <w:t xml:space="preserve">This will all be bold __because of the placement of the center underscores.</w:t>
      </w:r>
    </w:p>
    <w:p>
      <w:pPr>
        <w:pStyle w:val="BodyText"/>
      </w:pPr>
      <w:r>
        <w:rPr>
          <w:bCs/>
          <w:b/>
        </w:rPr>
        <w:t xml:space="preserve">This will all be bold __ because of the placement of the center underscores.</w:t>
      </w:r>
    </w:p>
    <w:p>
      <w:pPr>
        <w:pStyle w:val="BodyText"/>
      </w:pPr>
      <w:r>
        <w:rPr>
          <w:bCs/>
          <w:b/>
        </w:rPr>
        <w:t xml:space="preserve">This will NOT all be bold</w:t>
      </w:r>
      <w:r>
        <w:t xml:space="preserve"> </w:t>
      </w:r>
      <w:r>
        <w:t xml:space="preserve">because of the placement of the center underscores.__</w:t>
      </w:r>
    </w:p>
    <w:p>
      <w:pPr>
        <w:pStyle w:val="BodyText"/>
      </w:pPr>
      <w:r>
        <w:rPr>
          <w:bCs/>
          <w:b/>
        </w:rPr>
        <w:t xml:space="preserve">This will all be bold_ because of the token is less than that of the surrounding.</w:t>
      </w:r>
    </w:p>
    <w:p>
      <w:pPr>
        <w:pStyle w:val="BodyText"/>
      </w:pPr>
      <w:r>
        <w:rPr>
          <w:iCs/>
          <w:i/>
        </w:rPr>
        <w:t xml:space="preserve">All will * be italic</w:t>
      </w:r>
    </w:p>
    <w:p>
      <w:pPr>
        <w:pStyle w:val="BodyText"/>
      </w:pPr>
      <w:r>
        <w:rPr>
          <w:iCs/>
          <w:i/>
        </w:rPr>
        <w:t xml:space="preserve">All will *be italic</w:t>
      </w:r>
    </w:p>
    <w:p>
      <w:pPr>
        <w:pStyle w:val="BodyText"/>
      </w:pPr>
      <w:r>
        <w:rPr>
          <w:iCs/>
          <w:i/>
        </w:rPr>
        <w:t xml:space="preserve">All will not</w:t>
      </w:r>
      <w:r>
        <w:t xml:space="preserve"> </w:t>
      </w:r>
      <w:r>
        <w:t xml:space="preserve">be italic*</w:t>
      </w:r>
    </w:p>
    <w:p>
      <w:pPr>
        <w:pStyle w:val="BodyText"/>
      </w:pPr>
      <w:r>
        <w:rPr>
          <w:iCs/>
          <w:i/>
        </w:rPr>
        <w:t xml:space="preserve">All will not ** be italic</w:t>
      </w:r>
    </w:p>
    <w:p>
      <w:pPr>
        <w:pStyle w:val="BodyText"/>
      </w:pPr>
      <w:r>
        <w:rPr>
          <w:bCs/>
          <w:b/>
        </w:rPr>
        <w:t xml:space="preserve">All will * be bold</w:t>
      </w:r>
    </w:p>
    <w:p>
      <w:pPr>
        <w:pStyle w:val="BodyText"/>
      </w:pPr>
      <w:r>
        <w:rPr>
          <w:bCs/>
          <w:b/>
        </w:rPr>
        <w:t xml:space="preserve">All will *be bold</w:t>
      </w:r>
    </w:p>
    <w:p>
      <w:pPr>
        <w:pStyle w:val="BodyText"/>
      </w:pPr>
      <w:r>
        <w:rPr>
          <w:bCs/>
          <w:b/>
        </w:rPr>
        <w:t xml:space="preserve">All will not</w:t>
      </w:r>
      <w:r>
        <w:t xml:space="preserve">* be bold**</w:t>
      </w:r>
    </w:p>
    <w:p>
      <w:pPr>
        <w:pStyle w:val="BodyText"/>
      </w:pPr>
      <w:r>
        <w:rPr>
          <w:bCs/>
          <w:b/>
        </w:rPr>
        <w:t xml:space="preserve">All will not *** be bold</w:t>
      </w:r>
    </w:p>
    <w:p>
      <w:pPr>
        <w:pStyle w:val="BodyText"/>
      </w:pPr>
      <w:r>
        <w:rPr>
          <w:u w:val="single"/>
        </w:rPr>
        <w:t xml:space="preserve">Insert me</w:t>
      </w:r>
    </w:p>
    <w:p>
      <w:pPr>
        <w:pStyle w:val="BodyText"/>
      </w:pPr>
      <w:r>
        <w:t xml:space="preserve">H</w:t>
      </w:r>
      <w:r>
        <w:rPr>
          <w:vertAlign w:val="superscript"/>
        </w:rPr>
        <w:t xml:space="preserve">2</w:t>
      </w:r>
      <w:r>
        <w:t xml:space="preserve">0</w:t>
      </w:r>
    </w:p>
    <w:p>
      <w:pPr>
        <w:pStyle w:val="BodyText"/>
      </w:pPr>
      <w:r>
        <w:t xml:space="preserve">text</w:t>
      </w:r>
      <w:r>
        <w:rPr>
          <w:vertAlign w:val="superscript"/>
        </w:rPr>
        <w:t xml:space="preserve">a superscript</w:t>
      </w:r>
    </w:p>
    <w:p>
      <w:pPr>
        <w:pStyle w:val="BodyText"/>
      </w:pPr>
      <w:r>
        <w:t xml:space="preserve">p(x|y) = \frac{p(y|x)p(x)}{p(y)}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|</m:t>
            </m:r>
            <m:r>
              <m:t>y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|</m:t>
                </m:r>
                <m:r>
                  <m:t>x</m:t>
                </m:r>
              </m:e>
            </m:d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</m:den>
        </m:f>
      </m:oMath>
      <w:r>
        <w:t xml:space="preserve">,</w:t>
      </w:r>
      <w:r>
        <w:t xml:space="preserve"> </w:t>
      </w:r>
      <w:r>
        <w:t xml:space="preserve">p(x|y) = \frac{p(y|x)p(x)}{p(y)}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|</m:t>
            </m:r>
            <m:r>
              <m:t>y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|</m:t>
                </m:r>
                <m:r>
                  <m:t>x</m:t>
                </m:r>
              </m:e>
            </m:d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E(\mathbf{v}, \mathbf{h}) = -\sum_{i,j}w_{ij}v_i h_j - \sum_i b_i v_i - \sum_j c_j h_j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v</m:t>
              </m:r>
              <m:r>
                <m:rPr>
                  <m:sty m:val="p"/>
                </m:rPr>
                <m:t>,</m:t>
              </m:r>
              <m:r>
                <m:rPr>
                  <m:sty m:val="b"/>
                </m:rPr>
                <m:t>h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  <m:sup>
              <m:r>
                <m:t>​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v</m:t>
              </m:r>
            </m:e>
            <m:sub>
              <m:r>
                <m:t>i</m:t>
              </m:r>
            </m:sub>
          </m:sSub>
          <m:sSub>
            <m:e>
              <m:r>
                <m:t>h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−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j</m:t>
              </m:r>
            </m:sub>
            <m:sup>
              <m:r>
                <m:t>​</m:t>
              </m:r>
            </m:sup>
            <m:e>
              <m:sSub>
                <m:e>
                  <m:r>
                    <m:t>c</m:t>
                  </m:r>
                </m:e>
                <m:sub>
                  <m:r>
                    <m:t>j</m:t>
                  </m:r>
                </m:sub>
              </m:sSub>
            </m:e>
          </m:nary>
          <m:sSub>
            <m:e>
              <m:r>
                <m:t>h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3 &lt; 4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r>
            <m:rPr>
              <m:sty m:val="p"/>
            </m:rPr>
            <m:t>&lt;</m:t>
          </m:r>
          <m:r>
            <m:t>4</m:t>
          </m:r>
        </m:oMath>
      </m:oMathPara>
    </w:p>
    <w:p>
      <w:pPr>
        <w:pStyle w:val="FirstParagraph"/>
      </w:pPr>
      <w:r>
        <w:t xml:space="preserve">\begin{align}</w:t>
      </w:r>
      <w:r>
        <w:t xml:space="preserve"> </w:t>
      </w:r>
      <w:r>
        <w:t xml:space="preserve">p(v_i=1|\mathbf{h}) &amp; = \sigma\left(\sum_j w_{ij}h_j + b_i\right) \\</w:t>
      </w:r>
      <w:r>
        <w:t xml:space="preserve"> </w:t>
      </w:r>
      <w:r>
        <w:t xml:space="preserve">p(h_j=1|\mathbf{v}) &amp; = \sigma\left(\sum_i w_{ij}v_i + c_j\right)</w:t>
      </w:r>
      <w:r>
        <w:t xml:space="preserve"> </w:t>
      </w:r>
      <w:r>
        <w:t xml:space="preserve">\end{align}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|</m:t>
                    </m:r>
                    <m:r>
                      <m:rPr>
                        <m:sty m:val="b"/>
                      </m:rPr>
                      <m:t>h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σ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r>
                          <m:t>j</m:t>
                        </m:r>
                      </m:sub>
                      <m:sup>
                        <m:r>
                          <m:t>​</m:t>
                        </m:r>
                      </m:sup>
                      <m:e>
                        <m:sSub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j</m:t>
                            </m:r>
                          </m:sub>
                        </m:sSub>
                      </m:e>
                    </m:nary>
                    <m:sSub>
                      <m:e>
                        <m:r>
                          <m:t>h</m:t>
                        </m:r>
                      </m:e>
                      <m:sub>
                        <m: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e>
            </m:m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|</m:t>
                    </m:r>
                    <m:r>
                      <m:rPr>
                        <m:sty m:val="b"/>
                      </m:rPr>
                      <m:t>v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σ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r>
                          <m:t>i</m:t>
                        </m:r>
                      </m:sub>
                      <m:sup>
                        <m:r>
                          <m:t>​</m:t>
                        </m:r>
                      </m:sup>
                      <m:e>
                        <m:sSub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j</m:t>
                            </m:r>
                          </m:sub>
                        </m:sSub>
                      </m:e>
                    </m:nary>
                    <m:sSub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Footnotes</w:t>
      </w:r>
      <w:hyperlink w:anchor="fn:1">
        <w:r>
          <w:rPr>
            <w:rStyle w:val="Hyperlink"/>
            <w:vertAlign w:val="superscript"/>
          </w:rPr>
          <w:t xml:space="preserve">2</w:t>
        </w:r>
      </w:hyperlink>
      <w:r>
        <w:t xml:space="preserve"> </w:t>
      </w:r>
      <w:r>
        <w:t xml:space="preserve">have a label</w:t>
      </w:r>
      <w:hyperlink w:anchor="fn:@#$%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and the footnote's content.</w:t>
      </w:r>
    </w:p>
    <w:p>
      <w:r>
        <w:pict>
          <v:rect style="width:0;height:1.5pt" o:hralign="center" o:hrstd="t" o:hr="t"/>
        </w:pict>
      </w:r>
    </w:p>
    <w:bookmarkStart w:id="20" w:name="fn:@#$%"/>
    <w:p>
      <w:pPr>
        <w:numPr>
          <w:ilvl w:val="0"/>
          <w:numId w:val="1002"/>
        </w:numPr>
      </w:pPr>
      <w:r>
        <w:t xml:space="preserve">A footnote on the label: "@#$%". </w:t>
      </w:r>
      <w:hyperlink w:anchor="fnref:@#$%">
        <w:r>
          <w:rPr>
            <w:rStyle w:val="Hyperlink"/>
          </w:rPr>
          <w:t xml:space="preserve">↩</w:t>
        </w:r>
      </w:hyperlink>
    </w:p>
    <w:bookmarkEnd w:id="20"/>
    <w:bookmarkStart w:id="21" w:name="fn:1"/>
    <w:p>
      <w:pPr>
        <w:numPr>
          <w:ilvl w:val="0"/>
          <w:numId w:val="1002"/>
        </w:numPr>
      </w:pPr>
      <w:r>
        <w:t xml:space="preserve">The first paragraph of the definition.</w:t>
      </w:r>
    </w:p>
    <w:p>
      <w:pPr>
        <w:numPr>
          <w:ilvl w:val="0"/>
          <w:numId w:val="1000"/>
        </w:numPr>
      </w:pPr>
      <w:r>
        <w:t xml:space="preserve">Paragraph two of the definition.</w:t>
      </w:r>
    </w:p>
    <w:p>
      <w:pPr>
        <w:numPr>
          <w:ilvl w:val="0"/>
          <w:numId w:val="1000"/>
        </w:numPr>
        <w:pStyle w:val="BlockText"/>
      </w:pPr>
      <w:r>
        <w:t xml:space="preserve">A blockquote with</w:t>
      </w:r>
      <w:r>
        <w:t xml:space="preserve"> </w:t>
      </w:r>
      <w:r>
        <w:t xml:space="preserve">multiple lines.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 code block</w:t>
      </w:r>
    </w:p>
    <w:p>
      <w:pPr>
        <w:numPr>
          <w:ilvl w:val="0"/>
          <w:numId w:val="1000"/>
        </w:numPr>
      </w:pPr>
      <w:r>
        <w:t xml:space="preserve">A final paragraph. </w:t>
      </w:r>
      <w:hyperlink w:anchor="fnref:1">
        <w:r>
          <w:rPr>
            <w:rStyle w:val="Hyperlink"/>
          </w:rPr>
          <w:t xml:space="preserve">↩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</dc:language>
  <cp:keywords/>
  <dcterms:created xsi:type="dcterms:W3CDTF">2023-06-11T06:54:55Z</dcterms:created>
  <dcterms:modified xsi:type="dcterms:W3CDTF">2023-06-11T06:54:55Z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