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215A" w14:textId="77777777" w:rsidR="002464E5" w:rsidRPr="002464E5" w:rsidRDefault="002464E5" w:rsidP="002464E5">
      <w:pPr>
        <w:rPr>
          <w:b/>
          <w:bCs/>
        </w:rPr>
      </w:pPr>
      <w:r w:rsidRPr="002464E5">
        <w:rPr>
          <w:b/>
          <w:bCs/>
        </w:rPr>
        <w:t>Townsend Capabilities – Full Summary</w:t>
      </w:r>
    </w:p>
    <w:p w14:paraId="2EE7447A" w14:textId="77777777" w:rsidR="002464E5" w:rsidRPr="002464E5" w:rsidRDefault="002F0F54" w:rsidP="002464E5">
      <w:r>
        <w:pict w14:anchorId="3EF641BC">
          <v:rect id="_x0000_i1025" style="width:0;height:1.5pt" o:hralign="center" o:hrstd="t" o:hr="t" fillcolor="#a0a0a0" stroked="f"/>
        </w:pict>
      </w:r>
    </w:p>
    <w:p w14:paraId="793ABA6F" w14:textId="77777777" w:rsidR="002464E5" w:rsidRPr="002464E5" w:rsidRDefault="002464E5" w:rsidP="002464E5">
      <w:pPr>
        <w:rPr>
          <w:b/>
          <w:bCs/>
        </w:rPr>
      </w:pPr>
      <w:r w:rsidRPr="002464E5">
        <w:rPr>
          <w:b/>
          <w:bCs/>
        </w:rPr>
        <w:t>1. Performance Database</w:t>
      </w:r>
    </w:p>
    <w:p w14:paraId="5D0F246A" w14:textId="77777777" w:rsidR="002464E5" w:rsidRPr="002464E5" w:rsidRDefault="002464E5" w:rsidP="002464E5">
      <w:r w:rsidRPr="002464E5">
        <w:t xml:space="preserve">A deep, structured historical dataset tracking </w:t>
      </w:r>
      <w:r w:rsidRPr="002464E5">
        <w:rPr>
          <w:b/>
          <w:bCs/>
        </w:rPr>
        <w:t>real estate fund performance</w:t>
      </w:r>
      <w:r w:rsidRPr="002464E5">
        <w:t xml:space="preserve"> across property types, geographies, and strategies. This database includes </w:t>
      </w:r>
      <w:r w:rsidRPr="002464E5">
        <w:rPr>
          <w:b/>
          <w:bCs/>
        </w:rPr>
        <w:t>five distinct verticals</w:t>
      </w:r>
      <w:r w:rsidRPr="002464E5">
        <w:t>, each segmented by strategy and region:</w:t>
      </w:r>
    </w:p>
    <w:p w14:paraId="28F4EC86" w14:textId="77777777" w:rsidR="002464E5" w:rsidRPr="002464E5" w:rsidRDefault="002464E5" w:rsidP="002464E5">
      <w:pPr>
        <w:rPr>
          <w:b/>
          <w:bCs/>
          <w:lang w:val="fr-FR"/>
        </w:rPr>
      </w:pPr>
      <w:r w:rsidRPr="002464E5">
        <w:rPr>
          <w:rFonts w:ascii="Segoe UI Emoji" w:hAnsi="Segoe UI Emoji" w:cs="Segoe UI Emoji"/>
          <w:b/>
          <w:bCs/>
        </w:rPr>
        <w:t>🏢</w:t>
      </w:r>
      <w:r w:rsidRPr="002464E5">
        <w:rPr>
          <w:b/>
          <w:bCs/>
          <w:lang w:val="fr-FR"/>
        </w:rPr>
        <w:t xml:space="preserve"> Real Estate (Core &amp; Non-Core)</w:t>
      </w:r>
    </w:p>
    <w:p w14:paraId="57228760" w14:textId="77777777" w:rsidR="002464E5" w:rsidRPr="002464E5" w:rsidRDefault="002464E5" w:rsidP="002464E5">
      <w:pPr>
        <w:numPr>
          <w:ilvl w:val="0"/>
          <w:numId w:val="2"/>
        </w:numPr>
      </w:pPr>
      <w:r w:rsidRPr="002464E5">
        <w:rPr>
          <w:b/>
          <w:bCs/>
        </w:rPr>
        <w:t>Two separate datasets</w:t>
      </w:r>
      <w:r w:rsidRPr="002464E5">
        <w:t>: one for core funds, one for non-core funds.</w:t>
      </w:r>
    </w:p>
    <w:p w14:paraId="62B05EA4" w14:textId="77777777" w:rsidR="002464E5" w:rsidRPr="002464E5" w:rsidRDefault="002464E5" w:rsidP="002464E5">
      <w:pPr>
        <w:numPr>
          <w:ilvl w:val="0"/>
          <w:numId w:val="2"/>
        </w:numPr>
      </w:pPr>
      <w:r w:rsidRPr="002464E5">
        <w:t xml:space="preserve">Available across </w:t>
      </w:r>
      <w:r w:rsidRPr="002464E5">
        <w:rPr>
          <w:b/>
          <w:bCs/>
        </w:rPr>
        <w:t>three regions</w:t>
      </w:r>
      <w:r w:rsidRPr="002464E5">
        <w:t>:</w:t>
      </w:r>
    </w:p>
    <w:p w14:paraId="232BA195" w14:textId="77777777" w:rsidR="002464E5" w:rsidRPr="002464E5" w:rsidRDefault="002464E5" w:rsidP="002464E5">
      <w:pPr>
        <w:numPr>
          <w:ilvl w:val="1"/>
          <w:numId w:val="2"/>
        </w:numPr>
      </w:pPr>
      <w:r w:rsidRPr="002464E5">
        <w:rPr>
          <w:b/>
          <w:bCs/>
        </w:rPr>
        <w:t>North America</w:t>
      </w:r>
    </w:p>
    <w:p w14:paraId="5BE28919" w14:textId="77777777" w:rsidR="002464E5" w:rsidRPr="002464E5" w:rsidRDefault="002464E5" w:rsidP="002464E5">
      <w:pPr>
        <w:numPr>
          <w:ilvl w:val="1"/>
          <w:numId w:val="2"/>
        </w:numPr>
      </w:pPr>
      <w:r w:rsidRPr="002464E5">
        <w:rPr>
          <w:b/>
          <w:bCs/>
        </w:rPr>
        <w:t>Europe</w:t>
      </w:r>
    </w:p>
    <w:p w14:paraId="1CB27839" w14:textId="77777777" w:rsidR="002464E5" w:rsidRPr="002464E5" w:rsidRDefault="002464E5" w:rsidP="002464E5">
      <w:pPr>
        <w:numPr>
          <w:ilvl w:val="1"/>
          <w:numId w:val="2"/>
        </w:numPr>
      </w:pPr>
      <w:r w:rsidRPr="002464E5">
        <w:rPr>
          <w:b/>
          <w:bCs/>
        </w:rPr>
        <w:t>Asia</w:t>
      </w:r>
    </w:p>
    <w:p w14:paraId="05BAEB04" w14:textId="77777777" w:rsidR="002464E5" w:rsidRPr="002464E5" w:rsidRDefault="002464E5" w:rsidP="002464E5">
      <w:pPr>
        <w:numPr>
          <w:ilvl w:val="0"/>
          <w:numId w:val="2"/>
        </w:numPr>
      </w:pPr>
      <w:r w:rsidRPr="002464E5">
        <w:t>Includes performance metrics such as IRRs, equity multiples, gross/net returns, J-curves, cash-on-cash returns, and fee impact over time.</w:t>
      </w:r>
    </w:p>
    <w:p w14:paraId="6ED6B6CA" w14:textId="77777777" w:rsidR="002464E5" w:rsidRPr="002464E5" w:rsidRDefault="002464E5" w:rsidP="002464E5">
      <w:pPr>
        <w:rPr>
          <w:b/>
          <w:bCs/>
        </w:rPr>
      </w:pPr>
      <w:r w:rsidRPr="002464E5">
        <w:rPr>
          <w:rFonts w:ascii="Segoe UI Emoji" w:hAnsi="Segoe UI Emoji" w:cs="Segoe UI Emoji"/>
          <w:b/>
          <w:bCs/>
        </w:rPr>
        <w:t>🏗️</w:t>
      </w:r>
      <w:r w:rsidRPr="002464E5">
        <w:rPr>
          <w:b/>
          <w:bCs/>
        </w:rPr>
        <w:t xml:space="preserve"> Infrastructure Performance</w:t>
      </w:r>
    </w:p>
    <w:p w14:paraId="3E2F6862" w14:textId="77777777" w:rsidR="002464E5" w:rsidRPr="002464E5" w:rsidRDefault="002464E5" w:rsidP="002464E5">
      <w:pPr>
        <w:numPr>
          <w:ilvl w:val="0"/>
          <w:numId w:val="3"/>
        </w:numPr>
      </w:pPr>
      <w:r w:rsidRPr="002464E5">
        <w:t xml:space="preserve">Two datasets: </w:t>
      </w:r>
      <w:r w:rsidRPr="002464E5">
        <w:rPr>
          <w:b/>
          <w:bCs/>
        </w:rPr>
        <w:t>core</w:t>
      </w:r>
      <w:r w:rsidRPr="002464E5">
        <w:t xml:space="preserve"> and </w:t>
      </w:r>
      <w:r w:rsidRPr="002464E5">
        <w:rPr>
          <w:b/>
          <w:bCs/>
        </w:rPr>
        <w:t>non-core infrastructure</w:t>
      </w:r>
      <w:r w:rsidRPr="002464E5">
        <w:t xml:space="preserve"> strategies.</w:t>
      </w:r>
    </w:p>
    <w:p w14:paraId="3BC43AF6" w14:textId="77777777" w:rsidR="002464E5" w:rsidRPr="002464E5" w:rsidRDefault="002464E5" w:rsidP="002464E5">
      <w:pPr>
        <w:numPr>
          <w:ilvl w:val="0"/>
          <w:numId w:val="3"/>
        </w:numPr>
      </w:pPr>
      <w:r w:rsidRPr="002464E5">
        <w:t xml:space="preserve">Includes return and risk metrics at both </w:t>
      </w:r>
      <w:r w:rsidRPr="002464E5">
        <w:rPr>
          <w:b/>
          <w:bCs/>
        </w:rPr>
        <w:t>asset</w:t>
      </w:r>
      <w:r w:rsidRPr="002464E5">
        <w:t xml:space="preserve"> and </w:t>
      </w:r>
      <w:r w:rsidRPr="002464E5">
        <w:rPr>
          <w:b/>
          <w:bCs/>
        </w:rPr>
        <w:t>fund level</w:t>
      </w:r>
      <w:r w:rsidRPr="002464E5">
        <w:t>, aligned to specific infra sectors (transport, digital, energy, utilities, etc.).</w:t>
      </w:r>
    </w:p>
    <w:p w14:paraId="7216D485" w14:textId="77777777" w:rsidR="002464E5" w:rsidRPr="002464E5" w:rsidRDefault="002464E5" w:rsidP="002464E5">
      <w:pPr>
        <w:rPr>
          <w:b/>
          <w:bCs/>
        </w:rPr>
      </w:pPr>
      <w:r w:rsidRPr="002464E5">
        <w:rPr>
          <w:rFonts w:ascii="Segoe UI Emoji" w:hAnsi="Segoe UI Emoji" w:cs="Segoe UI Emoji"/>
          <w:b/>
          <w:bCs/>
        </w:rPr>
        <w:t>🌾</w:t>
      </w:r>
      <w:r w:rsidRPr="002464E5">
        <w:rPr>
          <w:b/>
          <w:bCs/>
        </w:rPr>
        <w:t xml:space="preserve"> Agriculture Performance</w:t>
      </w:r>
    </w:p>
    <w:p w14:paraId="70E3D465" w14:textId="77777777" w:rsidR="002464E5" w:rsidRPr="002464E5" w:rsidRDefault="002464E5" w:rsidP="002464E5">
      <w:pPr>
        <w:numPr>
          <w:ilvl w:val="0"/>
          <w:numId w:val="4"/>
        </w:numPr>
      </w:pPr>
      <w:r w:rsidRPr="002464E5">
        <w:t>Dedicated dataset covering ag funds and strategies.</w:t>
      </w:r>
    </w:p>
    <w:p w14:paraId="6F581E0D" w14:textId="77777777" w:rsidR="002464E5" w:rsidRPr="002464E5" w:rsidRDefault="002464E5" w:rsidP="002464E5">
      <w:pPr>
        <w:numPr>
          <w:ilvl w:val="0"/>
          <w:numId w:val="4"/>
        </w:numPr>
      </w:pPr>
      <w:r w:rsidRPr="002464E5">
        <w:t>Tracks returns, geography, asset types (row crops, permanent crops), volatility, and capital structure.</w:t>
      </w:r>
    </w:p>
    <w:p w14:paraId="2285C033" w14:textId="77777777" w:rsidR="002464E5" w:rsidRPr="002464E5" w:rsidRDefault="002464E5" w:rsidP="002464E5">
      <w:pPr>
        <w:rPr>
          <w:b/>
          <w:bCs/>
        </w:rPr>
      </w:pPr>
      <w:r w:rsidRPr="002464E5">
        <w:rPr>
          <w:rFonts w:ascii="Segoe UI Emoji" w:hAnsi="Segoe UI Emoji" w:cs="Segoe UI Emoji"/>
          <w:b/>
          <w:bCs/>
        </w:rPr>
        <w:t>🌲</w:t>
      </w:r>
      <w:r w:rsidRPr="002464E5">
        <w:rPr>
          <w:b/>
          <w:bCs/>
        </w:rPr>
        <w:t xml:space="preserve"> Timber Fund Performance</w:t>
      </w:r>
    </w:p>
    <w:p w14:paraId="002B3887" w14:textId="77777777" w:rsidR="002464E5" w:rsidRPr="002464E5" w:rsidRDefault="002464E5" w:rsidP="002464E5">
      <w:pPr>
        <w:numPr>
          <w:ilvl w:val="0"/>
          <w:numId w:val="5"/>
        </w:numPr>
      </w:pPr>
      <w:r w:rsidRPr="002464E5">
        <w:t>A standalone database focused on timberland investments.</w:t>
      </w:r>
    </w:p>
    <w:p w14:paraId="152437E9" w14:textId="77777777" w:rsidR="002464E5" w:rsidRPr="002464E5" w:rsidRDefault="002464E5" w:rsidP="002464E5">
      <w:pPr>
        <w:numPr>
          <w:ilvl w:val="0"/>
          <w:numId w:val="5"/>
        </w:numPr>
      </w:pPr>
      <w:r w:rsidRPr="002464E5">
        <w:t>Tracks vintage year performance, geography (U.S. Southeast, Pacific Northwest, LATAM), and risk/return across core and opportunistic strategies.</w:t>
      </w:r>
    </w:p>
    <w:p w14:paraId="2981A736" w14:textId="77777777" w:rsidR="002464E5" w:rsidRPr="002464E5" w:rsidRDefault="002464E5" w:rsidP="002464E5">
      <w:r w:rsidRPr="002464E5">
        <w:t xml:space="preserve">This foundational dataset underpins products like </w:t>
      </w:r>
      <w:r w:rsidRPr="002464E5">
        <w:rPr>
          <w:b/>
          <w:bCs/>
        </w:rPr>
        <w:t>benchmarking</w:t>
      </w:r>
      <w:r w:rsidRPr="002464E5">
        <w:t xml:space="preserve">, </w:t>
      </w:r>
      <w:r w:rsidRPr="002464E5">
        <w:rPr>
          <w:b/>
          <w:bCs/>
        </w:rPr>
        <w:t>forecasting</w:t>
      </w:r>
      <w:r w:rsidRPr="002464E5">
        <w:t xml:space="preserve">, </w:t>
      </w:r>
      <w:r w:rsidRPr="002464E5">
        <w:rPr>
          <w:b/>
          <w:bCs/>
        </w:rPr>
        <w:t>ratings</w:t>
      </w:r>
      <w:r w:rsidRPr="002464E5">
        <w:t xml:space="preserve">, and </w:t>
      </w:r>
      <w:r w:rsidRPr="002464E5">
        <w:rPr>
          <w:b/>
          <w:bCs/>
        </w:rPr>
        <w:t>portfolio optimization</w:t>
      </w:r>
      <w:r w:rsidRPr="002464E5">
        <w:t>.</w:t>
      </w:r>
    </w:p>
    <w:p w14:paraId="6DF881FC" w14:textId="77777777" w:rsidR="002464E5" w:rsidRPr="002464E5" w:rsidRDefault="002F0F54" w:rsidP="002464E5">
      <w:r>
        <w:lastRenderedPageBreak/>
        <w:pict w14:anchorId="0844B19A">
          <v:rect id="_x0000_i1026" style="width:0;height:1.5pt" o:hralign="center" o:hrstd="t" o:hr="t" fillcolor="#a0a0a0" stroked="f"/>
        </w:pict>
      </w:r>
    </w:p>
    <w:p w14:paraId="719F9BE0" w14:textId="77777777" w:rsidR="002464E5" w:rsidRPr="002464E5" w:rsidRDefault="002464E5" w:rsidP="002464E5">
      <w:pPr>
        <w:rPr>
          <w:b/>
          <w:bCs/>
        </w:rPr>
      </w:pPr>
      <w:r w:rsidRPr="002464E5">
        <w:rPr>
          <w:b/>
          <w:bCs/>
        </w:rPr>
        <w:t>2. TURF – Townsend Underwriting &amp; Rating Framework</w:t>
      </w:r>
    </w:p>
    <w:p w14:paraId="132BDFFB" w14:textId="77777777" w:rsidR="002464E5" w:rsidRPr="002464E5" w:rsidRDefault="002464E5" w:rsidP="002464E5">
      <w:r w:rsidRPr="002464E5">
        <w:t xml:space="preserve">Townsend’s </w:t>
      </w:r>
      <w:r w:rsidRPr="002464E5">
        <w:rPr>
          <w:b/>
          <w:bCs/>
        </w:rPr>
        <w:t>proprietary methodology</w:t>
      </w:r>
      <w:r w:rsidRPr="002464E5">
        <w:t xml:space="preserve"> for evaluating real estate funds and direct investments, built and refined over decades.</w:t>
      </w:r>
    </w:p>
    <w:p w14:paraId="153C608D" w14:textId="77777777" w:rsidR="002464E5" w:rsidRPr="002464E5" w:rsidRDefault="002464E5" w:rsidP="002464E5">
      <w:pPr>
        <w:rPr>
          <w:b/>
          <w:bCs/>
        </w:rPr>
      </w:pPr>
      <w:r w:rsidRPr="002464E5">
        <w:rPr>
          <w:b/>
          <w:bCs/>
        </w:rPr>
        <w:t>Variants of TURF:</w:t>
      </w:r>
    </w:p>
    <w:p w14:paraId="4850B5D2" w14:textId="77777777" w:rsidR="002464E5" w:rsidRPr="002464E5" w:rsidRDefault="002464E5" w:rsidP="002464E5">
      <w:pPr>
        <w:numPr>
          <w:ilvl w:val="0"/>
          <w:numId w:val="6"/>
        </w:numPr>
      </w:pPr>
      <w:r w:rsidRPr="002464E5">
        <w:rPr>
          <w:b/>
          <w:bCs/>
        </w:rPr>
        <w:t>Core Fund Underwriting Process</w:t>
      </w:r>
    </w:p>
    <w:p w14:paraId="5B5C26C2" w14:textId="77777777" w:rsidR="002464E5" w:rsidRPr="002464E5" w:rsidRDefault="002464E5" w:rsidP="002464E5">
      <w:pPr>
        <w:numPr>
          <w:ilvl w:val="1"/>
          <w:numId w:val="6"/>
        </w:numPr>
      </w:pPr>
      <w:r w:rsidRPr="002464E5">
        <w:t>Focused on stabilized income-oriented vehicles with long-duration leases.</w:t>
      </w:r>
    </w:p>
    <w:p w14:paraId="7947C8C6" w14:textId="77777777" w:rsidR="002464E5" w:rsidRPr="002464E5" w:rsidRDefault="002464E5" w:rsidP="002464E5">
      <w:pPr>
        <w:numPr>
          <w:ilvl w:val="1"/>
          <w:numId w:val="6"/>
        </w:numPr>
      </w:pPr>
      <w:r w:rsidRPr="002464E5">
        <w:t>Heavily benchmarked against public/private core indices.</w:t>
      </w:r>
    </w:p>
    <w:p w14:paraId="51EE4E23" w14:textId="77777777" w:rsidR="002464E5" w:rsidRPr="002464E5" w:rsidRDefault="002464E5" w:rsidP="002464E5">
      <w:pPr>
        <w:numPr>
          <w:ilvl w:val="0"/>
          <w:numId w:val="6"/>
        </w:numPr>
      </w:pPr>
      <w:r w:rsidRPr="002464E5">
        <w:rPr>
          <w:b/>
          <w:bCs/>
        </w:rPr>
        <w:t>Non-Core Fund Underwriting Process</w:t>
      </w:r>
    </w:p>
    <w:p w14:paraId="3E387872" w14:textId="77777777" w:rsidR="002464E5" w:rsidRPr="002464E5" w:rsidRDefault="002464E5" w:rsidP="002464E5">
      <w:pPr>
        <w:numPr>
          <w:ilvl w:val="1"/>
          <w:numId w:val="6"/>
        </w:numPr>
      </w:pPr>
      <w:r w:rsidRPr="002464E5">
        <w:t>For value-add and opportunistic funds with heavier asset management and business plan risk.</w:t>
      </w:r>
    </w:p>
    <w:p w14:paraId="17717E31" w14:textId="77777777" w:rsidR="002464E5" w:rsidRPr="002464E5" w:rsidRDefault="002464E5" w:rsidP="002464E5">
      <w:pPr>
        <w:numPr>
          <w:ilvl w:val="1"/>
          <w:numId w:val="6"/>
        </w:numPr>
      </w:pPr>
      <w:r w:rsidRPr="002464E5">
        <w:t>Emphasizes return dispersion, strategy execution risk, team evaluation.</w:t>
      </w:r>
    </w:p>
    <w:p w14:paraId="7802C9EE" w14:textId="77777777" w:rsidR="002464E5" w:rsidRPr="002464E5" w:rsidRDefault="002464E5" w:rsidP="002464E5">
      <w:pPr>
        <w:numPr>
          <w:ilvl w:val="0"/>
          <w:numId w:val="6"/>
        </w:numPr>
      </w:pPr>
      <w:r w:rsidRPr="002464E5">
        <w:rPr>
          <w:b/>
          <w:bCs/>
        </w:rPr>
        <w:t>Direct Deal Underwriting Process</w:t>
      </w:r>
    </w:p>
    <w:p w14:paraId="1E09AF24" w14:textId="77777777" w:rsidR="002464E5" w:rsidRPr="002464E5" w:rsidRDefault="002464E5" w:rsidP="002464E5">
      <w:pPr>
        <w:numPr>
          <w:ilvl w:val="1"/>
          <w:numId w:val="6"/>
        </w:numPr>
      </w:pPr>
      <w:r w:rsidRPr="002464E5">
        <w:t>Custom underwriting templates used for co-investments and direct LP opportunities.</w:t>
      </w:r>
    </w:p>
    <w:p w14:paraId="7490BF55" w14:textId="77777777" w:rsidR="002464E5" w:rsidRPr="002464E5" w:rsidRDefault="002464E5" w:rsidP="002464E5">
      <w:pPr>
        <w:numPr>
          <w:ilvl w:val="1"/>
          <w:numId w:val="6"/>
        </w:numPr>
      </w:pPr>
      <w:r w:rsidRPr="002464E5">
        <w:t>Includes lease-up risk, capex timing, debt structuring, and exit planning.</w:t>
      </w:r>
    </w:p>
    <w:p w14:paraId="7009161D" w14:textId="77777777" w:rsidR="002464E5" w:rsidRPr="002464E5" w:rsidRDefault="002464E5" w:rsidP="002464E5">
      <w:r w:rsidRPr="002464E5">
        <w:t>TURF is central to AI-enabled memo generation, ratings, and diligence automation.</w:t>
      </w:r>
    </w:p>
    <w:p w14:paraId="27A248A7" w14:textId="77777777" w:rsidR="002464E5" w:rsidRPr="002464E5" w:rsidRDefault="002F0F54" w:rsidP="002464E5">
      <w:r>
        <w:pict w14:anchorId="4E5E0E6D">
          <v:rect id="_x0000_i1027" style="width:0;height:1.5pt" o:hralign="center" o:hrstd="t" o:hr="t" fillcolor="#a0a0a0" stroked="f"/>
        </w:pict>
      </w:r>
    </w:p>
    <w:p w14:paraId="17C9FAB9" w14:textId="77777777" w:rsidR="002464E5" w:rsidRPr="002464E5" w:rsidRDefault="002464E5" w:rsidP="002464E5">
      <w:pPr>
        <w:rPr>
          <w:b/>
          <w:bCs/>
        </w:rPr>
      </w:pPr>
      <w:r w:rsidRPr="002464E5">
        <w:rPr>
          <w:b/>
          <w:bCs/>
        </w:rPr>
        <w:t>3. MCAF – Manager Capability Assessment Framework</w:t>
      </w:r>
    </w:p>
    <w:p w14:paraId="3AA44CB2" w14:textId="77777777" w:rsidR="002464E5" w:rsidRPr="002464E5" w:rsidRDefault="002464E5" w:rsidP="002464E5">
      <w:r w:rsidRPr="002464E5">
        <w:t xml:space="preserve">Townsend’s internal, proprietary </w:t>
      </w:r>
      <w:r w:rsidRPr="002464E5">
        <w:rPr>
          <w:b/>
          <w:bCs/>
        </w:rPr>
        <w:t>structured database</w:t>
      </w:r>
      <w:r w:rsidRPr="002464E5">
        <w:t xml:space="preserve"> tracking the </w:t>
      </w:r>
      <w:r w:rsidRPr="002464E5">
        <w:rPr>
          <w:b/>
          <w:bCs/>
        </w:rPr>
        <w:t>capabilities of real estate, infrastructure, ag, and timber managers</w:t>
      </w:r>
      <w:r w:rsidRPr="002464E5">
        <w:t xml:space="preserve"> globally.</w:t>
      </w:r>
    </w:p>
    <w:p w14:paraId="4C1F1910" w14:textId="77777777" w:rsidR="002464E5" w:rsidRPr="002464E5" w:rsidRDefault="002464E5" w:rsidP="002464E5">
      <w:pPr>
        <w:rPr>
          <w:b/>
          <w:bCs/>
        </w:rPr>
      </w:pPr>
      <w:r w:rsidRPr="002464E5">
        <w:rPr>
          <w:b/>
          <w:bCs/>
        </w:rPr>
        <w:t>Attributes Captured:</w:t>
      </w:r>
    </w:p>
    <w:p w14:paraId="601150D4" w14:textId="77777777" w:rsidR="002464E5" w:rsidRPr="002464E5" w:rsidRDefault="002464E5" w:rsidP="002464E5">
      <w:pPr>
        <w:numPr>
          <w:ilvl w:val="0"/>
          <w:numId w:val="7"/>
        </w:numPr>
      </w:pPr>
      <w:r w:rsidRPr="002464E5">
        <w:rPr>
          <w:b/>
          <w:bCs/>
        </w:rPr>
        <w:t>Platform AUM</w:t>
      </w:r>
      <w:r w:rsidRPr="002464E5">
        <w:t xml:space="preserve"> by strategy and region</w:t>
      </w:r>
    </w:p>
    <w:p w14:paraId="1356C2F0" w14:textId="77777777" w:rsidR="002464E5" w:rsidRPr="002464E5" w:rsidRDefault="002464E5" w:rsidP="002464E5">
      <w:pPr>
        <w:numPr>
          <w:ilvl w:val="0"/>
          <w:numId w:val="7"/>
        </w:numPr>
      </w:pPr>
      <w:r w:rsidRPr="002464E5">
        <w:rPr>
          <w:b/>
          <w:bCs/>
        </w:rPr>
        <w:t>Team size</w:t>
      </w:r>
      <w:r w:rsidRPr="002464E5">
        <w:t>, structure, tenure, and turnover</w:t>
      </w:r>
    </w:p>
    <w:p w14:paraId="02813693" w14:textId="77777777" w:rsidR="002464E5" w:rsidRPr="002464E5" w:rsidRDefault="002464E5" w:rsidP="002464E5">
      <w:pPr>
        <w:numPr>
          <w:ilvl w:val="0"/>
          <w:numId w:val="7"/>
        </w:numPr>
      </w:pPr>
      <w:r w:rsidRPr="002464E5">
        <w:rPr>
          <w:b/>
          <w:bCs/>
        </w:rPr>
        <w:t>Sector and regional focus areas</w:t>
      </w:r>
    </w:p>
    <w:p w14:paraId="32176086" w14:textId="77777777" w:rsidR="002464E5" w:rsidRPr="002464E5" w:rsidRDefault="002464E5" w:rsidP="002464E5">
      <w:pPr>
        <w:numPr>
          <w:ilvl w:val="0"/>
          <w:numId w:val="7"/>
        </w:numPr>
      </w:pPr>
      <w:r w:rsidRPr="002464E5">
        <w:rPr>
          <w:b/>
          <w:bCs/>
        </w:rPr>
        <w:t>Acquisition, asset management, and property management capabilities</w:t>
      </w:r>
    </w:p>
    <w:p w14:paraId="45DEB439" w14:textId="77777777" w:rsidR="002464E5" w:rsidRPr="002464E5" w:rsidRDefault="002464E5" w:rsidP="002464E5">
      <w:pPr>
        <w:numPr>
          <w:ilvl w:val="0"/>
          <w:numId w:val="7"/>
        </w:numPr>
      </w:pPr>
      <w:r w:rsidRPr="002464E5">
        <w:rPr>
          <w:b/>
          <w:bCs/>
        </w:rPr>
        <w:t>Track record by fund vintage, net/gross returns, volatility</w:t>
      </w:r>
    </w:p>
    <w:p w14:paraId="0BB4BA63" w14:textId="77777777" w:rsidR="002464E5" w:rsidRPr="002464E5" w:rsidRDefault="002464E5" w:rsidP="002464E5">
      <w:pPr>
        <w:numPr>
          <w:ilvl w:val="0"/>
          <w:numId w:val="7"/>
        </w:numPr>
      </w:pPr>
      <w:r w:rsidRPr="002464E5">
        <w:rPr>
          <w:b/>
          <w:bCs/>
        </w:rPr>
        <w:lastRenderedPageBreak/>
        <w:t>Fee and promote structures</w:t>
      </w:r>
    </w:p>
    <w:p w14:paraId="2F5F2CFA" w14:textId="77777777" w:rsidR="002464E5" w:rsidRPr="002464E5" w:rsidRDefault="002464E5" w:rsidP="002464E5">
      <w:pPr>
        <w:numPr>
          <w:ilvl w:val="0"/>
          <w:numId w:val="7"/>
        </w:numPr>
      </w:pPr>
      <w:r w:rsidRPr="002464E5">
        <w:rPr>
          <w:b/>
          <w:bCs/>
        </w:rPr>
        <w:t>Client types (public vs. private), capital raised, investor dispersion</w:t>
      </w:r>
    </w:p>
    <w:p w14:paraId="714D3175" w14:textId="77777777" w:rsidR="002464E5" w:rsidRPr="002464E5" w:rsidRDefault="002464E5" w:rsidP="002464E5">
      <w:pPr>
        <w:numPr>
          <w:ilvl w:val="0"/>
          <w:numId w:val="7"/>
        </w:numPr>
      </w:pPr>
      <w:r w:rsidRPr="002464E5">
        <w:rPr>
          <w:b/>
          <w:bCs/>
        </w:rPr>
        <w:t>Current fundraising activities</w:t>
      </w:r>
      <w:r w:rsidRPr="002464E5">
        <w:t xml:space="preserve"> and performance benchmarking</w:t>
      </w:r>
    </w:p>
    <w:p w14:paraId="396F5003" w14:textId="77777777" w:rsidR="002464E5" w:rsidRPr="002464E5" w:rsidRDefault="002464E5" w:rsidP="002464E5">
      <w:r w:rsidRPr="002464E5">
        <w:t xml:space="preserve">MCAF is a critical intelligence engine for </w:t>
      </w:r>
      <w:r w:rsidRPr="002464E5">
        <w:rPr>
          <w:b/>
          <w:bCs/>
        </w:rPr>
        <w:t>fund screening, scoring, and platform ratings</w:t>
      </w:r>
      <w:r w:rsidRPr="002464E5">
        <w:t xml:space="preserve"> within TownsendAI.</w:t>
      </w:r>
    </w:p>
    <w:p w14:paraId="7E5D5C53" w14:textId="77777777" w:rsidR="002464E5" w:rsidRPr="002464E5" w:rsidRDefault="002F0F54" w:rsidP="002464E5">
      <w:r>
        <w:pict w14:anchorId="095C4F42">
          <v:rect id="_x0000_i1028" style="width:0;height:1.5pt" o:hralign="center" o:hrstd="t" o:hr="t" fillcolor="#a0a0a0" stroked="f"/>
        </w:pict>
      </w:r>
    </w:p>
    <w:p w14:paraId="5EABE92A" w14:textId="77777777" w:rsidR="002464E5" w:rsidRPr="002464E5" w:rsidRDefault="002464E5" w:rsidP="002464E5">
      <w:pPr>
        <w:rPr>
          <w:b/>
          <w:bCs/>
        </w:rPr>
      </w:pPr>
      <w:r w:rsidRPr="002464E5">
        <w:rPr>
          <w:b/>
          <w:bCs/>
        </w:rPr>
        <w:t>4. VOTW – View of the World Forecasting Engine</w:t>
      </w:r>
    </w:p>
    <w:p w14:paraId="041CEAC5" w14:textId="77777777" w:rsidR="002464E5" w:rsidRPr="002464E5" w:rsidRDefault="002464E5" w:rsidP="002464E5">
      <w:r w:rsidRPr="002464E5">
        <w:t xml:space="preserve">A sophisticated forecasting system that combines </w:t>
      </w:r>
      <w:r w:rsidRPr="002464E5">
        <w:rPr>
          <w:b/>
          <w:bCs/>
        </w:rPr>
        <w:t>macroeconomic outlooks</w:t>
      </w:r>
      <w:r w:rsidRPr="002464E5">
        <w:t xml:space="preserve"> with </w:t>
      </w:r>
      <w:r w:rsidRPr="002464E5">
        <w:rPr>
          <w:b/>
          <w:bCs/>
        </w:rPr>
        <w:t>sector-specific real estate forecasts</w:t>
      </w:r>
      <w:r w:rsidRPr="002464E5">
        <w:t xml:space="preserve"> across regions and strategies.</w:t>
      </w:r>
    </w:p>
    <w:p w14:paraId="64673A5E" w14:textId="77777777" w:rsidR="002464E5" w:rsidRPr="002464E5" w:rsidRDefault="002464E5" w:rsidP="002464E5">
      <w:pPr>
        <w:rPr>
          <w:b/>
          <w:bCs/>
        </w:rPr>
      </w:pPr>
      <w:r w:rsidRPr="002464E5">
        <w:rPr>
          <w:b/>
          <w:bCs/>
        </w:rPr>
        <w:t>Components:</w:t>
      </w:r>
    </w:p>
    <w:p w14:paraId="673707D4" w14:textId="77777777" w:rsidR="002464E5" w:rsidRPr="002464E5" w:rsidRDefault="002464E5" w:rsidP="002464E5">
      <w:r w:rsidRPr="002464E5">
        <w:rPr>
          <w:b/>
          <w:bCs/>
        </w:rPr>
        <w:t>A. Macro Forecasts</w:t>
      </w:r>
    </w:p>
    <w:p w14:paraId="45344E7F" w14:textId="77777777" w:rsidR="002464E5" w:rsidRPr="002464E5" w:rsidRDefault="002464E5" w:rsidP="002464E5">
      <w:pPr>
        <w:numPr>
          <w:ilvl w:val="0"/>
          <w:numId w:val="8"/>
        </w:numPr>
      </w:pPr>
      <w:r w:rsidRPr="002464E5">
        <w:t>6-year outlooks for:</w:t>
      </w:r>
    </w:p>
    <w:p w14:paraId="02B428FF" w14:textId="77777777" w:rsidR="002464E5" w:rsidRPr="002464E5" w:rsidRDefault="002464E5" w:rsidP="002464E5">
      <w:pPr>
        <w:numPr>
          <w:ilvl w:val="1"/>
          <w:numId w:val="8"/>
        </w:numPr>
      </w:pPr>
      <w:r w:rsidRPr="002464E5">
        <w:t>GDP growth</w:t>
      </w:r>
    </w:p>
    <w:p w14:paraId="54955D5B" w14:textId="77777777" w:rsidR="002464E5" w:rsidRPr="002464E5" w:rsidRDefault="002464E5" w:rsidP="002464E5">
      <w:pPr>
        <w:numPr>
          <w:ilvl w:val="1"/>
          <w:numId w:val="8"/>
        </w:numPr>
      </w:pPr>
      <w:r w:rsidRPr="002464E5">
        <w:t>Inflation</w:t>
      </w:r>
    </w:p>
    <w:p w14:paraId="012B5809" w14:textId="77777777" w:rsidR="002464E5" w:rsidRPr="002464E5" w:rsidRDefault="002464E5" w:rsidP="002464E5">
      <w:pPr>
        <w:numPr>
          <w:ilvl w:val="1"/>
          <w:numId w:val="8"/>
        </w:numPr>
      </w:pPr>
      <w:r w:rsidRPr="002464E5">
        <w:t>10-year and 5-year risk-free rates</w:t>
      </w:r>
    </w:p>
    <w:p w14:paraId="76DD11EE" w14:textId="77777777" w:rsidR="002464E5" w:rsidRPr="002464E5" w:rsidRDefault="002464E5" w:rsidP="002464E5">
      <w:pPr>
        <w:numPr>
          <w:ilvl w:val="1"/>
          <w:numId w:val="8"/>
        </w:numPr>
      </w:pPr>
      <w:r w:rsidRPr="002464E5">
        <w:t>Base borrowing costs for core/non-core strategies</w:t>
      </w:r>
    </w:p>
    <w:p w14:paraId="1A05CE4D" w14:textId="77777777" w:rsidR="002464E5" w:rsidRPr="002464E5" w:rsidRDefault="002464E5" w:rsidP="002464E5">
      <w:r w:rsidRPr="002464E5">
        <w:rPr>
          <w:b/>
          <w:bCs/>
        </w:rPr>
        <w:t>B. Sector &amp; Regional Forecasts</w:t>
      </w:r>
    </w:p>
    <w:p w14:paraId="6BC82222" w14:textId="77777777" w:rsidR="002464E5" w:rsidRPr="002464E5" w:rsidRDefault="002464E5" w:rsidP="002464E5">
      <w:pPr>
        <w:numPr>
          <w:ilvl w:val="0"/>
          <w:numId w:val="9"/>
        </w:numPr>
      </w:pPr>
      <w:r w:rsidRPr="002464E5">
        <w:rPr>
          <w:b/>
          <w:bCs/>
        </w:rPr>
        <w:t>U.S.</w:t>
      </w:r>
      <w:r w:rsidRPr="002464E5">
        <w:t>: 12–15 property sectors (e.g., Industrial, Office, Apartments, Student Housing, etc.)</w:t>
      </w:r>
    </w:p>
    <w:p w14:paraId="77D25B19" w14:textId="77777777" w:rsidR="002464E5" w:rsidRPr="002464E5" w:rsidRDefault="002464E5" w:rsidP="002464E5">
      <w:pPr>
        <w:numPr>
          <w:ilvl w:val="0"/>
          <w:numId w:val="9"/>
        </w:numPr>
      </w:pPr>
      <w:r w:rsidRPr="002464E5">
        <w:rPr>
          <w:b/>
          <w:bCs/>
        </w:rPr>
        <w:t>Europe</w:t>
      </w:r>
      <w:r w:rsidRPr="002464E5">
        <w:t>: 8–10 sectors across key countries</w:t>
      </w:r>
    </w:p>
    <w:p w14:paraId="5BFDCBE3" w14:textId="77777777" w:rsidR="002464E5" w:rsidRPr="002464E5" w:rsidRDefault="002464E5" w:rsidP="002464E5">
      <w:pPr>
        <w:numPr>
          <w:ilvl w:val="0"/>
          <w:numId w:val="9"/>
        </w:numPr>
      </w:pPr>
      <w:r w:rsidRPr="002464E5">
        <w:rPr>
          <w:b/>
          <w:bCs/>
        </w:rPr>
        <w:t>Asia</w:t>
      </w:r>
      <w:r w:rsidRPr="002464E5">
        <w:t>: 8–10 sectors spanning core markets (Japan, Australia, China, Singapore, etc.)</w:t>
      </w:r>
    </w:p>
    <w:p w14:paraId="32839C68" w14:textId="77777777" w:rsidR="002464E5" w:rsidRPr="002464E5" w:rsidRDefault="002464E5" w:rsidP="002464E5">
      <w:pPr>
        <w:numPr>
          <w:ilvl w:val="0"/>
          <w:numId w:val="9"/>
        </w:numPr>
      </w:pPr>
      <w:r w:rsidRPr="002464E5">
        <w:t>Forecast Metrics:</w:t>
      </w:r>
    </w:p>
    <w:p w14:paraId="7E140C8E" w14:textId="77777777" w:rsidR="002464E5" w:rsidRPr="002464E5" w:rsidRDefault="002464E5" w:rsidP="002464E5">
      <w:pPr>
        <w:numPr>
          <w:ilvl w:val="1"/>
          <w:numId w:val="9"/>
        </w:numPr>
      </w:pPr>
      <w:r w:rsidRPr="002464E5">
        <w:t>Entry/Exit cap rates (year-by-year)</w:t>
      </w:r>
    </w:p>
    <w:p w14:paraId="6232AE6D" w14:textId="77777777" w:rsidR="002464E5" w:rsidRPr="002464E5" w:rsidRDefault="002464E5" w:rsidP="002464E5">
      <w:pPr>
        <w:numPr>
          <w:ilvl w:val="1"/>
          <w:numId w:val="9"/>
        </w:numPr>
      </w:pPr>
      <w:r w:rsidRPr="002464E5">
        <w:t>Rent growth trajectories (6-year view)</w:t>
      </w:r>
    </w:p>
    <w:p w14:paraId="4D5A7BC4" w14:textId="77777777" w:rsidR="002464E5" w:rsidRPr="002464E5" w:rsidRDefault="002464E5" w:rsidP="002464E5">
      <w:pPr>
        <w:numPr>
          <w:ilvl w:val="1"/>
          <w:numId w:val="9"/>
        </w:numPr>
      </w:pPr>
      <w:r w:rsidRPr="002464E5">
        <w:t>Leverage targets</w:t>
      </w:r>
    </w:p>
    <w:p w14:paraId="234AE4D3" w14:textId="77777777" w:rsidR="002464E5" w:rsidRPr="002464E5" w:rsidRDefault="002464E5" w:rsidP="002464E5">
      <w:pPr>
        <w:numPr>
          <w:ilvl w:val="1"/>
          <w:numId w:val="9"/>
        </w:numPr>
      </w:pPr>
      <w:r w:rsidRPr="002464E5">
        <w:t>Capex expectations</w:t>
      </w:r>
    </w:p>
    <w:p w14:paraId="0B39253C" w14:textId="77777777" w:rsidR="002464E5" w:rsidRPr="002464E5" w:rsidRDefault="002464E5" w:rsidP="002464E5">
      <w:pPr>
        <w:numPr>
          <w:ilvl w:val="1"/>
          <w:numId w:val="9"/>
        </w:numPr>
      </w:pPr>
      <w:r w:rsidRPr="002464E5">
        <w:t>Total fee drag</w:t>
      </w:r>
    </w:p>
    <w:p w14:paraId="2A561337" w14:textId="77777777" w:rsidR="002464E5" w:rsidRPr="002464E5" w:rsidRDefault="002464E5" w:rsidP="002464E5">
      <w:pPr>
        <w:numPr>
          <w:ilvl w:val="1"/>
          <w:numId w:val="9"/>
        </w:numPr>
      </w:pPr>
      <w:r w:rsidRPr="002464E5">
        <w:lastRenderedPageBreak/>
        <w:t>Property-level returns, gross and net fund returns</w:t>
      </w:r>
    </w:p>
    <w:p w14:paraId="432BE319" w14:textId="77777777" w:rsidR="002464E5" w:rsidRPr="002464E5" w:rsidRDefault="002464E5" w:rsidP="002464E5">
      <w:r w:rsidRPr="002464E5">
        <w:rPr>
          <w:b/>
          <w:bCs/>
        </w:rPr>
        <w:t>C. Risk Analytics</w:t>
      </w:r>
    </w:p>
    <w:p w14:paraId="05B3FFD1" w14:textId="77777777" w:rsidR="002464E5" w:rsidRPr="002464E5" w:rsidRDefault="002464E5" w:rsidP="002464E5">
      <w:pPr>
        <w:numPr>
          <w:ilvl w:val="0"/>
          <w:numId w:val="10"/>
        </w:numPr>
      </w:pPr>
      <w:r w:rsidRPr="002464E5">
        <w:rPr>
          <w:b/>
          <w:bCs/>
        </w:rPr>
        <w:t>Sector-by-region volatilities</w:t>
      </w:r>
    </w:p>
    <w:p w14:paraId="65699E36" w14:textId="77777777" w:rsidR="002464E5" w:rsidRPr="002464E5" w:rsidRDefault="002464E5" w:rsidP="002464E5">
      <w:pPr>
        <w:numPr>
          <w:ilvl w:val="0"/>
          <w:numId w:val="10"/>
        </w:numPr>
      </w:pPr>
      <w:r w:rsidRPr="002464E5">
        <w:t>Correlation matrices for portfolio simulation</w:t>
      </w:r>
    </w:p>
    <w:p w14:paraId="1FE75AAE" w14:textId="77777777" w:rsidR="002464E5" w:rsidRPr="002464E5" w:rsidRDefault="002464E5" w:rsidP="002464E5">
      <w:pPr>
        <w:numPr>
          <w:ilvl w:val="0"/>
          <w:numId w:val="10"/>
        </w:numPr>
      </w:pPr>
      <w:r w:rsidRPr="002464E5">
        <w:t>Downside stress test assumptions</w:t>
      </w:r>
    </w:p>
    <w:p w14:paraId="098E8F9E" w14:textId="77777777" w:rsidR="002464E5" w:rsidRPr="002464E5" w:rsidRDefault="002464E5" w:rsidP="002464E5">
      <w:r w:rsidRPr="002464E5">
        <w:rPr>
          <w:b/>
          <w:bCs/>
        </w:rPr>
        <w:t>D. Research Layer</w:t>
      </w:r>
    </w:p>
    <w:p w14:paraId="3D286209" w14:textId="77777777" w:rsidR="002464E5" w:rsidRPr="002464E5" w:rsidRDefault="002464E5" w:rsidP="002464E5">
      <w:pPr>
        <w:numPr>
          <w:ilvl w:val="0"/>
          <w:numId w:val="11"/>
        </w:numPr>
      </w:pPr>
      <w:r w:rsidRPr="002464E5">
        <w:rPr>
          <w:b/>
          <w:bCs/>
        </w:rPr>
        <w:t>Monthly research publications</w:t>
      </w:r>
      <w:r w:rsidRPr="002464E5">
        <w:t xml:space="preserve"> on market themes</w:t>
      </w:r>
    </w:p>
    <w:p w14:paraId="5145D19B" w14:textId="77777777" w:rsidR="002464E5" w:rsidRPr="002464E5" w:rsidRDefault="002464E5" w:rsidP="002464E5">
      <w:pPr>
        <w:numPr>
          <w:ilvl w:val="0"/>
          <w:numId w:val="11"/>
        </w:numPr>
      </w:pPr>
      <w:r w:rsidRPr="002464E5">
        <w:rPr>
          <w:b/>
          <w:bCs/>
        </w:rPr>
        <w:t>Biannual VOTW report</w:t>
      </w:r>
      <w:r w:rsidRPr="002464E5">
        <w:t>—sector and region-level forecasts in a unified institutional format</w:t>
      </w:r>
    </w:p>
    <w:p w14:paraId="7E86F515" w14:textId="77777777" w:rsidR="002464E5" w:rsidRPr="002464E5" w:rsidRDefault="002464E5" w:rsidP="002464E5">
      <w:r w:rsidRPr="002464E5">
        <w:t xml:space="preserve">VOTW powers </w:t>
      </w:r>
      <w:r w:rsidRPr="002464E5">
        <w:rPr>
          <w:b/>
          <w:bCs/>
        </w:rPr>
        <w:t>forecasting tools</w:t>
      </w:r>
      <w:r w:rsidRPr="002464E5">
        <w:t xml:space="preserve">, </w:t>
      </w:r>
      <w:r w:rsidRPr="002464E5">
        <w:rPr>
          <w:b/>
          <w:bCs/>
        </w:rPr>
        <w:t>portfolio simulation</w:t>
      </w:r>
      <w:r w:rsidRPr="002464E5">
        <w:t xml:space="preserve">, </w:t>
      </w:r>
      <w:r w:rsidRPr="002464E5">
        <w:rPr>
          <w:b/>
          <w:bCs/>
        </w:rPr>
        <w:t>ratings</w:t>
      </w:r>
      <w:r w:rsidRPr="002464E5">
        <w:t xml:space="preserve">, and </w:t>
      </w:r>
      <w:r w:rsidRPr="002464E5">
        <w:rPr>
          <w:b/>
          <w:bCs/>
        </w:rPr>
        <w:t>AI memo context</w:t>
      </w:r>
      <w:r w:rsidRPr="002464E5">
        <w:t>.</w:t>
      </w:r>
    </w:p>
    <w:p w14:paraId="1A75154D" w14:textId="77777777" w:rsidR="002464E5" w:rsidRPr="002464E5" w:rsidRDefault="002F0F54" w:rsidP="002464E5">
      <w:r>
        <w:pict w14:anchorId="35593A6B">
          <v:rect id="_x0000_i1029" style="width:0;height:1.5pt" o:hralign="center" o:hrstd="t" o:hr="t" fillcolor="#a0a0a0" stroked="f"/>
        </w:pict>
      </w:r>
    </w:p>
    <w:p w14:paraId="18BEE964" w14:textId="77777777" w:rsidR="002464E5" w:rsidRPr="002464E5" w:rsidRDefault="002464E5" w:rsidP="002464E5">
      <w:pPr>
        <w:rPr>
          <w:b/>
          <w:bCs/>
        </w:rPr>
      </w:pPr>
      <w:r w:rsidRPr="002464E5">
        <w:rPr>
          <w:b/>
          <w:bCs/>
        </w:rPr>
        <w:t>5. Pipeline Intelligence (Funds + Deals)</w:t>
      </w:r>
    </w:p>
    <w:p w14:paraId="6F0C6091" w14:textId="77777777" w:rsidR="002464E5" w:rsidRPr="002464E5" w:rsidRDefault="002464E5" w:rsidP="002464E5">
      <w:r w:rsidRPr="002464E5">
        <w:t xml:space="preserve">A continuously updated database of </w:t>
      </w:r>
      <w:r w:rsidRPr="002464E5">
        <w:rPr>
          <w:b/>
          <w:bCs/>
        </w:rPr>
        <w:t>fundraising activity</w:t>
      </w:r>
      <w:r w:rsidRPr="002464E5">
        <w:t xml:space="preserve"> and </w:t>
      </w:r>
      <w:r w:rsidRPr="002464E5">
        <w:rPr>
          <w:b/>
          <w:bCs/>
        </w:rPr>
        <w:t>real estate transaction deal flow</w:t>
      </w:r>
      <w:r w:rsidRPr="002464E5">
        <w:t>, categorized for analytical insights and capital deployment planning.</w:t>
      </w:r>
    </w:p>
    <w:p w14:paraId="48E18034" w14:textId="77777777" w:rsidR="002464E5" w:rsidRPr="002464E5" w:rsidRDefault="002464E5" w:rsidP="002464E5">
      <w:pPr>
        <w:rPr>
          <w:b/>
          <w:bCs/>
        </w:rPr>
      </w:pPr>
      <w:r w:rsidRPr="002464E5">
        <w:rPr>
          <w:b/>
          <w:bCs/>
        </w:rPr>
        <w:t>A. Fund Pipeline</w:t>
      </w:r>
    </w:p>
    <w:p w14:paraId="0E002987" w14:textId="77777777" w:rsidR="002464E5" w:rsidRPr="002464E5" w:rsidRDefault="002464E5" w:rsidP="002464E5">
      <w:pPr>
        <w:numPr>
          <w:ilvl w:val="0"/>
          <w:numId w:val="12"/>
        </w:numPr>
      </w:pPr>
      <w:r w:rsidRPr="002464E5">
        <w:t>Covers 100–200 funds per region per year.</w:t>
      </w:r>
    </w:p>
    <w:p w14:paraId="3745E354" w14:textId="77777777" w:rsidR="002464E5" w:rsidRPr="002464E5" w:rsidRDefault="002464E5" w:rsidP="002464E5">
      <w:pPr>
        <w:numPr>
          <w:ilvl w:val="0"/>
          <w:numId w:val="12"/>
        </w:numPr>
      </w:pPr>
      <w:r w:rsidRPr="002464E5">
        <w:t>Tracks:</w:t>
      </w:r>
    </w:p>
    <w:p w14:paraId="0F2EEBB4" w14:textId="77777777" w:rsidR="002464E5" w:rsidRPr="002464E5" w:rsidRDefault="002464E5" w:rsidP="002464E5">
      <w:pPr>
        <w:numPr>
          <w:ilvl w:val="1"/>
          <w:numId w:val="12"/>
        </w:numPr>
      </w:pPr>
      <w:r w:rsidRPr="002464E5">
        <w:t>Strategy</w:t>
      </w:r>
    </w:p>
    <w:p w14:paraId="1615183B" w14:textId="77777777" w:rsidR="002464E5" w:rsidRPr="002464E5" w:rsidRDefault="002464E5" w:rsidP="002464E5">
      <w:pPr>
        <w:numPr>
          <w:ilvl w:val="1"/>
          <w:numId w:val="12"/>
        </w:numPr>
      </w:pPr>
      <w:r w:rsidRPr="002464E5">
        <w:t>Sector exposure</w:t>
      </w:r>
    </w:p>
    <w:p w14:paraId="424F5FFB" w14:textId="77777777" w:rsidR="002464E5" w:rsidRPr="002464E5" w:rsidRDefault="002464E5" w:rsidP="002464E5">
      <w:pPr>
        <w:numPr>
          <w:ilvl w:val="1"/>
          <w:numId w:val="12"/>
        </w:numPr>
      </w:pPr>
      <w:r w:rsidRPr="002464E5">
        <w:t>Geography</w:t>
      </w:r>
    </w:p>
    <w:p w14:paraId="7A220422" w14:textId="77777777" w:rsidR="002464E5" w:rsidRPr="002464E5" w:rsidRDefault="002464E5" w:rsidP="002464E5">
      <w:pPr>
        <w:numPr>
          <w:ilvl w:val="1"/>
          <w:numId w:val="12"/>
        </w:numPr>
      </w:pPr>
      <w:r w:rsidRPr="002464E5">
        <w:t>Return targets</w:t>
      </w:r>
    </w:p>
    <w:p w14:paraId="06059865" w14:textId="77777777" w:rsidR="002464E5" w:rsidRPr="002464E5" w:rsidRDefault="002464E5" w:rsidP="002464E5">
      <w:pPr>
        <w:numPr>
          <w:ilvl w:val="1"/>
          <w:numId w:val="12"/>
        </w:numPr>
      </w:pPr>
      <w:r w:rsidRPr="002464E5">
        <w:t>Risk style (core, value-add, opportunistic)</w:t>
      </w:r>
    </w:p>
    <w:p w14:paraId="1FB420E7" w14:textId="77777777" w:rsidR="002464E5" w:rsidRPr="002464E5" w:rsidRDefault="002464E5" w:rsidP="002464E5">
      <w:pPr>
        <w:numPr>
          <w:ilvl w:val="1"/>
          <w:numId w:val="12"/>
        </w:numPr>
      </w:pPr>
      <w:r w:rsidRPr="002464E5">
        <w:t>Status (pre-marketing, first close, final close)</w:t>
      </w:r>
    </w:p>
    <w:p w14:paraId="5C5EF8F6" w14:textId="77777777" w:rsidR="002464E5" w:rsidRPr="002464E5" w:rsidRDefault="002464E5" w:rsidP="002464E5">
      <w:pPr>
        <w:numPr>
          <w:ilvl w:val="1"/>
          <w:numId w:val="12"/>
        </w:numPr>
      </w:pPr>
      <w:r w:rsidRPr="002464E5">
        <w:t>Manager track record</w:t>
      </w:r>
    </w:p>
    <w:p w14:paraId="4281D44D" w14:textId="77777777" w:rsidR="002464E5" w:rsidRPr="002464E5" w:rsidRDefault="002464E5" w:rsidP="002464E5">
      <w:pPr>
        <w:numPr>
          <w:ilvl w:val="1"/>
          <w:numId w:val="12"/>
        </w:numPr>
      </w:pPr>
      <w:r w:rsidRPr="002464E5">
        <w:t>Fee terms and structure</w:t>
      </w:r>
    </w:p>
    <w:p w14:paraId="09BA6D23" w14:textId="77777777" w:rsidR="002464E5" w:rsidRPr="002464E5" w:rsidRDefault="002464E5" w:rsidP="002464E5">
      <w:pPr>
        <w:rPr>
          <w:b/>
          <w:bCs/>
        </w:rPr>
      </w:pPr>
      <w:r w:rsidRPr="002464E5">
        <w:rPr>
          <w:b/>
          <w:bCs/>
        </w:rPr>
        <w:t>B. Deal Pipeline</w:t>
      </w:r>
    </w:p>
    <w:p w14:paraId="4FF97F0D" w14:textId="77777777" w:rsidR="002464E5" w:rsidRPr="002464E5" w:rsidRDefault="002464E5" w:rsidP="002464E5">
      <w:pPr>
        <w:numPr>
          <w:ilvl w:val="0"/>
          <w:numId w:val="13"/>
        </w:numPr>
      </w:pPr>
      <w:r w:rsidRPr="002464E5">
        <w:t>Tracks direct co-investment and one-off GP deal flow.</w:t>
      </w:r>
    </w:p>
    <w:p w14:paraId="318BFD6D" w14:textId="77777777" w:rsidR="002464E5" w:rsidRPr="002464E5" w:rsidRDefault="002464E5" w:rsidP="002464E5">
      <w:pPr>
        <w:numPr>
          <w:ilvl w:val="0"/>
          <w:numId w:val="13"/>
        </w:numPr>
      </w:pPr>
      <w:r w:rsidRPr="002464E5">
        <w:lastRenderedPageBreak/>
        <w:t>Tagging includes:</w:t>
      </w:r>
    </w:p>
    <w:p w14:paraId="6286010F" w14:textId="77777777" w:rsidR="002464E5" w:rsidRPr="002464E5" w:rsidRDefault="002464E5" w:rsidP="002464E5">
      <w:pPr>
        <w:numPr>
          <w:ilvl w:val="1"/>
          <w:numId w:val="13"/>
        </w:numPr>
      </w:pPr>
      <w:r w:rsidRPr="002464E5">
        <w:t>Region and sector</w:t>
      </w:r>
    </w:p>
    <w:p w14:paraId="49E37AB5" w14:textId="77777777" w:rsidR="002464E5" w:rsidRPr="002464E5" w:rsidRDefault="002464E5" w:rsidP="002464E5">
      <w:pPr>
        <w:numPr>
          <w:ilvl w:val="1"/>
          <w:numId w:val="13"/>
        </w:numPr>
      </w:pPr>
      <w:r w:rsidRPr="002464E5">
        <w:t>Cap rate</w:t>
      </w:r>
    </w:p>
    <w:p w14:paraId="36E75EED" w14:textId="77777777" w:rsidR="002464E5" w:rsidRPr="002464E5" w:rsidRDefault="002464E5" w:rsidP="002464E5">
      <w:pPr>
        <w:numPr>
          <w:ilvl w:val="1"/>
          <w:numId w:val="13"/>
        </w:numPr>
      </w:pPr>
      <w:r w:rsidRPr="002464E5">
        <w:t>Business plan type (lease-up, redevelopment, etc.)</w:t>
      </w:r>
    </w:p>
    <w:p w14:paraId="65317686" w14:textId="77777777" w:rsidR="002464E5" w:rsidRPr="002464E5" w:rsidRDefault="002464E5" w:rsidP="002464E5">
      <w:pPr>
        <w:numPr>
          <w:ilvl w:val="1"/>
          <w:numId w:val="13"/>
        </w:numPr>
      </w:pPr>
      <w:r w:rsidRPr="002464E5">
        <w:t>Sponsor underwriting</w:t>
      </w:r>
    </w:p>
    <w:p w14:paraId="359CD702" w14:textId="77777777" w:rsidR="002464E5" w:rsidRPr="002464E5" w:rsidRDefault="002464E5" w:rsidP="002464E5">
      <w:pPr>
        <w:numPr>
          <w:ilvl w:val="1"/>
          <w:numId w:val="13"/>
        </w:numPr>
      </w:pPr>
      <w:r w:rsidRPr="002464E5">
        <w:t>Deal status (live, closing, paused)</w:t>
      </w:r>
    </w:p>
    <w:p w14:paraId="5CF149E2" w14:textId="77777777" w:rsidR="002464E5" w:rsidRDefault="002464E5" w:rsidP="002464E5">
      <w:r w:rsidRPr="002464E5">
        <w:t xml:space="preserve">This fuels the </w:t>
      </w:r>
      <w:r w:rsidRPr="002464E5">
        <w:rPr>
          <w:b/>
          <w:bCs/>
        </w:rPr>
        <w:t>Fund &amp; Deal Pipeline Engine</w:t>
      </w:r>
      <w:r w:rsidRPr="002464E5">
        <w:t>, AI Capital Advisory, and Secondary Marketplace.</w:t>
      </w:r>
    </w:p>
    <w:p w14:paraId="2FAC3AFE" w14:textId="77777777" w:rsidR="002464E5" w:rsidRPr="002464E5" w:rsidRDefault="002F0F54" w:rsidP="002464E5">
      <w:r>
        <w:pict w14:anchorId="3B22F17D">
          <v:rect id="_x0000_i1030" style="width:0;height:1.5pt" o:hralign="center" o:hrstd="t" o:hr="t" fillcolor="#a0a0a0" stroked="f"/>
        </w:pict>
      </w:r>
    </w:p>
    <w:p w14:paraId="7D5FFE95" w14:textId="77777777" w:rsidR="002464E5" w:rsidRPr="002464E5" w:rsidRDefault="002464E5" w:rsidP="002464E5">
      <w:pPr>
        <w:rPr>
          <w:b/>
          <w:bCs/>
        </w:rPr>
      </w:pPr>
      <w:r w:rsidRPr="002464E5">
        <w:rPr>
          <w:b/>
          <w:bCs/>
        </w:rPr>
        <w:t>6. Townsend Brand &amp; Relationship Network</w:t>
      </w:r>
    </w:p>
    <w:p w14:paraId="66B691F0" w14:textId="77777777" w:rsidR="002464E5" w:rsidRPr="002464E5" w:rsidRDefault="002464E5" w:rsidP="002464E5">
      <w:r w:rsidRPr="002464E5">
        <w:t xml:space="preserve">Townsend’s </w:t>
      </w:r>
      <w:r w:rsidRPr="002464E5">
        <w:rPr>
          <w:b/>
          <w:bCs/>
        </w:rPr>
        <w:t>institutional reputation and client access</w:t>
      </w:r>
      <w:r w:rsidRPr="002464E5">
        <w:t xml:space="preserve"> built over 40+ years of serving global LPs and GPs in real estate, infrastructure, agriculture, and timber.</w:t>
      </w:r>
    </w:p>
    <w:p w14:paraId="05098F1D" w14:textId="77777777" w:rsidR="002464E5" w:rsidRPr="002464E5" w:rsidRDefault="002464E5" w:rsidP="002464E5">
      <w:pPr>
        <w:rPr>
          <w:b/>
          <w:bCs/>
        </w:rPr>
      </w:pPr>
      <w:r w:rsidRPr="002464E5">
        <w:rPr>
          <w:b/>
          <w:bCs/>
        </w:rPr>
        <w:t>Strengths:</w:t>
      </w:r>
    </w:p>
    <w:p w14:paraId="5AC406BA" w14:textId="77777777" w:rsidR="002464E5" w:rsidRPr="002464E5" w:rsidRDefault="002464E5" w:rsidP="002464E5">
      <w:pPr>
        <w:numPr>
          <w:ilvl w:val="0"/>
          <w:numId w:val="14"/>
        </w:numPr>
      </w:pPr>
      <w:r w:rsidRPr="002464E5">
        <w:rPr>
          <w:b/>
          <w:bCs/>
        </w:rPr>
        <w:t>Trusted advisor</w:t>
      </w:r>
      <w:r w:rsidRPr="002464E5">
        <w:t xml:space="preserve"> to the largest LPs worldwide (pensions, sovereigns, insurers, etc.)</w:t>
      </w:r>
    </w:p>
    <w:p w14:paraId="2D42FA71" w14:textId="77777777" w:rsidR="002464E5" w:rsidRPr="002464E5" w:rsidRDefault="002464E5" w:rsidP="002464E5">
      <w:pPr>
        <w:numPr>
          <w:ilvl w:val="0"/>
          <w:numId w:val="14"/>
        </w:numPr>
      </w:pPr>
      <w:r w:rsidRPr="002464E5">
        <w:t xml:space="preserve">Deep ties to </w:t>
      </w:r>
      <w:r w:rsidRPr="002464E5">
        <w:rPr>
          <w:b/>
          <w:bCs/>
        </w:rPr>
        <w:t>leading GPs</w:t>
      </w:r>
      <w:r w:rsidRPr="002464E5">
        <w:t>, including established global firms and emerging managers</w:t>
      </w:r>
    </w:p>
    <w:p w14:paraId="7D8E97F7" w14:textId="77777777" w:rsidR="002464E5" w:rsidRPr="002464E5" w:rsidRDefault="002464E5" w:rsidP="002464E5">
      <w:pPr>
        <w:numPr>
          <w:ilvl w:val="0"/>
          <w:numId w:val="14"/>
        </w:numPr>
      </w:pPr>
      <w:r w:rsidRPr="002464E5">
        <w:rPr>
          <w:b/>
          <w:bCs/>
        </w:rPr>
        <w:t>Unmatched LP visibility</w:t>
      </w:r>
      <w:r w:rsidRPr="002464E5">
        <w:t xml:space="preserve"> into capital flows and manager performance</w:t>
      </w:r>
    </w:p>
    <w:p w14:paraId="6268D38B" w14:textId="77777777" w:rsidR="002464E5" w:rsidRPr="002464E5" w:rsidRDefault="002464E5" w:rsidP="002464E5">
      <w:pPr>
        <w:numPr>
          <w:ilvl w:val="0"/>
          <w:numId w:val="14"/>
        </w:numPr>
      </w:pPr>
      <w:r w:rsidRPr="002464E5">
        <w:t xml:space="preserve">Known for </w:t>
      </w:r>
      <w:r w:rsidRPr="002464E5">
        <w:rPr>
          <w:b/>
          <w:bCs/>
        </w:rPr>
        <w:t>integrity, objectivity, and data discipline</w:t>
      </w:r>
    </w:p>
    <w:p w14:paraId="6A885C3A" w14:textId="77777777" w:rsidR="002464E5" w:rsidRPr="002464E5" w:rsidRDefault="002464E5" w:rsidP="002464E5">
      <w:pPr>
        <w:numPr>
          <w:ilvl w:val="0"/>
          <w:numId w:val="14"/>
        </w:numPr>
      </w:pPr>
      <w:r w:rsidRPr="002464E5">
        <w:t xml:space="preserve">Influential in </w:t>
      </w:r>
      <w:r w:rsidRPr="002464E5">
        <w:rPr>
          <w:b/>
          <w:bCs/>
        </w:rPr>
        <w:t>capital allocation and fund formation trends</w:t>
      </w:r>
    </w:p>
    <w:p w14:paraId="0C470A05" w14:textId="77777777" w:rsidR="002464E5" w:rsidRPr="002464E5" w:rsidRDefault="002464E5" w:rsidP="002464E5">
      <w:pPr>
        <w:numPr>
          <w:ilvl w:val="0"/>
          <w:numId w:val="14"/>
        </w:numPr>
      </w:pPr>
      <w:r w:rsidRPr="002464E5">
        <w:t>Embedded in industry working groups, research panels, and policy forums</w:t>
      </w:r>
    </w:p>
    <w:p w14:paraId="1C581957" w14:textId="77777777" w:rsidR="002464E5" w:rsidRPr="002464E5" w:rsidRDefault="002464E5" w:rsidP="002464E5">
      <w:r w:rsidRPr="002464E5">
        <w:t xml:space="preserve">The brand and network are essential to monetizing products like </w:t>
      </w:r>
      <w:r w:rsidRPr="002464E5">
        <w:rPr>
          <w:b/>
          <w:bCs/>
        </w:rPr>
        <w:t>AI Fund Ratings</w:t>
      </w:r>
      <w:r w:rsidRPr="002464E5">
        <w:t xml:space="preserve">, </w:t>
      </w:r>
      <w:r w:rsidRPr="002464E5">
        <w:rPr>
          <w:b/>
          <w:bCs/>
        </w:rPr>
        <w:t>GP Advisory</w:t>
      </w:r>
      <w:r w:rsidRPr="002464E5">
        <w:t xml:space="preserve">, </w:t>
      </w:r>
      <w:r w:rsidRPr="002464E5">
        <w:rPr>
          <w:b/>
          <w:bCs/>
        </w:rPr>
        <w:t>AI Capital Advisory</w:t>
      </w:r>
      <w:r w:rsidRPr="002464E5">
        <w:t xml:space="preserve">, and building a successful </w:t>
      </w:r>
      <w:r w:rsidRPr="002464E5">
        <w:rPr>
          <w:b/>
          <w:bCs/>
        </w:rPr>
        <w:t>Secondary Marketplace</w:t>
      </w:r>
      <w:r w:rsidRPr="002464E5">
        <w:t>.</w:t>
      </w:r>
    </w:p>
    <w:p w14:paraId="1A20EE48" w14:textId="77777777" w:rsidR="00656782" w:rsidRPr="002464E5" w:rsidRDefault="002F0F54" w:rsidP="00656782">
      <w:r>
        <w:pict w14:anchorId="64548937">
          <v:rect id="_x0000_i1031" style="width:0;height:1.5pt" o:hralign="center" o:hrstd="t" o:hr="t" fillcolor="#a0a0a0" stroked="f"/>
        </w:pict>
      </w:r>
    </w:p>
    <w:p w14:paraId="0821D545" w14:textId="77777777" w:rsidR="00056010" w:rsidRPr="00F751CE" w:rsidRDefault="00056010" w:rsidP="00056010">
      <w:pPr>
        <w:rPr>
          <w:b/>
          <w:bCs/>
        </w:rPr>
      </w:pPr>
      <w:r w:rsidRPr="00F751CE">
        <w:rPr>
          <w:b/>
          <w:bCs/>
        </w:rPr>
        <w:t>7. Townsend Proprietary Fund &amp; Deal Underwriting Models</w:t>
      </w:r>
    </w:p>
    <w:p w14:paraId="14FF6FAB" w14:textId="77777777" w:rsidR="00056010" w:rsidRPr="00F751CE" w:rsidRDefault="00056010" w:rsidP="00056010">
      <w:r w:rsidRPr="00F751CE">
        <w:rPr>
          <w:i/>
          <w:iCs/>
        </w:rPr>
        <w:t>A suite of modular, scenario-driven underwriting tools tailored to real asset strategies, fund types, and direct investments.</w:t>
      </w:r>
    </w:p>
    <w:p w14:paraId="266B9E0F" w14:textId="77777777" w:rsidR="00056010" w:rsidRPr="00F751CE" w:rsidRDefault="002F0F54" w:rsidP="00056010">
      <w:r>
        <w:pict w14:anchorId="45290FED">
          <v:rect id="_x0000_i1032" style="width:0;height:1.5pt" o:hralign="center" o:hrstd="t" o:hr="t" fillcolor="#a0a0a0" stroked="f"/>
        </w:pict>
      </w:r>
    </w:p>
    <w:p w14:paraId="099B5C00" w14:textId="77777777" w:rsidR="00056010" w:rsidRPr="00F751CE" w:rsidRDefault="00056010" w:rsidP="00056010">
      <w:pPr>
        <w:rPr>
          <w:b/>
          <w:bCs/>
        </w:rPr>
      </w:pPr>
      <w:r w:rsidRPr="00F751CE">
        <w:rPr>
          <w:b/>
          <w:bCs/>
        </w:rPr>
        <w:lastRenderedPageBreak/>
        <w:t>What the Capability Does</w:t>
      </w:r>
    </w:p>
    <w:p w14:paraId="28252878" w14:textId="77777777" w:rsidR="00056010" w:rsidRPr="00F751CE" w:rsidRDefault="00056010" w:rsidP="00056010">
      <w:r w:rsidRPr="00F751CE">
        <w:t xml:space="preserve">Townsend has developed a set of proprietary underwriting models designed to evaluate a wide range of </w:t>
      </w:r>
      <w:r w:rsidRPr="00F751CE">
        <w:rPr>
          <w:b/>
          <w:bCs/>
        </w:rPr>
        <w:t>private real asset investment structures</w:t>
      </w:r>
      <w:r w:rsidRPr="00F751CE">
        <w:t xml:space="preserve">. These models synthesize data from Townsend’s internal benchmarks, forecasts (VOTW), manager ratings (MCAF), and fee structure databases. They offer users the flexibility to use Townsend’s house views or </w:t>
      </w:r>
      <w:r w:rsidRPr="00F751CE">
        <w:rPr>
          <w:b/>
          <w:bCs/>
        </w:rPr>
        <w:t>bring their own assumptions (BYOA)</w:t>
      </w:r>
      <w:r w:rsidRPr="00F751CE">
        <w:t xml:space="preserve"> across critical variables like cap rates, rent growth, valuation adjustments, and leverage.</w:t>
      </w:r>
    </w:p>
    <w:p w14:paraId="348E4D79" w14:textId="77777777" w:rsidR="00056010" w:rsidRPr="00F751CE" w:rsidRDefault="002F0F54" w:rsidP="00056010">
      <w:r>
        <w:pict w14:anchorId="5354DE93">
          <v:rect id="_x0000_i1033" style="width:0;height:1.5pt" o:hralign="center" o:hrstd="t" o:hr="t" fillcolor="#a0a0a0" stroked="f"/>
        </w:pict>
      </w:r>
    </w:p>
    <w:p w14:paraId="523EF88B" w14:textId="77777777" w:rsidR="00056010" w:rsidRPr="00F751CE" w:rsidRDefault="00056010" w:rsidP="00056010">
      <w:pPr>
        <w:rPr>
          <w:b/>
          <w:bCs/>
        </w:rPr>
      </w:pPr>
      <w:r w:rsidRPr="00F751CE">
        <w:rPr>
          <w:b/>
          <w:bCs/>
        </w:rPr>
        <w:t>Key Model Categories &amp;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7205"/>
      </w:tblGrid>
      <w:tr w:rsidR="00056010" w:rsidRPr="00F751CE" w14:paraId="19B30DBA" w14:textId="77777777" w:rsidTr="0049418E">
        <w:trPr>
          <w:tblHeader/>
          <w:tblCellSpacing w:w="15" w:type="dxa"/>
        </w:trPr>
        <w:tc>
          <w:tcPr>
            <w:tcW w:w="0" w:type="auto"/>
            <w:vAlign w:val="center"/>
            <w:hideMark/>
          </w:tcPr>
          <w:p w14:paraId="54D1C150" w14:textId="77777777" w:rsidR="00056010" w:rsidRPr="00F751CE" w:rsidRDefault="00056010" w:rsidP="0049418E">
            <w:pPr>
              <w:rPr>
                <w:b/>
                <w:bCs/>
              </w:rPr>
            </w:pPr>
            <w:r w:rsidRPr="00F751CE">
              <w:rPr>
                <w:b/>
                <w:bCs/>
              </w:rPr>
              <w:t>Model Type</w:t>
            </w:r>
          </w:p>
        </w:tc>
        <w:tc>
          <w:tcPr>
            <w:tcW w:w="0" w:type="auto"/>
            <w:vAlign w:val="center"/>
            <w:hideMark/>
          </w:tcPr>
          <w:p w14:paraId="0DF20B95" w14:textId="77777777" w:rsidR="00056010" w:rsidRPr="00F751CE" w:rsidRDefault="00056010" w:rsidP="0049418E">
            <w:pPr>
              <w:rPr>
                <w:b/>
                <w:bCs/>
              </w:rPr>
            </w:pPr>
            <w:r w:rsidRPr="00F751CE">
              <w:rPr>
                <w:b/>
                <w:bCs/>
              </w:rPr>
              <w:t>Core Capabilities</w:t>
            </w:r>
          </w:p>
        </w:tc>
      </w:tr>
      <w:tr w:rsidR="00056010" w:rsidRPr="00F751CE" w14:paraId="22E837E4" w14:textId="77777777" w:rsidTr="0049418E">
        <w:trPr>
          <w:tblCellSpacing w:w="15" w:type="dxa"/>
        </w:trPr>
        <w:tc>
          <w:tcPr>
            <w:tcW w:w="0" w:type="auto"/>
            <w:vAlign w:val="center"/>
            <w:hideMark/>
          </w:tcPr>
          <w:p w14:paraId="05224DB3" w14:textId="77777777" w:rsidR="00056010" w:rsidRPr="00F751CE" w:rsidRDefault="00056010" w:rsidP="0049418E">
            <w:r w:rsidRPr="00F751CE">
              <w:rPr>
                <w:b/>
                <w:bCs/>
              </w:rPr>
              <w:t>1. Core Fund Model</w:t>
            </w:r>
          </w:p>
        </w:tc>
        <w:tc>
          <w:tcPr>
            <w:tcW w:w="0" w:type="auto"/>
            <w:vAlign w:val="center"/>
            <w:hideMark/>
          </w:tcPr>
          <w:p w14:paraId="100B7730" w14:textId="77777777" w:rsidR="00056010" w:rsidRPr="00F751CE" w:rsidRDefault="00056010" w:rsidP="0049418E">
            <w:r w:rsidRPr="00F751CE">
              <w:t>Evaluate open-end core funds using preloaded data (NAV, leverage, fee terms, sector mix, cap rates). Apply Townsend’s base case forecasts or user inputs. Includes risk-adjusted yield vs. region/sector peers.</w:t>
            </w:r>
          </w:p>
        </w:tc>
      </w:tr>
      <w:tr w:rsidR="00056010" w:rsidRPr="00F751CE" w14:paraId="42E6EC0E" w14:textId="77777777" w:rsidTr="0049418E">
        <w:trPr>
          <w:tblCellSpacing w:w="15" w:type="dxa"/>
        </w:trPr>
        <w:tc>
          <w:tcPr>
            <w:tcW w:w="0" w:type="auto"/>
            <w:vAlign w:val="center"/>
            <w:hideMark/>
          </w:tcPr>
          <w:p w14:paraId="41B4FC4C" w14:textId="77777777" w:rsidR="00056010" w:rsidRPr="00F751CE" w:rsidRDefault="00056010" w:rsidP="0049418E">
            <w:r w:rsidRPr="00F751CE">
              <w:rPr>
                <w:b/>
                <w:bCs/>
              </w:rPr>
              <w:t>2. Core Plus Fund Model</w:t>
            </w:r>
          </w:p>
        </w:tc>
        <w:tc>
          <w:tcPr>
            <w:tcW w:w="0" w:type="auto"/>
            <w:vAlign w:val="center"/>
            <w:hideMark/>
          </w:tcPr>
          <w:p w14:paraId="573FBA9D" w14:textId="77777777" w:rsidR="00056010" w:rsidRPr="00F751CE" w:rsidRDefault="00056010" w:rsidP="0049418E">
            <w:r w:rsidRPr="00F751CE">
              <w:t>Similar to core model, but adjusted for higher leverage and narrower sector exposure (e.g., industrial-only). Risk-return expectations updated accordingly.</w:t>
            </w:r>
          </w:p>
        </w:tc>
      </w:tr>
      <w:tr w:rsidR="00056010" w:rsidRPr="00F751CE" w14:paraId="14EE7787" w14:textId="77777777" w:rsidTr="0049418E">
        <w:trPr>
          <w:tblCellSpacing w:w="15" w:type="dxa"/>
        </w:trPr>
        <w:tc>
          <w:tcPr>
            <w:tcW w:w="0" w:type="auto"/>
            <w:vAlign w:val="center"/>
            <w:hideMark/>
          </w:tcPr>
          <w:p w14:paraId="2FFAB8D1" w14:textId="77777777" w:rsidR="00056010" w:rsidRPr="00F751CE" w:rsidRDefault="00056010" w:rsidP="0049418E">
            <w:r w:rsidRPr="00F751CE">
              <w:rPr>
                <w:b/>
                <w:bCs/>
              </w:rPr>
              <w:t>3. Value-Add Fund – With Seed</w:t>
            </w:r>
          </w:p>
        </w:tc>
        <w:tc>
          <w:tcPr>
            <w:tcW w:w="0" w:type="auto"/>
            <w:vAlign w:val="center"/>
            <w:hideMark/>
          </w:tcPr>
          <w:p w14:paraId="4090FAB3" w14:textId="77777777" w:rsidR="00056010" w:rsidRPr="00F751CE" w:rsidRDefault="00056010" w:rsidP="0049418E">
            <w:r w:rsidRPr="00F751CE">
              <w:t>Model accounts for existing asset-level business plans and overlays blind pool exposure. Supports Townsend or BYOA rent growth, exit cap, leverage assumptions. Captures layered fee analysis and stress-testing of sponsor return targets.</w:t>
            </w:r>
          </w:p>
        </w:tc>
      </w:tr>
      <w:tr w:rsidR="00056010" w:rsidRPr="00F751CE" w14:paraId="47B67211" w14:textId="77777777" w:rsidTr="0049418E">
        <w:trPr>
          <w:tblCellSpacing w:w="15" w:type="dxa"/>
        </w:trPr>
        <w:tc>
          <w:tcPr>
            <w:tcW w:w="0" w:type="auto"/>
            <w:vAlign w:val="center"/>
            <w:hideMark/>
          </w:tcPr>
          <w:p w14:paraId="1B6C28FF" w14:textId="77777777" w:rsidR="00056010" w:rsidRPr="00F751CE" w:rsidRDefault="00056010" w:rsidP="0049418E">
            <w:r w:rsidRPr="00F751CE">
              <w:rPr>
                <w:b/>
                <w:bCs/>
              </w:rPr>
              <w:t>4. Value-Add Fund – Blind Pool</w:t>
            </w:r>
          </w:p>
        </w:tc>
        <w:tc>
          <w:tcPr>
            <w:tcW w:w="0" w:type="auto"/>
            <w:vAlign w:val="center"/>
            <w:hideMark/>
          </w:tcPr>
          <w:p w14:paraId="1F6D85E5" w14:textId="77777777" w:rsidR="00056010" w:rsidRPr="00F751CE" w:rsidRDefault="00056010" w:rsidP="0049418E">
            <w:r w:rsidRPr="00F751CE">
              <w:t>Same as above but assumes no seed portfolio — increased modeling risk. Requires additional risk premium estimation.</w:t>
            </w:r>
          </w:p>
        </w:tc>
      </w:tr>
      <w:tr w:rsidR="00056010" w:rsidRPr="00F751CE" w14:paraId="31963CCA" w14:textId="77777777" w:rsidTr="0049418E">
        <w:trPr>
          <w:tblCellSpacing w:w="15" w:type="dxa"/>
        </w:trPr>
        <w:tc>
          <w:tcPr>
            <w:tcW w:w="0" w:type="auto"/>
            <w:vAlign w:val="center"/>
            <w:hideMark/>
          </w:tcPr>
          <w:p w14:paraId="3D42C1C7" w14:textId="77777777" w:rsidR="00056010" w:rsidRPr="00F751CE" w:rsidRDefault="00056010" w:rsidP="0049418E">
            <w:r w:rsidRPr="00F751CE">
              <w:rPr>
                <w:b/>
                <w:bCs/>
              </w:rPr>
              <w:t>5. SMAs / Fund-of-One</w:t>
            </w:r>
          </w:p>
        </w:tc>
        <w:tc>
          <w:tcPr>
            <w:tcW w:w="0" w:type="auto"/>
            <w:vAlign w:val="center"/>
            <w:hideMark/>
          </w:tcPr>
          <w:p w14:paraId="4510D3B2" w14:textId="77777777" w:rsidR="00056010" w:rsidRPr="00F751CE" w:rsidRDefault="00056010" w:rsidP="0049418E">
            <w:r w:rsidRPr="00F751CE">
              <w:t>Customized to reflect increased LP control, special terms, governance structures. Incorporates sponsor-specific historical deal-level performance.</w:t>
            </w:r>
          </w:p>
        </w:tc>
      </w:tr>
      <w:tr w:rsidR="00056010" w:rsidRPr="00F751CE" w14:paraId="4FCBD08F" w14:textId="77777777" w:rsidTr="0049418E">
        <w:trPr>
          <w:tblCellSpacing w:w="15" w:type="dxa"/>
        </w:trPr>
        <w:tc>
          <w:tcPr>
            <w:tcW w:w="0" w:type="auto"/>
            <w:vAlign w:val="center"/>
            <w:hideMark/>
          </w:tcPr>
          <w:p w14:paraId="6BA6E526" w14:textId="77777777" w:rsidR="00056010" w:rsidRPr="00F751CE" w:rsidRDefault="00056010" w:rsidP="0049418E">
            <w:r w:rsidRPr="00F751CE">
              <w:rPr>
                <w:b/>
                <w:bCs/>
              </w:rPr>
              <w:t>6. Single Asset</w:t>
            </w:r>
          </w:p>
        </w:tc>
        <w:tc>
          <w:tcPr>
            <w:tcW w:w="0" w:type="auto"/>
            <w:vAlign w:val="center"/>
            <w:hideMark/>
          </w:tcPr>
          <w:p w14:paraId="7CB1E5DA" w14:textId="77777777" w:rsidR="00056010" w:rsidRPr="00F751CE" w:rsidRDefault="00056010" w:rsidP="0049418E">
            <w:r w:rsidRPr="00F751CE">
              <w:t>Underwrites at the deal level using Townsend forecasts + scenario overlays. Risk metrics calculated from leverage, asset type, exit assumptions, lease-up risk.</w:t>
            </w:r>
          </w:p>
        </w:tc>
      </w:tr>
      <w:tr w:rsidR="00056010" w:rsidRPr="00F751CE" w14:paraId="7E972371" w14:textId="77777777" w:rsidTr="0049418E">
        <w:trPr>
          <w:tblCellSpacing w:w="15" w:type="dxa"/>
        </w:trPr>
        <w:tc>
          <w:tcPr>
            <w:tcW w:w="0" w:type="auto"/>
            <w:vAlign w:val="center"/>
            <w:hideMark/>
          </w:tcPr>
          <w:p w14:paraId="590CDB3C" w14:textId="77777777" w:rsidR="00056010" w:rsidRPr="00F751CE" w:rsidRDefault="00056010" w:rsidP="0049418E">
            <w:r w:rsidRPr="00F751CE">
              <w:rPr>
                <w:b/>
                <w:bCs/>
              </w:rPr>
              <w:t>7. Portfolio of Assets</w:t>
            </w:r>
          </w:p>
        </w:tc>
        <w:tc>
          <w:tcPr>
            <w:tcW w:w="0" w:type="auto"/>
            <w:vAlign w:val="center"/>
            <w:hideMark/>
          </w:tcPr>
          <w:p w14:paraId="5D436C1B" w14:textId="77777777" w:rsidR="00056010" w:rsidRPr="00F751CE" w:rsidRDefault="00056010" w:rsidP="0049418E">
            <w:r w:rsidRPr="00F751CE">
              <w:t>Aggregates single asset underwriting; models impact of portfolio-level diversification, correlation, fees, and leverage stacking.</w:t>
            </w:r>
          </w:p>
        </w:tc>
      </w:tr>
      <w:tr w:rsidR="00056010" w:rsidRPr="00F751CE" w14:paraId="3469D873" w14:textId="77777777" w:rsidTr="0049418E">
        <w:trPr>
          <w:tblCellSpacing w:w="15" w:type="dxa"/>
        </w:trPr>
        <w:tc>
          <w:tcPr>
            <w:tcW w:w="0" w:type="auto"/>
            <w:vAlign w:val="center"/>
            <w:hideMark/>
          </w:tcPr>
          <w:p w14:paraId="0737ABE0" w14:textId="77777777" w:rsidR="00056010" w:rsidRPr="00F751CE" w:rsidRDefault="00056010" w:rsidP="0049418E">
            <w:r w:rsidRPr="00F751CE">
              <w:rPr>
                <w:b/>
                <w:bCs/>
              </w:rPr>
              <w:lastRenderedPageBreak/>
              <w:t>8. Secondary Fund Investments</w:t>
            </w:r>
          </w:p>
        </w:tc>
        <w:tc>
          <w:tcPr>
            <w:tcW w:w="0" w:type="auto"/>
            <w:vAlign w:val="center"/>
            <w:hideMark/>
          </w:tcPr>
          <w:p w14:paraId="7DC973BB" w14:textId="77777777" w:rsidR="00056010" w:rsidRPr="00F751CE" w:rsidRDefault="00056010" w:rsidP="0049418E">
            <w:r w:rsidRPr="00F751CE">
              <w:t>Modeled like prespecified value-add fund but with retroactive cash flows and valuation overlays. Uses market-based discount/premium assumptions.</w:t>
            </w:r>
          </w:p>
        </w:tc>
      </w:tr>
      <w:tr w:rsidR="00056010" w:rsidRPr="00F751CE" w14:paraId="0AEAB7B0" w14:textId="77777777" w:rsidTr="0049418E">
        <w:trPr>
          <w:tblCellSpacing w:w="15" w:type="dxa"/>
        </w:trPr>
        <w:tc>
          <w:tcPr>
            <w:tcW w:w="0" w:type="auto"/>
            <w:vAlign w:val="center"/>
            <w:hideMark/>
          </w:tcPr>
          <w:p w14:paraId="5BA19602" w14:textId="77777777" w:rsidR="00056010" w:rsidRPr="00F751CE" w:rsidRDefault="00056010" w:rsidP="0049418E">
            <w:r w:rsidRPr="00F751CE">
              <w:rPr>
                <w:b/>
                <w:bCs/>
              </w:rPr>
              <w:t>9. GP Staking Opportunities</w:t>
            </w:r>
          </w:p>
        </w:tc>
        <w:tc>
          <w:tcPr>
            <w:tcW w:w="0" w:type="auto"/>
            <w:vAlign w:val="center"/>
            <w:hideMark/>
          </w:tcPr>
          <w:p w14:paraId="6104A996" w14:textId="77777777" w:rsidR="00056010" w:rsidRPr="00F751CE" w:rsidRDefault="00056010" w:rsidP="0049418E">
            <w:r w:rsidRPr="00F751CE">
              <w:t>Evaluates participation in sponsor economics, including share of promote, management fee stream, and valuation multiples.</w:t>
            </w:r>
          </w:p>
        </w:tc>
      </w:tr>
      <w:tr w:rsidR="00056010" w:rsidRPr="00F751CE" w14:paraId="620D5DCC" w14:textId="77777777" w:rsidTr="0049418E">
        <w:trPr>
          <w:tblCellSpacing w:w="15" w:type="dxa"/>
        </w:trPr>
        <w:tc>
          <w:tcPr>
            <w:tcW w:w="0" w:type="auto"/>
            <w:vAlign w:val="center"/>
            <w:hideMark/>
          </w:tcPr>
          <w:p w14:paraId="69958665" w14:textId="77777777" w:rsidR="00056010" w:rsidRPr="00F751CE" w:rsidRDefault="00056010" w:rsidP="0049418E">
            <w:r w:rsidRPr="00F751CE">
              <w:rPr>
                <w:b/>
                <w:bCs/>
              </w:rPr>
              <w:t>10. Entity-Level GP Investing</w:t>
            </w:r>
          </w:p>
        </w:tc>
        <w:tc>
          <w:tcPr>
            <w:tcW w:w="0" w:type="auto"/>
            <w:vAlign w:val="center"/>
            <w:hideMark/>
          </w:tcPr>
          <w:p w14:paraId="2851B805" w14:textId="77777777" w:rsidR="00056010" w:rsidRPr="00F751CE" w:rsidRDefault="00056010" w:rsidP="0049418E">
            <w:r w:rsidRPr="00F751CE">
              <w:t>PE-style valuation model for the GP business itself (EBITDA, recurring fee streams, operating margins, equity growth).</w:t>
            </w:r>
          </w:p>
        </w:tc>
      </w:tr>
      <w:tr w:rsidR="00056010" w:rsidRPr="00F751CE" w14:paraId="64B4AE25" w14:textId="77777777" w:rsidTr="0049418E">
        <w:trPr>
          <w:tblCellSpacing w:w="15" w:type="dxa"/>
        </w:trPr>
        <w:tc>
          <w:tcPr>
            <w:tcW w:w="0" w:type="auto"/>
            <w:vAlign w:val="center"/>
            <w:hideMark/>
          </w:tcPr>
          <w:p w14:paraId="35D44DFA" w14:textId="77777777" w:rsidR="00056010" w:rsidRPr="00F751CE" w:rsidRDefault="00056010" w:rsidP="0049418E">
            <w:r w:rsidRPr="00F751CE">
              <w:rPr>
                <w:b/>
                <w:bCs/>
              </w:rPr>
              <w:t>11. Entity + LP Commitment (Hybrid)</w:t>
            </w:r>
          </w:p>
        </w:tc>
        <w:tc>
          <w:tcPr>
            <w:tcW w:w="0" w:type="auto"/>
            <w:vAlign w:val="center"/>
            <w:hideMark/>
          </w:tcPr>
          <w:p w14:paraId="2CC034C1" w14:textId="77777777" w:rsidR="00056010" w:rsidRPr="00F751CE" w:rsidRDefault="00056010" w:rsidP="0049418E">
            <w:r w:rsidRPr="00F751CE">
              <w:t>Models combined exposure from both GP equity stake and LP investment in fund, with cross-leverage and cash flow integration.</w:t>
            </w:r>
          </w:p>
        </w:tc>
      </w:tr>
    </w:tbl>
    <w:p w14:paraId="0289C013" w14:textId="77777777" w:rsidR="00056010" w:rsidRPr="00F751CE" w:rsidRDefault="002F0F54" w:rsidP="00056010">
      <w:r>
        <w:pict w14:anchorId="79EB8152">
          <v:rect id="_x0000_i1034" style="width:0;height:1.5pt" o:hralign="center" o:hrstd="t" o:hr="t" fillcolor="#a0a0a0" stroked="f"/>
        </w:pict>
      </w:r>
    </w:p>
    <w:p w14:paraId="799A4B53" w14:textId="77777777" w:rsidR="00056010" w:rsidRPr="00F751CE" w:rsidRDefault="00056010" w:rsidP="00056010">
      <w:pPr>
        <w:rPr>
          <w:b/>
          <w:bCs/>
        </w:rPr>
      </w:pPr>
      <w:r w:rsidRPr="00F751CE">
        <w:rPr>
          <w:b/>
          <w:bCs/>
        </w:rPr>
        <w:t>Flexibility: Townsend or BYOA</w:t>
      </w:r>
    </w:p>
    <w:p w14:paraId="2F48B8B9" w14:textId="77777777" w:rsidR="00056010" w:rsidRPr="00F751CE" w:rsidRDefault="00056010" w:rsidP="00056010">
      <w:r w:rsidRPr="00F751CE">
        <w:t>All models offer users the ability to:</w:t>
      </w:r>
    </w:p>
    <w:p w14:paraId="13E36EA5" w14:textId="77777777" w:rsidR="00056010" w:rsidRPr="00F751CE" w:rsidRDefault="00056010" w:rsidP="00056010">
      <w:pPr>
        <w:numPr>
          <w:ilvl w:val="0"/>
          <w:numId w:val="31"/>
        </w:numPr>
      </w:pPr>
      <w:r w:rsidRPr="00F751CE">
        <w:t xml:space="preserve">Use </w:t>
      </w:r>
      <w:r w:rsidRPr="00F751CE">
        <w:rPr>
          <w:b/>
          <w:bCs/>
        </w:rPr>
        <w:t>Townsend house assumptions</w:t>
      </w:r>
      <w:r w:rsidRPr="00F751CE">
        <w:t xml:space="preserve"> (e.g., from VOTW, MCAF)</w:t>
      </w:r>
    </w:p>
    <w:p w14:paraId="171876D4" w14:textId="77777777" w:rsidR="00056010" w:rsidRPr="00F751CE" w:rsidRDefault="00056010" w:rsidP="00056010">
      <w:pPr>
        <w:numPr>
          <w:ilvl w:val="0"/>
          <w:numId w:val="31"/>
        </w:numPr>
      </w:pPr>
      <w:r w:rsidRPr="00F751CE">
        <w:t xml:space="preserve">Conduct </w:t>
      </w:r>
      <w:r w:rsidRPr="00F751CE">
        <w:rPr>
          <w:b/>
          <w:bCs/>
        </w:rPr>
        <w:t>sensitivity testing</w:t>
      </w:r>
      <w:r w:rsidRPr="00F751CE">
        <w:t xml:space="preserve"> (macro &amp; micro stress)</w:t>
      </w:r>
    </w:p>
    <w:p w14:paraId="2093500D" w14:textId="77777777" w:rsidR="00056010" w:rsidRPr="00F751CE" w:rsidRDefault="00056010" w:rsidP="00056010">
      <w:pPr>
        <w:numPr>
          <w:ilvl w:val="0"/>
          <w:numId w:val="31"/>
        </w:numPr>
      </w:pPr>
      <w:r w:rsidRPr="00F751CE">
        <w:t>Override any field with custom assumptions for:</w:t>
      </w:r>
    </w:p>
    <w:p w14:paraId="4E72BC91" w14:textId="77777777" w:rsidR="00056010" w:rsidRPr="00F751CE" w:rsidRDefault="00056010" w:rsidP="00056010">
      <w:pPr>
        <w:numPr>
          <w:ilvl w:val="1"/>
          <w:numId w:val="31"/>
        </w:numPr>
      </w:pPr>
      <w:r w:rsidRPr="00F751CE">
        <w:t>Entry/exit cap rates</w:t>
      </w:r>
    </w:p>
    <w:p w14:paraId="22B8E935" w14:textId="77777777" w:rsidR="00056010" w:rsidRPr="00F751CE" w:rsidRDefault="00056010" w:rsidP="00056010">
      <w:pPr>
        <w:numPr>
          <w:ilvl w:val="1"/>
          <w:numId w:val="31"/>
        </w:numPr>
      </w:pPr>
      <w:r w:rsidRPr="00F751CE">
        <w:t>Rent growth</w:t>
      </w:r>
    </w:p>
    <w:p w14:paraId="2AD76AA0" w14:textId="77777777" w:rsidR="00056010" w:rsidRPr="00F751CE" w:rsidRDefault="00056010" w:rsidP="00056010">
      <w:pPr>
        <w:numPr>
          <w:ilvl w:val="1"/>
          <w:numId w:val="31"/>
        </w:numPr>
      </w:pPr>
      <w:r w:rsidRPr="00F751CE">
        <w:t>Fee drag</w:t>
      </w:r>
    </w:p>
    <w:p w14:paraId="252243D5" w14:textId="77777777" w:rsidR="00056010" w:rsidRPr="00F751CE" w:rsidRDefault="00056010" w:rsidP="00056010">
      <w:pPr>
        <w:numPr>
          <w:ilvl w:val="1"/>
          <w:numId w:val="31"/>
        </w:numPr>
      </w:pPr>
      <w:r w:rsidRPr="00F751CE">
        <w:t>Leverage</w:t>
      </w:r>
    </w:p>
    <w:p w14:paraId="2E9115B3" w14:textId="77777777" w:rsidR="00056010" w:rsidRPr="00F751CE" w:rsidRDefault="00056010" w:rsidP="00056010">
      <w:pPr>
        <w:numPr>
          <w:ilvl w:val="1"/>
          <w:numId w:val="31"/>
        </w:numPr>
      </w:pPr>
      <w:r w:rsidRPr="00F751CE">
        <w:t>Volatility metrics</w:t>
      </w:r>
    </w:p>
    <w:p w14:paraId="146EDC88" w14:textId="0EFA4D45" w:rsidR="003821CC" w:rsidRPr="002464E5" w:rsidRDefault="002F0F54" w:rsidP="00056010">
      <w:pPr>
        <w:ind w:left="360"/>
      </w:pPr>
      <w:r>
        <w:pict w14:anchorId="5ACD1169">
          <v:rect id="_x0000_i1035" style="width:0;height:1.5pt" o:hralign="center" o:hrstd="t" o:hr="t" fillcolor="#a0a0a0" stroked="f"/>
        </w:pict>
      </w:r>
    </w:p>
    <w:p w14:paraId="2EC56068" w14:textId="07A2B66F" w:rsidR="00EB5B1A" w:rsidRDefault="00EB5B1A">
      <w:r>
        <w:br w:type="page"/>
      </w:r>
    </w:p>
    <w:p w14:paraId="083D6DA9" w14:textId="77777777" w:rsidR="00ED4843" w:rsidRPr="00ED4843" w:rsidRDefault="00ED4843" w:rsidP="00ED4843"/>
    <w:p w14:paraId="65103B9D" w14:textId="0150C4E2" w:rsidR="00ED4843" w:rsidRPr="00ED4843" w:rsidRDefault="00ED4843" w:rsidP="00ED4843">
      <w:pPr>
        <w:rPr>
          <w:b/>
          <w:bCs/>
        </w:rPr>
      </w:pPr>
      <w:r w:rsidRPr="00ED4843">
        <w:rPr>
          <w:b/>
          <w:bCs/>
        </w:rPr>
        <w:t xml:space="preserve">8. Portfolio </w:t>
      </w:r>
      <w:r w:rsidR="00D62486">
        <w:rPr>
          <w:b/>
          <w:bCs/>
        </w:rPr>
        <w:t>Intelligence</w:t>
      </w:r>
    </w:p>
    <w:p w14:paraId="3ACBDAF7" w14:textId="77777777" w:rsidR="00ED4843" w:rsidRPr="00ED4843" w:rsidRDefault="00ED4843" w:rsidP="00ED4843">
      <w:r w:rsidRPr="00ED4843">
        <w:rPr>
          <w:i/>
          <w:iCs/>
        </w:rPr>
        <w:t>Townsend’s proprietary capability for designing, monitoring, and rebalancing institutional real asset portfolios.</w:t>
      </w:r>
    </w:p>
    <w:p w14:paraId="399C02E8" w14:textId="77777777" w:rsidR="00ED4843" w:rsidRPr="00ED4843" w:rsidRDefault="002F0F54" w:rsidP="00ED4843">
      <w:r>
        <w:pict w14:anchorId="7CC2DB5E">
          <v:rect id="_x0000_i1036" style="width:0;height:1.5pt" o:hralign="center" o:hrstd="t" o:hr="t" fillcolor="#a0a0a0" stroked="f"/>
        </w:pict>
      </w:r>
    </w:p>
    <w:p w14:paraId="31285B91" w14:textId="77777777" w:rsidR="00ED4843" w:rsidRPr="00ED4843" w:rsidRDefault="00ED4843" w:rsidP="00ED4843">
      <w:pPr>
        <w:rPr>
          <w:b/>
          <w:bCs/>
        </w:rPr>
      </w:pPr>
      <w:r w:rsidRPr="00ED4843">
        <w:rPr>
          <w:b/>
          <w:bCs/>
        </w:rPr>
        <w:t>What the Capability Does</w:t>
      </w:r>
    </w:p>
    <w:p w14:paraId="744DA8FB" w14:textId="77777777" w:rsidR="00ED4843" w:rsidRPr="00ED4843" w:rsidRDefault="00ED4843" w:rsidP="00ED4843">
      <w:r w:rsidRPr="00ED4843">
        <w:t xml:space="preserve">Townsend’s Portfolio Management &amp; Reporting capability provides institutional investors with a deeply customized, forward-looking framework to </w:t>
      </w:r>
      <w:r w:rsidRPr="00ED4843">
        <w:rPr>
          <w:b/>
          <w:bCs/>
        </w:rPr>
        <w:t>construct, manage, and continuously optimize</w:t>
      </w:r>
      <w:r w:rsidRPr="00ED4843">
        <w:t xml:space="preserve"> their real asset portfolios. The system integrates allocation strategy, pacing, risk management, and performance attribution across real estate, infrastructure, agriculture, and timber.</w:t>
      </w:r>
    </w:p>
    <w:p w14:paraId="6258A72F" w14:textId="77777777" w:rsidR="00ED4843" w:rsidRPr="00ED4843" w:rsidRDefault="00ED4843" w:rsidP="00ED4843">
      <w:r w:rsidRPr="00ED4843">
        <w:t>It reflects over 40 years of experience across discretionary and advisory mandates and leverages Townsend’s proprietary data, forecasts, underwriting systems, and benchmarking infrastructure.</w:t>
      </w:r>
    </w:p>
    <w:p w14:paraId="7E12959B" w14:textId="77777777" w:rsidR="00ED4843" w:rsidRPr="00ED4843" w:rsidRDefault="002F0F54" w:rsidP="00ED4843">
      <w:r>
        <w:pict w14:anchorId="5A66A2E0">
          <v:rect id="_x0000_i1037" style="width:0;height:1.5pt" o:hralign="center" o:hrstd="t" o:hr="t" fillcolor="#a0a0a0" stroked="f"/>
        </w:pict>
      </w:r>
    </w:p>
    <w:p w14:paraId="2A024BDA" w14:textId="77777777" w:rsidR="00ED4843" w:rsidRPr="00ED4843" w:rsidRDefault="00ED4843" w:rsidP="00ED4843">
      <w:pPr>
        <w:rPr>
          <w:b/>
          <w:bCs/>
        </w:rPr>
      </w:pPr>
      <w:r w:rsidRPr="00ED4843">
        <w:rPr>
          <w:b/>
          <w:bCs/>
        </w:rPr>
        <w:t>Key Functional Components</w:t>
      </w:r>
    </w:p>
    <w:p w14:paraId="3524BD71" w14:textId="77777777" w:rsidR="00ED4843" w:rsidRPr="00ED4843" w:rsidRDefault="00ED4843" w:rsidP="00ED4843">
      <w:pPr>
        <w:numPr>
          <w:ilvl w:val="0"/>
          <w:numId w:val="36"/>
        </w:numPr>
      </w:pPr>
      <w:r w:rsidRPr="00ED4843">
        <w:rPr>
          <w:b/>
          <w:bCs/>
        </w:rPr>
        <w:t>Strategic and Tactical Allocation Planning</w:t>
      </w:r>
    </w:p>
    <w:p w14:paraId="5D846A52" w14:textId="77777777" w:rsidR="00ED4843" w:rsidRPr="00ED4843" w:rsidRDefault="00ED4843" w:rsidP="00ED4843">
      <w:pPr>
        <w:numPr>
          <w:ilvl w:val="1"/>
          <w:numId w:val="36"/>
        </w:numPr>
      </w:pPr>
      <w:r w:rsidRPr="00ED4843">
        <w:t>Divides allocation into:</w:t>
      </w:r>
    </w:p>
    <w:p w14:paraId="3BEFB690" w14:textId="77777777" w:rsidR="00ED4843" w:rsidRPr="00ED4843" w:rsidRDefault="00ED4843" w:rsidP="00ED4843">
      <w:pPr>
        <w:numPr>
          <w:ilvl w:val="2"/>
          <w:numId w:val="36"/>
        </w:numPr>
      </w:pPr>
      <w:r w:rsidRPr="00ED4843">
        <w:rPr>
          <w:b/>
          <w:bCs/>
        </w:rPr>
        <w:t>Strategic investments</w:t>
      </w:r>
      <w:r w:rsidRPr="00ED4843">
        <w:t>: core and core plus strategies aimed at long-term stability</w:t>
      </w:r>
    </w:p>
    <w:p w14:paraId="763B85EE" w14:textId="77777777" w:rsidR="00ED4843" w:rsidRPr="00ED4843" w:rsidRDefault="00ED4843" w:rsidP="00ED4843">
      <w:pPr>
        <w:numPr>
          <w:ilvl w:val="2"/>
          <w:numId w:val="36"/>
        </w:numPr>
      </w:pPr>
      <w:r w:rsidRPr="00ED4843">
        <w:rPr>
          <w:b/>
          <w:bCs/>
        </w:rPr>
        <w:t>Tactical investments</w:t>
      </w:r>
      <w:r w:rsidRPr="00ED4843">
        <w:t>: value-add and opportunistic strategies focused on alpha generation</w:t>
      </w:r>
    </w:p>
    <w:p w14:paraId="648DF092" w14:textId="77777777" w:rsidR="00ED4843" w:rsidRPr="00ED4843" w:rsidRDefault="00ED4843" w:rsidP="00ED4843">
      <w:pPr>
        <w:numPr>
          <w:ilvl w:val="1"/>
          <w:numId w:val="36"/>
        </w:numPr>
      </w:pPr>
      <w:r w:rsidRPr="00ED4843">
        <w:t>Driven by:</w:t>
      </w:r>
    </w:p>
    <w:p w14:paraId="34530DA5" w14:textId="77777777" w:rsidR="00ED4843" w:rsidRPr="00ED4843" w:rsidRDefault="00ED4843" w:rsidP="00ED4843">
      <w:pPr>
        <w:numPr>
          <w:ilvl w:val="2"/>
          <w:numId w:val="36"/>
        </w:numPr>
      </w:pPr>
      <w:r w:rsidRPr="00ED4843">
        <w:t>Client-specific return targets, liquidity needs, and risk tolerance</w:t>
      </w:r>
    </w:p>
    <w:p w14:paraId="713F4F66" w14:textId="77777777" w:rsidR="00ED4843" w:rsidRPr="00ED4843" w:rsidRDefault="00ED4843" w:rsidP="00ED4843">
      <w:pPr>
        <w:numPr>
          <w:ilvl w:val="2"/>
          <w:numId w:val="36"/>
        </w:numPr>
      </w:pPr>
      <w:r w:rsidRPr="00ED4843">
        <w:t xml:space="preserve">Diversification rules: by </w:t>
      </w:r>
      <w:r w:rsidRPr="00ED4843">
        <w:rPr>
          <w:b/>
          <w:bCs/>
        </w:rPr>
        <w:t>sector, region, vintage, risk level, and manager concentration</w:t>
      </w:r>
    </w:p>
    <w:p w14:paraId="24D601CE" w14:textId="77777777" w:rsidR="00ED4843" w:rsidRPr="00ED4843" w:rsidRDefault="00ED4843" w:rsidP="00ED4843">
      <w:pPr>
        <w:numPr>
          <w:ilvl w:val="0"/>
          <w:numId w:val="36"/>
        </w:numPr>
      </w:pPr>
      <w:r w:rsidRPr="00ED4843">
        <w:rPr>
          <w:b/>
          <w:bCs/>
        </w:rPr>
        <w:t>Pacing Plan Construction</w:t>
      </w:r>
    </w:p>
    <w:p w14:paraId="410FF827" w14:textId="77777777" w:rsidR="00ED4843" w:rsidRPr="00ED4843" w:rsidRDefault="00ED4843" w:rsidP="00ED4843">
      <w:pPr>
        <w:numPr>
          <w:ilvl w:val="1"/>
          <w:numId w:val="36"/>
        </w:numPr>
      </w:pPr>
      <w:r w:rsidRPr="00ED4843">
        <w:t>Determines required capital deployment per year based on:</w:t>
      </w:r>
    </w:p>
    <w:p w14:paraId="1CAFD27A" w14:textId="77777777" w:rsidR="00ED4843" w:rsidRPr="00ED4843" w:rsidRDefault="00ED4843" w:rsidP="00ED4843">
      <w:pPr>
        <w:numPr>
          <w:ilvl w:val="2"/>
          <w:numId w:val="36"/>
        </w:numPr>
      </w:pPr>
      <w:r w:rsidRPr="00ED4843">
        <w:t>Target allocation</w:t>
      </w:r>
    </w:p>
    <w:p w14:paraId="202A51C9" w14:textId="77777777" w:rsidR="00ED4843" w:rsidRPr="00ED4843" w:rsidRDefault="00ED4843" w:rsidP="00ED4843">
      <w:pPr>
        <w:numPr>
          <w:ilvl w:val="2"/>
          <w:numId w:val="36"/>
        </w:numPr>
      </w:pPr>
      <w:r w:rsidRPr="00ED4843">
        <w:lastRenderedPageBreak/>
        <w:t>Net cash flow (contributions, distributions, return of capital)</w:t>
      </w:r>
    </w:p>
    <w:p w14:paraId="12906018" w14:textId="77777777" w:rsidR="00ED4843" w:rsidRPr="00ED4843" w:rsidRDefault="00ED4843" w:rsidP="00ED4843">
      <w:pPr>
        <w:numPr>
          <w:ilvl w:val="2"/>
          <w:numId w:val="36"/>
        </w:numPr>
      </w:pPr>
      <w:r w:rsidRPr="00ED4843">
        <w:t>Forecasted deployment timelines and pipeline availability</w:t>
      </w:r>
    </w:p>
    <w:p w14:paraId="47C3248D" w14:textId="77777777" w:rsidR="00ED4843" w:rsidRPr="00ED4843" w:rsidRDefault="00ED4843" w:rsidP="00ED4843">
      <w:pPr>
        <w:numPr>
          <w:ilvl w:val="1"/>
          <w:numId w:val="36"/>
        </w:numPr>
      </w:pPr>
      <w:r w:rsidRPr="00ED4843">
        <w:t>Supports accurate long-term capital planning and helps avoid over/underexposure</w:t>
      </w:r>
    </w:p>
    <w:p w14:paraId="245E1907" w14:textId="77777777" w:rsidR="00ED4843" w:rsidRPr="00ED4843" w:rsidRDefault="00ED4843" w:rsidP="00ED4843">
      <w:pPr>
        <w:numPr>
          <w:ilvl w:val="0"/>
          <w:numId w:val="36"/>
        </w:numPr>
      </w:pPr>
      <w:r w:rsidRPr="00ED4843">
        <w:rPr>
          <w:b/>
          <w:bCs/>
        </w:rPr>
        <w:t>Performance Measurement &amp; Benchmarking</w:t>
      </w:r>
    </w:p>
    <w:p w14:paraId="48F2F949" w14:textId="77777777" w:rsidR="00ED4843" w:rsidRPr="00ED4843" w:rsidRDefault="00ED4843" w:rsidP="00ED4843">
      <w:pPr>
        <w:numPr>
          <w:ilvl w:val="1"/>
          <w:numId w:val="36"/>
        </w:numPr>
      </w:pPr>
      <w:r w:rsidRPr="00ED4843">
        <w:t>Aggregates fund-level, SMA, co-investment, and direct deal returns on a quarterly basis</w:t>
      </w:r>
    </w:p>
    <w:p w14:paraId="2C5233E5" w14:textId="77777777" w:rsidR="00ED4843" w:rsidRPr="00ED4843" w:rsidRDefault="00ED4843" w:rsidP="00ED4843">
      <w:pPr>
        <w:numPr>
          <w:ilvl w:val="1"/>
          <w:numId w:val="36"/>
        </w:numPr>
      </w:pPr>
      <w:r w:rsidRPr="00ED4843">
        <w:t>Calculates:</w:t>
      </w:r>
    </w:p>
    <w:p w14:paraId="689DB1E1" w14:textId="77777777" w:rsidR="00ED4843" w:rsidRPr="00ED4843" w:rsidRDefault="00ED4843" w:rsidP="00ED4843">
      <w:pPr>
        <w:numPr>
          <w:ilvl w:val="2"/>
          <w:numId w:val="36"/>
        </w:numPr>
      </w:pPr>
      <w:r w:rsidRPr="00ED4843">
        <w:t>Gross and net total return</w:t>
      </w:r>
    </w:p>
    <w:p w14:paraId="04BDEED7" w14:textId="77777777" w:rsidR="00ED4843" w:rsidRPr="00ED4843" w:rsidRDefault="00ED4843" w:rsidP="00ED4843">
      <w:pPr>
        <w:numPr>
          <w:ilvl w:val="2"/>
          <w:numId w:val="36"/>
        </w:numPr>
      </w:pPr>
      <w:r w:rsidRPr="00ED4843">
        <w:t>Gross and net equity multiples</w:t>
      </w:r>
    </w:p>
    <w:p w14:paraId="05806961" w14:textId="77777777" w:rsidR="00ED4843" w:rsidRPr="00ED4843" w:rsidRDefault="00ED4843" w:rsidP="00ED4843">
      <w:pPr>
        <w:numPr>
          <w:ilvl w:val="2"/>
          <w:numId w:val="36"/>
        </w:numPr>
      </w:pPr>
      <w:r w:rsidRPr="00ED4843">
        <w:t>IRRs, cash-on-cash returns</w:t>
      </w:r>
    </w:p>
    <w:p w14:paraId="2A57555A" w14:textId="77777777" w:rsidR="00ED4843" w:rsidRPr="00ED4843" w:rsidRDefault="00ED4843" w:rsidP="00ED4843">
      <w:pPr>
        <w:numPr>
          <w:ilvl w:val="1"/>
          <w:numId w:val="36"/>
        </w:numPr>
      </w:pPr>
      <w:r w:rsidRPr="00ED4843">
        <w:t>Benchmarks performance vs. agreed-upon sector or peer benchmarks (via Townsend’s Smart Benchmarking product)</w:t>
      </w:r>
    </w:p>
    <w:p w14:paraId="7372307D" w14:textId="77777777" w:rsidR="00ED4843" w:rsidRPr="00ED4843" w:rsidRDefault="00ED4843" w:rsidP="00ED4843">
      <w:pPr>
        <w:numPr>
          <w:ilvl w:val="0"/>
          <w:numId w:val="36"/>
        </w:numPr>
      </w:pPr>
      <w:r w:rsidRPr="00ED4843">
        <w:rPr>
          <w:b/>
          <w:bCs/>
        </w:rPr>
        <w:t>Forward-Looking Rebalancing Analysis</w:t>
      </w:r>
    </w:p>
    <w:p w14:paraId="7EBB2098" w14:textId="77777777" w:rsidR="00ED4843" w:rsidRPr="00ED4843" w:rsidRDefault="00ED4843" w:rsidP="00ED4843">
      <w:pPr>
        <w:numPr>
          <w:ilvl w:val="1"/>
          <w:numId w:val="36"/>
        </w:numPr>
      </w:pPr>
      <w:r w:rsidRPr="00ED4843">
        <w:t xml:space="preserve">Uses </w:t>
      </w:r>
      <w:r w:rsidRPr="00ED4843">
        <w:rPr>
          <w:b/>
          <w:bCs/>
        </w:rPr>
        <w:t>VOTW return forecasts and sector volatility estimates</w:t>
      </w:r>
      <w:r w:rsidRPr="00ED4843">
        <w:t xml:space="preserve"> to model future performance expectations</w:t>
      </w:r>
    </w:p>
    <w:p w14:paraId="6BDE6AB7" w14:textId="77777777" w:rsidR="00ED4843" w:rsidRPr="00ED4843" w:rsidRDefault="00ED4843" w:rsidP="00ED4843">
      <w:pPr>
        <w:numPr>
          <w:ilvl w:val="1"/>
          <w:numId w:val="36"/>
        </w:numPr>
      </w:pPr>
      <w:r w:rsidRPr="00ED4843">
        <w:t>Evaluates existing exposures against optimal model portfolios</w:t>
      </w:r>
    </w:p>
    <w:p w14:paraId="4EB0E64A" w14:textId="77777777" w:rsidR="00ED4843" w:rsidRPr="00ED4843" w:rsidRDefault="00ED4843" w:rsidP="00ED4843">
      <w:pPr>
        <w:numPr>
          <w:ilvl w:val="1"/>
          <w:numId w:val="36"/>
        </w:numPr>
      </w:pPr>
      <w:r w:rsidRPr="00ED4843">
        <w:t xml:space="preserve">Produces </w:t>
      </w:r>
      <w:r w:rsidRPr="00ED4843">
        <w:rPr>
          <w:b/>
          <w:bCs/>
        </w:rPr>
        <w:t>buy/sell recommendations</w:t>
      </w:r>
      <w:r w:rsidRPr="00ED4843">
        <w:t xml:space="preserve"> in both </w:t>
      </w:r>
      <w:r w:rsidRPr="00ED4843">
        <w:rPr>
          <w:b/>
          <w:bCs/>
        </w:rPr>
        <w:t>primary and secondary markets</w:t>
      </w:r>
      <w:r w:rsidRPr="00ED4843">
        <w:t xml:space="preserve"> to realign portfolios with:</w:t>
      </w:r>
    </w:p>
    <w:p w14:paraId="737F8FCD" w14:textId="77777777" w:rsidR="00ED4843" w:rsidRPr="00ED4843" w:rsidRDefault="00ED4843" w:rsidP="00ED4843">
      <w:pPr>
        <w:numPr>
          <w:ilvl w:val="2"/>
          <w:numId w:val="36"/>
        </w:numPr>
      </w:pPr>
      <w:r w:rsidRPr="00ED4843">
        <w:t>Evolving market conditions</w:t>
      </w:r>
    </w:p>
    <w:p w14:paraId="7FBCB364" w14:textId="77777777" w:rsidR="00ED4843" w:rsidRPr="00ED4843" w:rsidRDefault="00ED4843" w:rsidP="00ED4843">
      <w:pPr>
        <w:numPr>
          <w:ilvl w:val="2"/>
          <w:numId w:val="36"/>
        </w:numPr>
      </w:pPr>
      <w:r w:rsidRPr="00ED4843">
        <w:t>LP investment goals</w:t>
      </w:r>
    </w:p>
    <w:p w14:paraId="053AF05A" w14:textId="77777777" w:rsidR="00ED4843" w:rsidRPr="00ED4843" w:rsidRDefault="00ED4843" w:rsidP="00ED4843">
      <w:pPr>
        <w:numPr>
          <w:ilvl w:val="2"/>
          <w:numId w:val="36"/>
        </w:numPr>
      </w:pPr>
      <w:r w:rsidRPr="00ED4843">
        <w:t>Sector/strategy misalignments</w:t>
      </w:r>
    </w:p>
    <w:p w14:paraId="41236B43" w14:textId="77777777" w:rsidR="00ED4843" w:rsidRPr="00ED4843" w:rsidRDefault="00ED4843" w:rsidP="00ED4843">
      <w:pPr>
        <w:numPr>
          <w:ilvl w:val="0"/>
          <w:numId w:val="36"/>
        </w:numPr>
      </w:pPr>
      <w:r w:rsidRPr="00ED4843">
        <w:rPr>
          <w:b/>
          <w:bCs/>
        </w:rPr>
        <w:t>Annual Strategy Review</w:t>
      </w:r>
    </w:p>
    <w:p w14:paraId="06D6B685" w14:textId="77777777" w:rsidR="00ED4843" w:rsidRPr="00ED4843" w:rsidRDefault="00ED4843" w:rsidP="00ED4843">
      <w:pPr>
        <w:numPr>
          <w:ilvl w:val="1"/>
          <w:numId w:val="36"/>
        </w:numPr>
      </w:pPr>
      <w:r w:rsidRPr="00ED4843">
        <w:t>Full re-evaluation of allocation assumptions, liquidity, pacing, sector/strategy weights, and new macro trends</w:t>
      </w:r>
    </w:p>
    <w:p w14:paraId="7624C33C" w14:textId="77777777" w:rsidR="00ED4843" w:rsidRPr="00ED4843" w:rsidRDefault="00ED4843" w:rsidP="00ED4843">
      <w:pPr>
        <w:numPr>
          <w:ilvl w:val="1"/>
          <w:numId w:val="36"/>
        </w:numPr>
      </w:pPr>
      <w:r w:rsidRPr="00ED4843">
        <w:t>Informs annual updates to Strategic Plan, Investment Policy, and sector/manager preferences</w:t>
      </w:r>
    </w:p>
    <w:p w14:paraId="7B62DA77" w14:textId="77777777" w:rsidR="00ED4843" w:rsidRPr="00ED4843" w:rsidRDefault="002F0F54" w:rsidP="00ED4843">
      <w:r>
        <w:pict w14:anchorId="2E8363C9">
          <v:rect id="_x0000_i1038" style="width:0;height:1.5pt" o:hralign="center" o:hrstd="t" o:hr="t" fillcolor="#a0a0a0" stroked="f"/>
        </w:pict>
      </w:r>
    </w:p>
    <w:p w14:paraId="1A64093C" w14:textId="77777777" w:rsidR="00ED4843" w:rsidRPr="00ED4843" w:rsidRDefault="00ED4843" w:rsidP="00ED4843">
      <w:pPr>
        <w:rPr>
          <w:b/>
          <w:bCs/>
        </w:rPr>
      </w:pPr>
      <w:r w:rsidRPr="00ED4843">
        <w:rPr>
          <w:b/>
          <w:bCs/>
        </w:rPr>
        <w:lastRenderedPageBreak/>
        <w:t>Capabilities Used</w:t>
      </w:r>
    </w:p>
    <w:p w14:paraId="0AC2FBF9" w14:textId="77777777" w:rsidR="00ED4843" w:rsidRPr="00ED4843" w:rsidRDefault="00ED4843" w:rsidP="00ED4843">
      <w:pPr>
        <w:numPr>
          <w:ilvl w:val="0"/>
          <w:numId w:val="37"/>
        </w:numPr>
      </w:pPr>
      <w:r w:rsidRPr="00ED4843">
        <w:rPr>
          <w:rFonts w:ascii="Segoe UI Emoji" w:hAnsi="Segoe UI Emoji" w:cs="Segoe UI Emoji"/>
        </w:rPr>
        <w:t>✅</w:t>
      </w:r>
      <w:r w:rsidRPr="00ED4843">
        <w:t xml:space="preserve"> </w:t>
      </w:r>
      <w:r w:rsidRPr="00ED4843">
        <w:rPr>
          <w:b/>
          <w:bCs/>
        </w:rPr>
        <w:t>VOTW Forecasting Engine</w:t>
      </w:r>
      <w:r w:rsidRPr="00ED4843">
        <w:t xml:space="preserve"> – Sector and macro return assumptions</w:t>
      </w:r>
    </w:p>
    <w:p w14:paraId="75492345" w14:textId="77777777" w:rsidR="00ED4843" w:rsidRPr="00ED4843" w:rsidRDefault="00ED4843" w:rsidP="00ED4843">
      <w:pPr>
        <w:numPr>
          <w:ilvl w:val="0"/>
          <w:numId w:val="37"/>
        </w:numPr>
      </w:pPr>
      <w:r w:rsidRPr="00ED4843">
        <w:rPr>
          <w:rFonts w:ascii="Segoe UI Emoji" w:hAnsi="Segoe UI Emoji" w:cs="Segoe UI Emoji"/>
        </w:rPr>
        <w:t>✅</w:t>
      </w:r>
      <w:r w:rsidRPr="00ED4843">
        <w:t xml:space="preserve"> </w:t>
      </w:r>
      <w:r w:rsidRPr="00ED4843">
        <w:rPr>
          <w:b/>
          <w:bCs/>
        </w:rPr>
        <w:t>Performance Database</w:t>
      </w:r>
      <w:r w:rsidRPr="00ED4843">
        <w:t xml:space="preserve"> – Historical returns by strategy, region, sector, and manager</w:t>
      </w:r>
    </w:p>
    <w:p w14:paraId="11DB0787" w14:textId="77777777" w:rsidR="00ED4843" w:rsidRPr="00ED4843" w:rsidRDefault="00ED4843" w:rsidP="00ED4843">
      <w:pPr>
        <w:numPr>
          <w:ilvl w:val="0"/>
          <w:numId w:val="37"/>
        </w:numPr>
      </w:pPr>
      <w:r w:rsidRPr="00ED4843">
        <w:rPr>
          <w:rFonts w:ascii="Segoe UI Emoji" w:hAnsi="Segoe UI Emoji" w:cs="Segoe UI Emoji"/>
        </w:rPr>
        <w:t>✅</w:t>
      </w:r>
      <w:r w:rsidRPr="00ED4843">
        <w:t xml:space="preserve"> </w:t>
      </w:r>
      <w:r w:rsidRPr="00ED4843">
        <w:rPr>
          <w:b/>
          <w:bCs/>
        </w:rPr>
        <w:t>Smart Benchmarking</w:t>
      </w:r>
      <w:r w:rsidRPr="00ED4843">
        <w:t xml:space="preserve"> – Peer and sector-specific return comparisons</w:t>
      </w:r>
    </w:p>
    <w:p w14:paraId="1ABC8A75" w14:textId="77777777" w:rsidR="00ED4843" w:rsidRPr="00ED4843" w:rsidRDefault="00ED4843" w:rsidP="00ED4843">
      <w:pPr>
        <w:numPr>
          <w:ilvl w:val="0"/>
          <w:numId w:val="37"/>
        </w:numPr>
      </w:pPr>
      <w:r w:rsidRPr="00ED4843">
        <w:rPr>
          <w:rFonts w:ascii="Segoe UI Emoji" w:hAnsi="Segoe UI Emoji" w:cs="Segoe UI Emoji"/>
        </w:rPr>
        <w:t>✅</w:t>
      </w:r>
      <w:r w:rsidRPr="00ED4843">
        <w:t xml:space="preserve"> </w:t>
      </w:r>
      <w:r w:rsidRPr="00ED4843">
        <w:rPr>
          <w:b/>
          <w:bCs/>
        </w:rPr>
        <w:t>ModelSuite</w:t>
      </w:r>
      <w:r w:rsidRPr="00ED4843">
        <w:t xml:space="preserve"> – Used to simulate future outcomes and rebalancing paths</w:t>
      </w:r>
    </w:p>
    <w:p w14:paraId="4E1857C3" w14:textId="77777777" w:rsidR="00ED4843" w:rsidRPr="00ED4843" w:rsidRDefault="00ED4843" w:rsidP="00ED4843">
      <w:pPr>
        <w:numPr>
          <w:ilvl w:val="0"/>
          <w:numId w:val="37"/>
        </w:numPr>
      </w:pPr>
      <w:r w:rsidRPr="00ED4843">
        <w:rPr>
          <w:rFonts w:ascii="Segoe UI Emoji" w:hAnsi="Segoe UI Emoji" w:cs="Segoe UI Emoji"/>
        </w:rPr>
        <w:t>✅</w:t>
      </w:r>
      <w:r w:rsidRPr="00ED4843">
        <w:t xml:space="preserve"> </w:t>
      </w:r>
      <w:r w:rsidRPr="00ED4843">
        <w:rPr>
          <w:b/>
          <w:bCs/>
        </w:rPr>
        <w:t>Pipeline Intelligence</w:t>
      </w:r>
      <w:r w:rsidRPr="00ED4843">
        <w:t xml:space="preserve"> – Drives forward deployment planning</w:t>
      </w:r>
    </w:p>
    <w:p w14:paraId="05C19E5B" w14:textId="77777777" w:rsidR="00EF395F" w:rsidRDefault="00EF395F">
      <w:r>
        <w:br w:type="page"/>
      </w:r>
    </w:p>
    <w:p w14:paraId="56D86CD3" w14:textId="6FE4BF15" w:rsidR="00DA666D" w:rsidRPr="00EF395F" w:rsidRDefault="00EF395F" w:rsidP="003F5F5D">
      <w:pPr>
        <w:jc w:val="center"/>
        <w:rPr>
          <w:b/>
          <w:bCs/>
        </w:rPr>
      </w:pPr>
      <w:r w:rsidRPr="00EF395F">
        <w:rPr>
          <w:b/>
          <w:bCs/>
        </w:rPr>
        <w:lastRenderedPageBreak/>
        <w:t>DETAILED PRODUCT DESCRIPTION</w:t>
      </w:r>
    </w:p>
    <w:p w14:paraId="451CB754" w14:textId="77777777" w:rsidR="002F02A3" w:rsidRPr="002F02A3" w:rsidRDefault="002F02A3" w:rsidP="002F02A3">
      <w:pPr>
        <w:rPr>
          <w:b/>
          <w:bCs/>
        </w:rPr>
      </w:pPr>
      <w:r w:rsidRPr="002F02A3">
        <w:rPr>
          <w:b/>
          <w:bCs/>
        </w:rPr>
        <w:t>1. Smart Benchmarking</w:t>
      </w:r>
    </w:p>
    <w:p w14:paraId="79B1DB94" w14:textId="77777777" w:rsidR="002F02A3" w:rsidRPr="002F02A3" w:rsidRDefault="002F02A3" w:rsidP="002F02A3">
      <w:r w:rsidRPr="002F02A3">
        <w:rPr>
          <w:i/>
          <w:iCs/>
        </w:rPr>
        <w:t>Real estate, infrastructure, agriculture, and timber performance benchmarking platform.</w:t>
      </w:r>
    </w:p>
    <w:p w14:paraId="3741BEFE" w14:textId="77777777" w:rsidR="002F02A3" w:rsidRPr="002F02A3" w:rsidRDefault="002F0F54" w:rsidP="002F02A3">
      <w:r>
        <w:pict w14:anchorId="29E7163B">
          <v:rect id="_x0000_i1039" style="width:0;height:1.5pt" o:hralign="center" o:hrstd="t" o:hr="t" fillcolor="#a0a0a0" stroked="f"/>
        </w:pict>
      </w:r>
    </w:p>
    <w:p w14:paraId="7048E46C" w14:textId="77777777" w:rsidR="002F02A3" w:rsidRPr="002F02A3" w:rsidRDefault="002F02A3" w:rsidP="002F02A3">
      <w:pPr>
        <w:rPr>
          <w:b/>
          <w:bCs/>
        </w:rPr>
      </w:pPr>
      <w:r w:rsidRPr="002F02A3">
        <w:rPr>
          <w:b/>
          <w:bCs/>
        </w:rPr>
        <w:t>A. What the Product Does (Functionality)</w:t>
      </w:r>
    </w:p>
    <w:p w14:paraId="376FEE62" w14:textId="77777777" w:rsidR="002F02A3" w:rsidRPr="002F02A3" w:rsidRDefault="002F02A3" w:rsidP="002F02A3">
      <w:r w:rsidRPr="002F02A3">
        <w:t>Smart Benchmarking provides TownsendAI clients with access to strategy-, sector-, region-, and vintage-specific performance indices derived from Townsend’s proprietary fund performance databases.</w:t>
      </w:r>
    </w:p>
    <w:p w14:paraId="5C18F5D9" w14:textId="77777777" w:rsidR="002F02A3" w:rsidRPr="002F02A3" w:rsidRDefault="002F02A3" w:rsidP="002F02A3">
      <w:r w:rsidRPr="002F02A3">
        <w:rPr>
          <w:b/>
          <w:bCs/>
        </w:rPr>
        <w:t>Key features:</w:t>
      </w:r>
    </w:p>
    <w:p w14:paraId="449C7447" w14:textId="77777777" w:rsidR="002F02A3" w:rsidRPr="002F02A3" w:rsidRDefault="002F02A3" w:rsidP="002F02A3">
      <w:pPr>
        <w:numPr>
          <w:ilvl w:val="0"/>
          <w:numId w:val="19"/>
        </w:numPr>
      </w:pPr>
      <w:r w:rsidRPr="002F02A3">
        <w:rPr>
          <w:b/>
          <w:bCs/>
        </w:rPr>
        <w:t>Benchmark segmentation:</w:t>
      </w:r>
    </w:p>
    <w:p w14:paraId="41259798" w14:textId="77777777" w:rsidR="002F02A3" w:rsidRPr="002F02A3" w:rsidRDefault="002F02A3" w:rsidP="002F02A3">
      <w:pPr>
        <w:numPr>
          <w:ilvl w:val="1"/>
          <w:numId w:val="19"/>
        </w:numPr>
      </w:pPr>
      <w:r w:rsidRPr="002F02A3">
        <w:rPr>
          <w:b/>
          <w:bCs/>
        </w:rPr>
        <w:t>Strategy Type:</w:t>
      </w:r>
      <w:r w:rsidRPr="002F02A3">
        <w:t xml:space="preserve"> Income-oriented (e.g., stabilized) and alpha-seeking (e.g., value-add/opportunistic)</w:t>
      </w:r>
    </w:p>
    <w:p w14:paraId="5A3566DA" w14:textId="77777777" w:rsidR="002F02A3" w:rsidRPr="002F02A3" w:rsidRDefault="002F02A3" w:rsidP="002F02A3">
      <w:pPr>
        <w:numPr>
          <w:ilvl w:val="1"/>
          <w:numId w:val="19"/>
        </w:numPr>
      </w:pPr>
      <w:r w:rsidRPr="002F02A3">
        <w:rPr>
          <w:b/>
          <w:bCs/>
        </w:rPr>
        <w:t>Asset Class:</w:t>
      </w:r>
      <w:r w:rsidRPr="002F02A3">
        <w:t xml:space="preserve"> Real estate, infrastructure, agriculture, timber</w:t>
      </w:r>
    </w:p>
    <w:p w14:paraId="4DB7A1B8" w14:textId="77777777" w:rsidR="002F02A3" w:rsidRPr="002F02A3" w:rsidRDefault="002F02A3" w:rsidP="002F02A3">
      <w:pPr>
        <w:numPr>
          <w:ilvl w:val="1"/>
          <w:numId w:val="19"/>
        </w:numPr>
      </w:pPr>
      <w:r w:rsidRPr="002F02A3">
        <w:rPr>
          <w:b/>
          <w:bCs/>
        </w:rPr>
        <w:t>Geography:</w:t>
      </w:r>
      <w:r w:rsidRPr="002F02A3">
        <w:t xml:space="preserve"> North America, Europe, Asia</w:t>
      </w:r>
    </w:p>
    <w:p w14:paraId="18C3F899" w14:textId="77777777" w:rsidR="002F02A3" w:rsidRPr="002F02A3" w:rsidRDefault="002F02A3" w:rsidP="002F02A3">
      <w:pPr>
        <w:numPr>
          <w:ilvl w:val="1"/>
          <w:numId w:val="19"/>
        </w:numPr>
      </w:pPr>
      <w:r w:rsidRPr="002F02A3">
        <w:rPr>
          <w:b/>
          <w:bCs/>
        </w:rPr>
        <w:t>Sector:</w:t>
      </w:r>
      <w:r w:rsidRPr="002F02A3">
        <w:t xml:space="preserve"> Industrial, retail, office, logistics, housing, data centers, renewables, timberland, farmland, etc.</w:t>
      </w:r>
    </w:p>
    <w:p w14:paraId="3124B683" w14:textId="77777777" w:rsidR="002F02A3" w:rsidRPr="002F02A3" w:rsidRDefault="002F02A3" w:rsidP="002F02A3">
      <w:pPr>
        <w:numPr>
          <w:ilvl w:val="0"/>
          <w:numId w:val="19"/>
        </w:numPr>
      </w:pPr>
      <w:r w:rsidRPr="002F02A3">
        <w:rPr>
          <w:b/>
          <w:bCs/>
        </w:rPr>
        <w:t>Benchmark outputs:</w:t>
      </w:r>
    </w:p>
    <w:p w14:paraId="687A8A84" w14:textId="77777777" w:rsidR="002F02A3" w:rsidRPr="002F02A3" w:rsidRDefault="002F02A3" w:rsidP="002F02A3">
      <w:pPr>
        <w:numPr>
          <w:ilvl w:val="1"/>
          <w:numId w:val="19"/>
        </w:numPr>
      </w:pPr>
      <w:r w:rsidRPr="002F02A3">
        <w:t>Net and gross IRRs</w:t>
      </w:r>
    </w:p>
    <w:p w14:paraId="4020DC5E" w14:textId="77777777" w:rsidR="002F02A3" w:rsidRPr="002F02A3" w:rsidRDefault="002F02A3" w:rsidP="002F02A3">
      <w:pPr>
        <w:numPr>
          <w:ilvl w:val="1"/>
          <w:numId w:val="19"/>
        </w:numPr>
      </w:pPr>
      <w:r w:rsidRPr="002F02A3">
        <w:t>Equity multiples</w:t>
      </w:r>
    </w:p>
    <w:p w14:paraId="47B2EA00" w14:textId="77777777" w:rsidR="002F02A3" w:rsidRPr="002F02A3" w:rsidRDefault="002F02A3" w:rsidP="002F02A3">
      <w:pPr>
        <w:numPr>
          <w:ilvl w:val="1"/>
          <w:numId w:val="19"/>
        </w:numPr>
      </w:pPr>
      <w:r w:rsidRPr="002F02A3">
        <w:t>Cap rate spreads</w:t>
      </w:r>
    </w:p>
    <w:p w14:paraId="35C7D266" w14:textId="77777777" w:rsidR="002F02A3" w:rsidRPr="002F02A3" w:rsidRDefault="002F02A3" w:rsidP="002F02A3">
      <w:pPr>
        <w:numPr>
          <w:ilvl w:val="1"/>
          <w:numId w:val="19"/>
        </w:numPr>
      </w:pPr>
      <w:r w:rsidRPr="002F02A3">
        <w:t>Fund dispersion</w:t>
      </w:r>
    </w:p>
    <w:p w14:paraId="4DDF6912" w14:textId="77777777" w:rsidR="002F02A3" w:rsidRPr="002F02A3" w:rsidRDefault="002F02A3" w:rsidP="002F02A3">
      <w:pPr>
        <w:numPr>
          <w:ilvl w:val="1"/>
          <w:numId w:val="19"/>
        </w:numPr>
      </w:pPr>
      <w:r w:rsidRPr="002F02A3">
        <w:t>Sharpe ratios and other risk-adjusted metrics</w:t>
      </w:r>
    </w:p>
    <w:p w14:paraId="0ECEC576" w14:textId="77777777" w:rsidR="002F02A3" w:rsidRPr="002F02A3" w:rsidRDefault="002F02A3" w:rsidP="002F02A3">
      <w:pPr>
        <w:numPr>
          <w:ilvl w:val="0"/>
          <w:numId w:val="19"/>
        </w:numPr>
      </w:pPr>
      <w:r w:rsidRPr="002F02A3">
        <w:rPr>
          <w:b/>
          <w:bCs/>
        </w:rPr>
        <w:t>Delivery channels:</w:t>
      </w:r>
    </w:p>
    <w:p w14:paraId="2D7A0541" w14:textId="77777777" w:rsidR="002F02A3" w:rsidRPr="002F02A3" w:rsidRDefault="002F02A3" w:rsidP="002F02A3">
      <w:pPr>
        <w:numPr>
          <w:ilvl w:val="1"/>
          <w:numId w:val="19"/>
        </w:numPr>
      </w:pPr>
      <w:r w:rsidRPr="002F02A3">
        <w:t>Interactive dashboards (peer group filtering, sector/vintage slicing)</w:t>
      </w:r>
    </w:p>
    <w:p w14:paraId="3D2849BB" w14:textId="77777777" w:rsidR="002F02A3" w:rsidRPr="002F02A3" w:rsidRDefault="002F02A3" w:rsidP="002F02A3">
      <w:pPr>
        <w:numPr>
          <w:ilvl w:val="1"/>
          <w:numId w:val="19"/>
        </w:numPr>
      </w:pPr>
      <w:r w:rsidRPr="002F02A3">
        <w:t>Downloadable reports</w:t>
      </w:r>
    </w:p>
    <w:p w14:paraId="4DA170D6" w14:textId="77777777" w:rsidR="002F02A3" w:rsidRPr="002F02A3" w:rsidRDefault="002F02A3" w:rsidP="002F02A3">
      <w:pPr>
        <w:numPr>
          <w:ilvl w:val="1"/>
          <w:numId w:val="19"/>
        </w:numPr>
      </w:pPr>
      <w:r w:rsidRPr="002F02A3">
        <w:t>API access for integration with LP systems or consultant workflows</w:t>
      </w:r>
    </w:p>
    <w:p w14:paraId="45729CC8" w14:textId="77777777" w:rsidR="002F02A3" w:rsidRPr="002F02A3" w:rsidRDefault="002F0F54" w:rsidP="002F02A3">
      <w:r>
        <w:pict w14:anchorId="214C980C">
          <v:rect id="_x0000_i1040" style="width:0;height:1.5pt" o:hralign="center" o:hrstd="t" o:hr="t" fillcolor="#a0a0a0" stroked="f"/>
        </w:pict>
      </w:r>
    </w:p>
    <w:p w14:paraId="58F572BB" w14:textId="77777777" w:rsidR="002F02A3" w:rsidRPr="002F02A3" w:rsidRDefault="002F02A3" w:rsidP="002F02A3">
      <w:pPr>
        <w:rPr>
          <w:b/>
          <w:bCs/>
        </w:rPr>
      </w:pPr>
      <w:bookmarkStart w:id="0" w:name="_Hlk213062583"/>
      <w:r w:rsidRPr="002F02A3">
        <w:rPr>
          <w:b/>
          <w:bCs/>
        </w:rPr>
        <w:lastRenderedPageBreak/>
        <w:t>B. Target Clients and Their Key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7083"/>
      </w:tblGrid>
      <w:tr w:rsidR="002F02A3" w:rsidRPr="002F02A3" w14:paraId="0EABBC40" w14:textId="77777777" w:rsidTr="002F02A3">
        <w:trPr>
          <w:tblHeader/>
          <w:tblCellSpacing w:w="15" w:type="dxa"/>
        </w:trPr>
        <w:tc>
          <w:tcPr>
            <w:tcW w:w="0" w:type="auto"/>
            <w:vAlign w:val="center"/>
            <w:hideMark/>
          </w:tcPr>
          <w:bookmarkEnd w:id="0"/>
          <w:p w14:paraId="5B3F541D" w14:textId="77777777" w:rsidR="002F02A3" w:rsidRPr="002F02A3" w:rsidRDefault="002F02A3" w:rsidP="002F02A3">
            <w:pPr>
              <w:rPr>
                <w:b/>
                <w:bCs/>
              </w:rPr>
            </w:pPr>
            <w:r w:rsidRPr="002F02A3">
              <w:rPr>
                <w:b/>
                <w:bCs/>
              </w:rPr>
              <w:t>Client Type</w:t>
            </w:r>
          </w:p>
        </w:tc>
        <w:tc>
          <w:tcPr>
            <w:tcW w:w="0" w:type="auto"/>
            <w:vAlign w:val="center"/>
            <w:hideMark/>
          </w:tcPr>
          <w:p w14:paraId="278AB0C2" w14:textId="77777777" w:rsidR="002F02A3" w:rsidRPr="002F02A3" w:rsidRDefault="002F02A3" w:rsidP="002F02A3">
            <w:pPr>
              <w:rPr>
                <w:b/>
                <w:bCs/>
              </w:rPr>
            </w:pPr>
            <w:r w:rsidRPr="002F02A3">
              <w:rPr>
                <w:b/>
                <w:bCs/>
              </w:rPr>
              <w:t>Use Cases</w:t>
            </w:r>
          </w:p>
        </w:tc>
      </w:tr>
      <w:tr w:rsidR="002F02A3" w:rsidRPr="002F02A3" w14:paraId="42D4BA79" w14:textId="77777777" w:rsidTr="002F02A3">
        <w:trPr>
          <w:tblCellSpacing w:w="15" w:type="dxa"/>
        </w:trPr>
        <w:tc>
          <w:tcPr>
            <w:tcW w:w="0" w:type="auto"/>
            <w:vAlign w:val="center"/>
            <w:hideMark/>
          </w:tcPr>
          <w:p w14:paraId="6D619872" w14:textId="77777777" w:rsidR="002F02A3" w:rsidRPr="002F02A3" w:rsidRDefault="002F02A3" w:rsidP="002F02A3">
            <w:bookmarkStart w:id="1" w:name="_Hlk213062619"/>
            <w:r w:rsidRPr="002F02A3">
              <w:rPr>
                <w:b/>
                <w:bCs/>
              </w:rPr>
              <w:t>Institutional LPs</w:t>
            </w:r>
          </w:p>
        </w:tc>
        <w:tc>
          <w:tcPr>
            <w:tcW w:w="0" w:type="auto"/>
            <w:vAlign w:val="center"/>
            <w:hideMark/>
          </w:tcPr>
          <w:p w14:paraId="54224C44" w14:textId="77777777" w:rsidR="002F02A3" w:rsidRPr="002F02A3" w:rsidRDefault="002F02A3" w:rsidP="002F02A3">
            <w:r w:rsidRPr="002F02A3">
              <w:t>Benchmark real estate and real asset portfolios; build sector and strategy performance comps</w:t>
            </w:r>
          </w:p>
        </w:tc>
      </w:tr>
      <w:tr w:rsidR="002F02A3" w:rsidRPr="002F02A3" w14:paraId="7C4D6A53" w14:textId="77777777" w:rsidTr="002F02A3">
        <w:trPr>
          <w:tblCellSpacing w:w="15" w:type="dxa"/>
        </w:trPr>
        <w:tc>
          <w:tcPr>
            <w:tcW w:w="0" w:type="auto"/>
            <w:vAlign w:val="center"/>
            <w:hideMark/>
          </w:tcPr>
          <w:p w14:paraId="760291C4" w14:textId="77777777" w:rsidR="002F02A3" w:rsidRPr="002F02A3" w:rsidRDefault="002F02A3" w:rsidP="002F02A3">
            <w:r w:rsidRPr="002F02A3">
              <w:rPr>
                <w:b/>
                <w:bCs/>
              </w:rPr>
              <w:t>GPs / Asset Managers</w:t>
            </w:r>
          </w:p>
        </w:tc>
        <w:tc>
          <w:tcPr>
            <w:tcW w:w="0" w:type="auto"/>
            <w:vAlign w:val="center"/>
            <w:hideMark/>
          </w:tcPr>
          <w:p w14:paraId="5B9EF5ED" w14:textId="77777777" w:rsidR="002F02A3" w:rsidRPr="002F02A3" w:rsidRDefault="002F02A3" w:rsidP="002F02A3">
            <w:r w:rsidRPr="002F02A3">
              <w:t>Compare fund performance to peer groups; design and promote strategy-aligned offerings</w:t>
            </w:r>
          </w:p>
        </w:tc>
      </w:tr>
      <w:tr w:rsidR="002F02A3" w:rsidRPr="002F02A3" w14:paraId="2B00F4DA" w14:textId="77777777" w:rsidTr="002F02A3">
        <w:trPr>
          <w:tblCellSpacing w:w="15" w:type="dxa"/>
        </w:trPr>
        <w:tc>
          <w:tcPr>
            <w:tcW w:w="0" w:type="auto"/>
            <w:vAlign w:val="center"/>
            <w:hideMark/>
          </w:tcPr>
          <w:p w14:paraId="40F4DB34" w14:textId="77777777" w:rsidR="002F02A3" w:rsidRPr="002F02A3" w:rsidRDefault="002F02A3" w:rsidP="002F02A3">
            <w:r w:rsidRPr="002F02A3">
              <w:rPr>
                <w:b/>
                <w:bCs/>
              </w:rPr>
              <w:t>Consultants</w:t>
            </w:r>
          </w:p>
        </w:tc>
        <w:tc>
          <w:tcPr>
            <w:tcW w:w="0" w:type="auto"/>
            <w:vAlign w:val="center"/>
            <w:hideMark/>
          </w:tcPr>
          <w:p w14:paraId="0C8A26D8" w14:textId="77777777" w:rsidR="002F02A3" w:rsidRPr="002F02A3" w:rsidRDefault="002F02A3" w:rsidP="002F02A3">
            <w:r w:rsidRPr="002F02A3">
              <w:t>Performance attribution; peer group analysis; client benchmarking and reporting</w:t>
            </w:r>
          </w:p>
        </w:tc>
      </w:tr>
      <w:tr w:rsidR="002F02A3" w:rsidRPr="002F02A3" w14:paraId="60C813E6" w14:textId="77777777" w:rsidTr="002F02A3">
        <w:trPr>
          <w:tblCellSpacing w:w="15" w:type="dxa"/>
        </w:trPr>
        <w:tc>
          <w:tcPr>
            <w:tcW w:w="0" w:type="auto"/>
            <w:vAlign w:val="center"/>
            <w:hideMark/>
          </w:tcPr>
          <w:p w14:paraId="5EBE1481" w14:textId="77777777" w:rsidR="002F02A3" w:rsidRPr="002F02A3" w:rsidRDefault="002F02A3" w:rsidP="002F02A3">
            <w:r w:rsidRPr="002F02A3">
              <w:rPr>
                <w:b/>
                <w:bCs/>
              </w:rPr>
              <w:t>Wealth Platforms</w:t>
            </w:r>
          </w:p>
        </w:tc>
        <w:tc>
          <w:tcPr>
            <w:tcW w:w="0" w:type="auto"/>
            <w:vAlign w:val="center"/>
            <w:hideMark/>
          </w:tcPr>
          <w:p w14:paraId="3D257361" w14:textId="77777777" w:rsidR="002F02A3" w:rsidRPr="002F02A3" w:rsidRDefault="002F02A3" w:rsidP="002F02A3">
            <w:r w:rsidRPr="002F02A3">
              <w:t>Offer smart beta real asset exposure; build index-linked SMA strategies</w:t>
            </w:r>
          </w:p>
        </w:tc>
      </w:tr>
      <w:tr w:rsidR="002F02A3" w:rsidRPr="002F02A3" w14:paraId="6934F20B" w14:textId="77777777" w:rsidTr="002F02A3">
        <w:trPr>
          <w:tblCellSpacing w:w="15" w:type="dxa"/>
        </w:trPr>
        <w:tc>
          <w:tcPr>
            <w:tcW w:w="0" w:type="auto"/>
            <w:vAlign w:val="center"/>
            <w:hideMark/>
          </w:tcPr>
          <w:p w14:paraId="76B03937" w14:textId="77777777" w:rsidR="002F02A3" w:rsidRPr="002F02A3" w:rsidRDefault="002F02A3" w:rsidP="002F02A3">
            <w:r w:rsidRPr="002F02A3">
              <w:rPr>
                <w:b/>
                <w:bCs/>
              </w:rPr>
              <w:t>Family Offices</w:t>
            </w:r>
          </w:p>
        </w:tc>
        <w:tc>
          <w:tcPr>
            <w:tcW w:w="0" w:type="auto"/>
            <w:vAlign w:val="center"/>
            <w:hideMark/>
          </w:tcPr>
          <w:p w14:paraId="618FEAF0" w14:textId="77777777" w:rsidR="002F02A3" w:rsidRPr="002F02A3" w:rsidRDefault="002F02A3" w:rsidP="002F02A3">
            <w:r w:rsidRPr="002F02A3">
              <w:t>Evaluate current managers or co-investments; align with institutional frameworks</w:t>
            </w:r>
          </w:p>
        </w:tc>
      </w:tr>
      <w:tr w:rsidR="002F02A3" w:rsidRPr="002F02A3" w14:paraId="414186AF" w14:textId="77777777" w:rsidTr="002F02A3">
        <w:trPr>
          <w:tblCellSpacing w:w="15" w:type="dxa"/>
        </w:trPr>
        <w:tc>
          <w:tcPr>
            <w:tcW w:w="0" w:type="auto"/>
            <w:vAlign w:val="center"/>
            <w:hideMark/>
          </w:tcPr>
          <w:p w14:paraId="2F368FAD" w14:textId="77777777" w:rsidR="002F02A3" w:rsidRPr="002F02A3" w:rsidRDefault="002F02A3" w:rsidP="002F02A3">
            <w:r w:rsidRPr="002F02A3">
              <w:rPr>
                <w:b/>
                <w:bCs/>
              </w:rPr>
              <w:t>Academia / Research</w:t>
            </w:r>
          </w:p>
        </w:tc>
        <w:tc>
          <w:tcPr>
            <w:tcW w:w="0" w:type="auto"/>
            <w:vAlign w:val="center"/>
            <w:hideMark/>
          </w:tcPr>
          <w:p w14:paraId="5B32A71A" w14:textId="77777777" w:rsidR="002F02A3" w:rsidRPr="002F02A3" w:rsidRDefault="002F02A3" w:rsidP="002F02A3">
            <w:r w:rsidRPr="002F02A3">
              <w:t>Use as source data for publications and advanced analytics</w:t>
            </w:r>
          </w:p>
        </w:tc>
      </w:tr>
      <w:bookmarkEnd w:id="1"/>
      <w:tr w:rsidR="002F02A3" w:rsidRPr="002F02A3" w14:paraId="1FA313E0" w14:textId="77777777" w:rsidTr="002F02A3">
        <w:trPr>
          <w:tblCellSpacing w:w="15" w:type="dxa"/>
        </w:trPr>
        <w:tc>
          <w:tcPr>
            <w:tcW w:w="0" w:type="auto"/>
            <w:vAlign w:val="center"/>
            <w:hideMark/>
          </w:tcPr>
          <w:p w14:paraId="09D8B32E" w14:textId="77777777" w:rsidR="002F02A3" w:rsidRPr="002F02A3" w:rsidRDefault="002F02A3" w:rsidP="002F02A3">
            <w:r w:rsidRPr="002F02A3">
              <w:rPr>
                <w:b/>
                <w:bCs/>
              </w:rPr>
              <w:t>Passive Product Creators</w:t>
            </w:r>
          </w:p>
        </w:tc>
        <w:tc>
          <w:tcPr>
            <w:tcW w:w="0" w:type="auto"/>
            <w:vAlign w:val="center"/>
            <w:hideMark/>
          </w:tcPr>
          <w:p w14:paraId="595EA9C0" w14:textId="77777777" w:rsidR="002F02A3" w:rsidRPr="002F02A3" w:rsidRDefault="002F02A3" w:rsidP="002F02A3">
            <w:r w:rsidRPr="002F02A3">
              <w:t>Use Townsend benchmarks as index inputs for passive vehicles (e.g., smart beta REIT funds, RE SMAs)</w:t>
            </w:r>
          </w:p>
        </w:tc>
      </w:tr>
    </w:tbl>
    <w:p w14:paraId="4E3E4C25" w14:textId="77777777" w:rsidR="002F02A3" w:rsidRPr="002F02A3" w:rsidRDefault="002F0F54" w:rsidP="002F02A3">
      <w:r>
        <w:pict w14:anchorId="1271D5B2">
          <v:rect id="_x0000_i1041" style="width:0;height:1.5pt" o:hralign="center" o:hrstd="t" o:hr="t" fillcolor="#a0a0a0" stroked="f"/>
        </w:pict>
      </w:r>
    </w:p>
    <w:p w14:paraId="46FC0421" w14:textId="77777777" w:rsidR="002F02A3" w:rsidRPr="002F02A3" w:rsidRDefault="002F02A3" w:rsidP="002F02A3">
      <w:pPr>
        <w:rPr>
          <w:b/>
          <w:bCs/>
        </w:rPr>
      </w:pPr>
      <w:r w:rsidRPr="002F02A3">
        <w:rPr>
          <w:b/>
          <w:bCs/>
        </w:rPr>
        <w:t>C. Development Status</w:t>
      </w:r>
    </w:p>
    <w:p w14:paraId="4D3733EA" w14:textId="77777777" w:rsidR="002F02A3" w:rsidRPr="002F02A3" w:rsidRDefault="002F02A3" w:rsidP="002F02A3">
      <w:r w:rsidRPr="002F02A3">
        <w:rPr>
          <w:b/>
          <w:bCs/>
        </w:rPr>
        <w:t>Benchmarks Currently Developed or Near Completion:</w:t>
      </w:r>
    </w:p>
    <w:p w14:paraId="59CF6E40" w14:textId="77777777" w:rsidR="002F02A3" w:rsidRPr="002F02A3" w:rsidRDefault="002F02A3" w:rsidP="002F02A3">
      <w:pPr>
        <w:numPr>
          <w:ilvl w:val="0"/>
          <w:numId w:val="20"/>
        </w:numPr>
      </w:pPr>
      <w:r w:rsidRPr="002F02A3">
        <w:t>U.S. Core Real Estate Benchmark</w:t>
      </w:r>
    </w:p>
    <w:p w14:paraId="05C569B7" w14:textId="77777777" w:rsidR="002F02A3" w:rsidRPr="002F02A3" w:rsidRDefault="002F02A3" w:rsidP="002F02A3">
      <w:pPr>
        <w:numPr>
          <w:ilvl w:val="0"/>
          <w:numId w:val="20"/>
        </w:numPr>
      </w:pPr>
      <w:r w:rsidRPr="002F02A3">
        <w:t>U.S. Core Plus Real Estate Benchmark</w:t>
      </w:r>
    </w:p>
    <w:p w14:paraId="01754A81" w14:textId="77777777" w:rsidR="002F02A3" w:rsidRPr="002F02A3" w:rsidRDefault="002F02A3" w:rsidP="002F02A3">
      <w:pPr>
        <w:numPr>
          <w:ilvl w:val="0"/>
          <w:numId w:val="20"/>
        </w:numPr>
      </w:pPr>
      <w:r w:rsidRPr="002F02A3">
        <w:t>U.S. Non-Core Real Estate Benchmark</w:t>
      </w:r>
    </w:p>
    <w:p w14:paraId="0BB7F31C" w14:textId="77777777" w:rsidR="002F02A3" w:rsidRPr="002F02A3" w:rsidRDefault="002F02A3" w:rsidP="002F02A3">
      <w:pPr>
        <w:numPr>
          <w:ilvl w:val="0"/>
          <w:numId w:val="20"/>
        </w:numPr>
      </w:pPr>
      <w:r w:rsidRPr="002F02A3">
        <w:t>Infrastructure Core Benchmark</w:t>
      </w:r>
    </w:p>
    <w:p w14:paraId="2AF62E26" w14:textId="77777777" w:rsidR="002F02A3" w:rsidRPr="002F02A3" w:rsidRDefault="002F02A3" w:rsidP="002F02A3">
      <w:pPr>
        <w:numPr>
          <w:ilvl w:val="0"/>
          <w:numId w:val="20"/>
        </w:numPr>
      </w:pPr>
      <w:r w:rsidRPr="002F02A3">
        <w:rPr>
          <w:i/>
          <w:iCs/>
        </w:rPr>
        <w:t>(Additional benchmarks in development across Europe, Asia, Ag, Timber, and by sector)</w:t>
      </w:r>
    </w:p>
    <w:p w14:paraId="415536E4" w14:textId="77777777" w:rsidR="002F02A3" w:rsidRPr="002F02A3" w:rsidRDefault="002F0F54" w:rsidP="002F02A3">
      <w:r>
        <w:pict w14:anchorId="341FDAE1">
          <v:rect id="_x0000_i1042" style="width:0;height:1.5pt" o:hralign="center" o:hrstd="t" o:hr="t" fillcolor="#a0a0a0" stroked="f"/>
        </w:pict>
      </w:r>
    </w:p>
    <w:p w14:paraId="7D27AB2B" w14:textId="77777777" w:rsidR="002F02A3" w:rsidRPr="002F02A3" w:rsidRDefault="002F02A3" w:rsidP="002F02A3">
      <w:pPr>
        <w:rPr>
          <w:b/>
          <w:bCs/>
        </w:rPr>
      </w:pPr>
      <w:r w:rsidRPr="002F02A3">
        <w:rPr>
          <w:b/>
          <w:bCs/>
        </w:rPr>
        <w:t>D. Next Steps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1941"/>
        <w:gridCol w:w="4940"/>
      </w:tblGrid>
      <w:tr w:rsidR="002F02A3" w:rsidRPr="002F02A3" w14:paraId="01884184" w14:textId="77777777" w:rsidTr="002F02A3">
        <w:trPr>
          <w:tblHeader/>
          <w:tblCellSpacing w:w="15" w:type="dxa"/>
        </w:trPr>
        <w:tc>
          <w:tcPr>
            <w:tcW w:w="0" w:type="auto"/>
            <w:vAlign w:val="center"/>
            <w:hideMark/>
          </w:tcPr>
          <w:p w14:paraId="75DE8D26" w14:textId="77777777" w:rsidR="002F02A3" w:rsidRPr="002F02A3" w:rsidRDefault="002F02A3" w:rsidP="002F02A3">
            <w:pPr>
              <w:rPr>
                <w:b/>
                <w:bCs/>
              </w:rPr>
            </w:pPr>
            <w:r w:rsidRPr="002F02A3">
              <w:rPr>
                <w:b/>
                <w:bCs/>
              </w:rPr>
              <w:lastRenderedPageBreak/>
              <w:t>Task</w:t>
            </w:r>
          </w:p>
        </w:tc>
        <w:tc>
          <w:tcPr>
            <w:tcW w:w="0" w:type="auto"/>
            <w:vAlign w:val="center"/>
            <w:hideMark/>
          </w:tcPr>
          <w:p w14:paraId="75D9E6CF" w14:textId="77777777" w:rsidR="002F02A3" w:rsidRPr="002F02A3" w:rsidRDefault="002F02A3" w:rsidP="002F02A3">
            <w:pPr>
              <w:rPr>
                <w:b/>
                <w:bCs/>
              </w:rPr>
            </w:pPr>
            <w:r w:rsidRPr="002F02A3">
              <w:rPr>
                <w:b/>
                <w:bCs/>
              </w:rPr>
              <w:t>Responsible Person(s)</w:t>
            </w:r>
          </w:p>
        </w:tc>
        <w:tc>
          <w:tcPr>
            <w:tcW w:w="0" w:type="auto"/>
            <w:vAlign w:val="center"/>
            <w:hideMark/>
          </w:tcPr>
          <w:p w14:paraId="437884B7" w14:textId="77777777" w:rsidR="002F02A3" w:rsidRPr="002F02A3" w:rsidRDefault="002F02A3" w:rsidP="002F02A3">
            <w:pPr>
              <w:rPr>
                <w:b/>
                <w:bCs/>
              </w:rPr>
            </w:pPr>
            <w:r w:rsidRPr="002F02A3">
              <w:rPr>
                <w:b/>
                <w:bCs/>
              </w:rPr>
              <w:t>Description</w:t>
            </w:r>
          </w:p>
        </w:tc>
      </w:tr>
      <w:tr w:rsidR="002F02A3" w:rsidRPr="002F02A3" w14:paraId="514B7947" w14:textId="77777777" w:rsidTr="002F02A3">
        <w:trPr>
          <w:tblCellSpacing w:w="15" w:type="dxa"/>
        </w:trPr>
        <w:tc>
          <w:tcPr>
            <w:tcW w:w="0" w:type="auto"/>
            <w:vAlign w:val="center"/>
            <w:hideMark/>
          </w:tcPr>
          <w:p w14:paraId="6346210B" w14:textId="77777777" w:rsidR="002F02A3" w:rsidRPr="002F02A3" w:rsidRDefault="002F02A3" w:rsidP="002F02A3">
            <w:r w:rsidRPr="002F02A3">
              <w:t>1. Benchmark Calculation (RE &amp; Infra)</w:t>
            </w:r>
          </w:p>
        </w:tc>
        <w:tc>
          <w:tcPr>
            <w:tcW w:w="0" w:type="auto"/>
            <w:vAlign w:val="center"/>
            <w:hideMark/>
          </w:tcPr>
          <w:p w14:paraId="146E96C4" w14:textId="77777777" w:rsidR="002F02A3" w:rsidRPr="002F02A3" w:rsidRDefault="002F02A3" w:rsidP="002F02A3">
            <w:r w:rsidRPr="002F02A3">
              <w:t>Nick Mone</w:t>
            </w:r>
          </w:p>
        </w:tc>
        <w:tc>
          <w:tcPr>
            <w:tcW w:w="0" w:type="auto"/>
            <w:vAlign w:val="center"/>
            <w:hideMark/>
          </w:tcPr>
          <w:p w14:paraId="719A8E21" w14:textId="77777777" w:rsidR="002F02A3" w:rsidRPr="002F02A3" w:rsidRDefault="002F02A3" w:rsidP="002F02A3">
            <w:r w:rsidRPr="002F02A3">
              <w:t>Build and finalize benchmark calculation logic for real estate and infra across strategy and region</w:t>
            </w:r>
          </w:p>
        </w:tc>
      </w:tr>
      <w:tr w:rsidR="002F02A3" w:rsidRPr="002F02A3" w14:paraId="7262CB45" w14:textId="77777777" w:rsidTr="002F02A3">
        <w:trPr>
          <w:tblCellSpacing w:w="15" w:type="dxa"/>
        </w:trPr>
        <w:tc>
          <w:tcPr>
            <w:tcW w:w="0" w:type="auto"/>
            <w:vAlign w:val="center"/>
            <w:hideMark/>
          </w:tcPr>
          <w:p w14:paraId="57788B35" w14:textId="77777777" w:rsidR="002F02A3" w:rsidRPr="002F02A3" w:rsidRDefault="002F02A3" w:rsidP="002F02A3">
            <w:r w:rsidRPr="002F02A3">
              <w:t>2. Methodology Development</w:t>
            </w:r>
          </w:p>
        </w:tc>
        <w:tc>
          <w:tcPr>
            <w:tcW w:w="0" w:type="auto"/>
            <w:vAlign w:val="center"/>
            <w:hideMark/>
          </w:tcPr>
          <w:p w14:paraId="4681581B" w14:textId="77777777" w:rsidR="002F02A3" w:rsidRPr="002F02A3" w:rsidRDefault="002F02A3" w:rsidP="002F02A3">
            <w:r w:rsidRPr="002F02A3">
              <w:t>Jay Long</w:t>
            </w:r>
          </w:p>
        </w:tc>
        <w:tc>
          <w:tcPr>
            <w:tcW w:w="0" w:type="auto"/>
            <w:vAlign w:val="center"/>
            <w:hideMark/>
          </w:tcPr>
          <w:p w14:paraId="6B1DD434" w14:textId="77777777" w:rsidR="002F02A3" w:rsidRPr="002F02A3" w:rsidRDefault="002F02A3" w:rsidP="002F02A3">
            <w:r w:rsidRPr="002F02A3">
              <w:t>Define firmwide calculation methodology: aggregation, weighting, return formulas, dispersion modeling</w:t>
            </w:r>
          </w:p>
        </w:tc>
      </w:tr>
      <w:tr w:rsidR="002F02A3" w:rsidRPr="002F02A3" w14:paraId="0F8D8B5E" w14:textId="77777777" w:rsidTr="002F02A3">
        <w:trPr>
          <w:tblCellSpacing w:w="15" w:type="dxa"/>
        </w:trPr>
        <w:tc>
          <w:tcPr>
            <w:tcW w:w="0" w:type="auto"/>
            <w:vAlign w:val="center"/>
            <w:hideMark/>
          </w:tcPr>
          <w:p w14:paraId="531D03FC" w14:textId="77777777" w:rsidR="002F02A3" w:rsidRPr="002F02A3" w:rsidRDefault="002F02A3" w:rsidP="002F02A3">
            <w:r w:rsidRPr="002F02A3">
              <w:t>3. Internal Policy for Index Usage</w:t>
            </w:r>
          </w:p>
        </w:tc>
        <w:tc>
          <w:tcPr>
            <w:tcW w:w="0" w:type="auto"/>
            <w:vAlign w:val="center"/>
            <w:hideMark/>
          </w:tcPr>
          <w:p w14:paraId="1B2EC65F" w14:textId="77777777" w:rsidR="002F02A3" w:rsidRPr="002F02A3" w:rsidRDefault="002F02A3" w:rsidP="002F02A3">
            <w:r w:rsidRPr="002F02A3">
              <w:t>Jay Long</w:t>
            </w:r>
          </w:p>
        </w:tc>
        <w:tc>
          <w:tcPr>
            <w:tcW w:w="0" w:type="auto"/>
            <w:vAlign w:val="center"/>
            <w:hideMark/>
          </w:tcPr>
          <w:p w14:paraId="6C7CEC99" w14:textId="77777777" w:rsidR="002F02A3" w:rsidRPr="002F02A3" w:rsidRDefault="002F02A3" w:rsidP="002F02A3">
            <w:r w:rsidRPr="002F02A3">
              <w:t>Develop guidance for underwriters on use of Townsend vs. external benchmarks (Preqin, Burgiss, etc.)</w:t>
            </w:r>
          </w:p>
        </w:tc>
      </w:tr>
      <w:tr w:rsidR="002F02A3" w:rsidRPr="002F02A3" w14:paraId="48228B30" w14:textId="77777777" w:rsidTr="002F02A3">
        <w:trPr>
          <w:tblCellSpacing w:w="15" w:type="dxa"/>
        </w:trPr>
        <w:tc>
          <w:tcPr>
            <w:tcW w:w="0" w:type="auto"/>
            <w:vAlign w:val="center"/>
            <w:hideMark/>
          </w:tcPr>
          <w:p w14:paraId="44284A46" w14:textId="77777777" w:rsidR="002F02A3" w:rsidRPr="002F02A3" w:rsidRDefault="002F02A3" w:rsidP="002F02A3">
            <w:r w:rsidRPr="002F02A3">
              <w:t>4. Data Compliance Framework</w:t>
            </w:r>
          </w:p>
        </w:tc>
        <w:tc>
          <w:tcPr>
            <w:tcW w:w="0" w:type="auto"/>
            <w:vAlign w:val="center"/>
            <w:hideMark/>
          </w:tcPr>
          <w:p w14:paraId="58B630F3" w14:textId="77777777" w:rsidR="002F02A3" w:rsidRPr="002F02A3" w:rsidRDefault="002F02A3" w:rsidP="002F02A3">
            <w:r w:rsidRPr="002F02A3">
              <w:t>Jay Long</w:t>
            </w:r>
          </w:p>
        </w:tc>
        <w:tc>
          <w:tcPr>
            <w:tcW w:w="0" w:type="auto"/>
            <w:vAlign w:val="center"/>
            <w:hideMark/>
          </w:tcPr>
          <w:p w14:paraId="6080CC17" w14:textId="77777777" w:rsidR="002F02A3" w:rsidRPr="002F02A3" w:rsidRDefault="002F02A3" w:rsidP="002F02A3">
            <w:r w:rsidRPr="002F02A3">
              <w:t>Establish policies and incentives to increase manager compliance with data submission requirements</w:t>
            </w:r>
          </w:p>
        </w:tc>
      </w:tr>
      <w:tr w:rsidR="002F02A3" w:rsidRPr="002F02A3" w14:paraId="43005ED7" w14:textId="77777777" w:rsidTr="002F02A3">
        <w:trPr>
          <w:tblCellSpacing w:w="15" w:type="dxa"/>
        </w:trPr>
        <w:tc>
          <w:tcPr>
            <w:tcW w:w="0" w:type="auto"/>
            <w:vAlign w:val="center"/>
            <w:hideMark/>
          </w:tcPr>
          <w:p w14:paraId="70427B70" w14:textId="77777777" w:rsidR="002F02A3" w:rsidRPr="002F02A3" w:rsidRDefault="002F02A3" w:rsidP="002F02A3">
            <w:r w:rsidRPr="002F02A3">
              <w:t>5. Data Gap Analysis</w:t>
            </w:r>
          </w:p>
        </w:tc>
        <w:tc>
          <w:tcPr>
            <w:tcW w:w="0" w:type="auto"/>
            <w:vAlign w:val="center"/>
            <w:hideMark/>
          </w:tcPr>
          <w:p w14:paraId="41867112" w14:textId="77777777" w:rsidR="002F02A3" w:rsidRPr="002F02A3" w:rsidRDefault="002F02A3" w:rsidP="002F02A3">
            <w:r w:rsidRPr="002F02A3">
              <w:t>Jay Long &amp; Nick Mone</w:t>
            </w:r>
          </w:p>
        </w:tc>
        <w:tc>
          <w:tcPr>
            <w:tcW w:w="0" w:type="auto"/>
            <w:vAlign w:val="center"/>
            <w:hideMark/>
          </w:tcPr>
          <w:p w14:paraId="5DACA344" w14:textId="77777777" w:rsidR="002F02A3" w:rsidRPr="002F02A3" w:rsidRDefault="002F02A3" w:rsidP="002F02A3">
            <w:r w:rsidRPr="002F02A3">
              <w:t>Identify coverage blind spots (by strategy, region, sector); recommend enhancements</w:t>
            </w:r>
          </w:p>
        </w:tc>
      </w:tr>
      <w:tr w:rsidR="002F02A3" w:rsidRPr="002F02A3" w14:paraId="0C71BDD8" w14:textId="77777777" w:rsidTr="002F02A3">
        <w:trPr>
          <w:tblCellSpacing w:w="15" w:type="dxa"/>
        </w:trPr>
        <w:tc>
          <w:tcPr>
            <w:tcW w:w="0" w:type="auto"/>
            <w:vAlign w:val="center"/>
            <w:hideMark/>
          </w:tcPr>
          <w:p w14:paraId="0043309B" w14:textId="77777777" w:rsidR="002F02A3" w:rsidRPr="002F02A3" w:rsidRDefault="002F02A3" w:rsidP="002F02A3">
            <w:r w:rsidRPr="002F02A3">
              <w:t>6. Ag &amp; Timber Benchmark Development</w:t>
            </w:r>
          </w:p>
        </w:tc>
        <w:tc>
          <w:tcPr>
            <w:tcW w:w="0" w:type="auto"/>
            <w:vAlign w:val="center"/>
            <w:hideMark/>
          </w:tcPr>
          <w:p w14:paraId="2CAC5D43" w14:textId="77777777" w:rsidR="002F02A3" w:rsidRPr="002F02A3" w:rsidRDefault="002F02A3" w:rsidP="002F02A3">
            <w:r w:rsidRPr="002F02A3">
              <w:t>Kevin Rivchun &amp; Nick Mone</w:t>
            </w:r>
          </w:p>
        </w:tc>
        <w:tc>
          <w:tcPr>
            <w:tcW w:w="0" w:type="auto"/>
            <w:vAlign w:val="center"/>
            <w:hideMark/>
          </w:tcPr>
          <w:p w14:paraId="6B829A99" w14:textId="77777777" w:rsidR="002F02A3" w:rsidRPr="002F02A3" w:rsidRDefault="002F02A3" w:rsidP="002F02A3">
            <w:r w:rsidRPr="002F02A3">
              <w:t>Build comparable benchmark methodologies and models for agriculture and timber asset classes</w:t>
            </w:r>
          </w:p>
        </w:tc>
      </w:tr>
    </w:tbl>
    <w:p w14:paraId="467ADBA1" w14:textId="7348B549" w:rsidR="002F02A3" w:rsidRDefault="002F02A3" w:rsidP="009F6263"/>
    <w:p w14:paraId="695C8375" w14:textId="77777777" w:rsidR="00B76509" w:rsidRPr="00B76509" w:rsidRDefault="002F02A3" w:rsidP="00B76509">
      <w:pPr>
        <w:rPr>
          <w:b/>
          <w:bCs/>
        </w:rPr>
      </w:pPr>
      <w:r>
        <w:br w:type="page"/>
      </w:r>
      <w:r w:rsidR="00BD5DFE">
        <w:lastRenderedPageBreak/>
        <w:br/>
      </w:r>
      <w:r w:rsidR="00B76509" w:rsidRPr="00B76509">
        <w:rPr>
          <w:b/>
          <w:bCs/>
        </w:rPr>
        <w:t>2. VOTW Forecasting &amp; Strategy Platform</w:t>
      </w:r>
    </w:p>
    <w:p w14:paraId="1D2C191D" w14:textId="77777777" w:rsidR="00B76509" w:rsidRPr="00B76509" w:rsidRDefault="00B76509" w:rsidP="00B76509">
      <w:r w:rsidRPr="00B76509">
        <w:rPr>
          <w:i/>
          <w:iCs/>
        </w:rPr>
        <w:t>TownsendAI’s integrated platform for macroeconomic scenario planning, real asset forecasting, portfolio optimization, market intelligence, and institutional research delivery.</w:t>
      </w:r>
    </w:p>
    <w:p w14:paraId="3FCC3FCF" w14:textId="77777777" w:rsidR="00B76509" w:rsidRPr="00B76509" w:rsidRDefault="002F0F54" w:rsidP="00B76509">
      <w:r>
        <w:pict w14:anchorId="0C1BC175">
          <v:rect id="_x0000_i1043" style="width:0;height:1.5pt" o:hralign="center" o:hrstd="t" o:hr="t" fillcolor="#a0a0a0" stroked="f"/>
        </w:pict>
      </w:r>
    </w:p>
    <w:p w14:paraId="19B8AC9D" w14:textId="77777777" w:rsidR="00B76509" w:rsidRPr="00B76509" w:rsidRDefault="00B76509" w:rsidP="00B76509">
      <w:pPr>
        <w:rPr>
          <w:b/>
          <w:bCs/>
        </w:rPr>
      </w:pPr>
      <w:r w:rsidRPr="00B76509">
        <w:rPr>
          <w:b/>
          <w:bCs/>
        </w:rPr>
        <w:t>A. What the Product Does (Functionality)</w:t>
      </w:r>
    </w:p>
    <w:p w14:paraId="5CC2B04A" w14:textId="77777777" w:rsidR="00B76509" w:rsidRPr="00B76509" w:rsidRDefault="00B76509" w:rsidP="00B76509">
      <w:r w:rsidRPr="00B76509">
        <w:t xml:space="preserve">The </w:t>
      </w:r>
      <w:r w:rsidRPr="00B76509">
        <w:rPr>
          <w:b/>
          <w:bCs/>
        </w:rPr>
        <w:t>VOTW Forecasting &amp; Strategy Platform</w:t>
      </w:r>
      <w:r w:rsidRPr="00B76509">
        <w:t xml:space="preserve"> delivers a unified solution for forward-looking return modeling, stress testing, optimization, and research insights across real estate and other real assets. It combines quantitative modeling (forecasts, volatility, optimization) with qualitative outputs (research papers, global outlooks, and live forums).</w:t>
      </w:r>
    </w:p>
    <w:p w14:paraId="33F1FBFF" w14:textId="77777777" w:rsidR="00B76509" w:rsidRPr="00B76509" w:rsidRDefault="00B76509" w:rsidP="00B76509">
      <w:pPr>
        <w:rPr>
          <w:b/>
          <w:bCs/>
        </w:rPr>
      </w:pPr>
      <w:r w:rsidRPr="00B76509">
        <w:rPr>
          <w:rFonts w:ascii="Segoe UI Emoji" w:hAnsi="Segoe UI Emoji" w:cs="Segoe UI Emoji"/>
          <w:b/>
          <w:bCs/>
        </w:rPr>
        <w:t>🔹</w:t>
      </w:r>
      <w:r w:rsidRPr="00B76509">
        <w:rPr>
          <w:b/>
          <w:bCs/>
        </w:rPr>
        <w:t xml:space="preserve"> Core Modules:</w:t>
      </w:r>
    </w:p>
    <w:p w14:paraId="655D3BCD" w14:textId="77777777" w:rsidR="00B76509" w:rsidRPr="00B76509" w:rsidRDefault="00B76509" w:rsidP="00B76509">
      <w:pPr>
        <w:numPr>
          <w:ilvl w:val="0"/>
          <w:numId w:val="40"/>
        </w:numPr>
      </w:pPr>
      <w:r w:rsidRPr="00B76509">
        <w:rPr>
          <w:b/>
          <w:bCs/>
        </w:rPr>
        <w:t>Macroeconomic Scenario Forecasts (6-Year Horizon)</w:t>
      </w:r>
    </w:p>
    <w:p w14:paraId="44CC2354" w14:textId="77777777" w:rsidR="00B76509" w:rsidRPr="00B76509" w:rsidRDefault="00B76509" w:rsidP="00B76509">
      <w:pPr>
        <w:numPr>
          <w:ilvl w:val="1"/>
          <w:numId w:val="40"/>
        </w:numPr>
      </w:pPr>
      <w:r w:rsidRPr="00B76509">
        <w:rPr>
          <w:b/>
          <w:bCs/>
        </w:rPr>
        <w:t>Scenarios</w:t>
      </w:r>
      <w:r w:rsidRPr="00B76509">
        <w:t>: Base Case, Low Growth, High Growth</w:t>
      </w:r>
    </w:p>
    <w:p w14:paraId="66743105" w14:textId="77777777" w:rsidR="00B76509" w:rsidRPr="00B76509" w:rsidRDefault="00B76509" w:rsidP="00B76509">
      <w:pPr>
        <w:numPr>
          <w:ilvl w:val="1"/>
          <w:numId w:val="40"/>
        </w:numPr>
      </w:pPr>
      <w:r w:rsidRPr="00B76509">
        <w:rPr>
          <w:b/>
          <w:bCs/>
        </w:rPr>
        <w:t>Regions Covered</w:t>
      </w:r>
      <w:r w:rsidRPr="00B76509">
        <w:t>: U.S., U.K., Continental Europe, Australia, Japan</w:t>
      </w:r>
    </w:p>
    <w:p w14:paraId="12896F0D" w14:textId="77777777" w:rsidR="00B76509" w:rsidRPr="00B76509" w:rsidRDefault="00B76509" w:rsidP="00B76509">
      <w:pPr>
        <w:numPr>
          <w:ilvl w:val="1"/>
          <w:numId w:val="40"/>
        </w:numPr>
      </w:pPr>
      <w:r w:rsidRPr="00B76509">
        <w:rPr>
          <w:b/>
          <w:bCs/>
        </w:rPr>
        <w:t>Forecasted Variables</w:t>
      </w:r>
      <w:r w:rsidRPr="00B76509">
        <w:t>:</w:t>
      </w:r>
    </w:p>
    <w:p w14:paraId="3D75FE38" w14:textId="77777777" w:rsidR="00B76509" w:rsidRPr="00B76509" w:rsidRDefault="00B76509" w:rsidP="00B76509">
      <w:pPr>
        <w:numPr>
          <w:ilvl w:val="2"/>
          <w:numId w:val="40"/>
        </w:numPr>
      </w:pPr>
      <w:r w:rsidRPr="00B76509">
        <w:t>GDP Growth</w:t>
      </w:r>
    </w:p>
    <w:p w14:paraId="72A68288" w14:textId="77777777" w:rsidR="00B76509" w:rsidRPr="00B76509" w:rsidRDefault="00B76509" w:rsidP="00B76509">
      <w:pPr>
        <w:numPr>
          <w:ilvl w:val="2"/>
          <w:numId w:val="40"/>
        </w:numPr>
      </w:pPr>
      <w:r w:rsidRPr="00B76509">
        <w:t>Inflation</w:t>
      </w:r>
    </w:p>
    <w:p w14:paraId="78EA9397" w14:textId="77777777" w:rsidR="00B76509" w:rsidRPr="00B76509" w:rsidRDefault="00B76509" w:rsidP="00B76509">
      <w:pPr>
        <w:numPr>
          <w:ilvl w:val="2"/>
          <w:numId w:val="40"/>
        </w:numPr>
      </w:pPr>
      <w:r w:rsidRPr="00B76509">
        <w:t>10-year and 5-year risk-free rates</w:t>
      </w:r>
    </w:p>
    <w:p w14:paraId="5A2CEF2E" w14:textId="77777777" w:rsidR="00B76509" w:rsidRPr="00B76509" w:rsidRDefault="00B76509" w:rsidP="00B76509">
      <w:pPr>
        <w:numPr>
          <w:ilvl w:val="2"/>
          <w:numId w:val="40"/>
        </w:numPr>
      </w:pPr>
      <w:r w:rsidRPr="00B76509">
        <w:t>Borrowing costs / cost of debt</w:t>
      </w:r>
    </w:p>
    <w:p w14:paraId="08E0A423" w14:textId="77777777" w:rsidR="00B76509" w:rsidRPr="00B76509" w:rsidRDefault="00B76509" w:rsidP="00B76509">
      <w:pPr>
        <w:numPr>
          <w:ilvl w:val="0"/>
          <w:numId w:val="40"/>
        </w:numPr>
      </w:pPr>
      <w:r w:rsidRPr="00B76509">
        <w:rPr>
          <w:b/>
          <w:bCs/>
        </w:rPr>
        <w:t>Sector-Level Real Asset Forecasts</w:t>
      </w:r>
    </w:p>
    <w:p w14:paraId="2D057FD3" w14:textId="77777777" w:rsidR="00B76509" w:rsidRPr="00B76509" w:rsidRDefault="00B76509" w:rsidP="00B76509">
      <w:pPr>
        <w:numPr>
          <w:ilvl w:val="1"/>
          <w:numId w:val="40"/>
        </w:numPr>
      </w:pPr>
      <w:r w:rsidRPr="00B76509">
        <w:rPr>
          <w:b/>
          <w:bCs/>
        </w:rPr>
        <w:t>Regions &amp; Sectors</w:t>
      </w:r>
      <w:r w:rsidRPr="00B76509">
        <w:t>:</w:t>
      </w:r>
    </w:p>
    <w:p w14:paraId="47058277" w14:textId="77777777" w:rsidR="00B76509" w:rsidRPr="00B76509" w:rsidRDefault="00B76509" w:rsidP="00B76509">
      <w:pPr>
        <w:numPr>
          <w:ilvl w:val="2"/>
          <w:numId w:val="40"/>
        </w:numPr>
      </w:pPr>
      <w:r w:rsidRPr="00B76509">
        <w:rPr>
          <w:b/>
          <w:bCs/>
        </w:rPr>
        <w:t>U.S.</w:t>
      </w:r>
      <w:r w:rsidRPr="00B76509">
        <w:t>: Industrial, multifamily, retail, office + 8 other sectors</w:t>
      </w:r>
    </w:p>
    <w:p w14:paraId="396AEDA4" w14:textId="77777777" w:rsidR="00B76509" w:rsidRPr="00B76509" w:rsidRDefault="00B76509" w:rsidP="00B76509">
      <w:pPr>
        <w:numPr>
          <w:ilvl w:val="2"/>
          <w:numId w:val="40"/>
        </w:numPr>
      </w:pPr>
      <w:r w:rsidRPr="00B76509">
        <w:rPr>
          <w:b/>
          <w:bCs/>
        </w:rPr>
        <w:t>Europe</w:t>
      </w:r>
      <w:r w:rsidRPr="00B76509">
        <w:t>: 8–10 major sectors across U.K. and Continental Europe</w:t>
      </w:r>
    </w:p>
    <w:p w14:paraId="562B8152" w14:textId="77777777" w:rsidR="00B76509" w:rsidRPr="00B76509" w:rsidRDefault="00B76509" w:rsidP="00B76509">
      <w:pPr>
        <w:numPr>
          <w:ilvl w:val="2"/>
          <w:numId w:val="40"/>
        </w:numPr>
      </w:pPr>
      <w:r w:rsidRPr="00B76509">
        <w:rPr>
          <w:b/>
          <w:bCs/>
        </w:rPr>
        <w:t>Asia</w:t>
      </w:r>
      <w:r w:rsidRPr="00B76509">
        <w:t>: Key sectors in Australia, Japan, Hong Kong, Singapore</w:t>
      </w:r>
    </w:p>
    <w:p w14:paraId="5E0D1156" w14:textId="77777777" w:rsidR="00B76509" w:rsidRPr="00B76509" w:rsidRDefault="00B76509" w:rsidP="00B76509">
      <w:pPr>
        <w:numPr>
          <w:ilvl w:val="1"/>
          <w:numId w:val="40"/>
        </w:numPr>
      </w:pPr>
      <w:r w:rsidRPr="00B76509">
        <w:rPr>
          <w:b/>
          <w:bCs/>
        </w:rPr>
        <w:t>Outputs</w:t>
      </w:r>
      <w:r w:rsidRPr="00B76509">
        <w:t>:</w:t>
      </w:r>
    </w:p>
    <w:p w14:paraId="365EF552" w14:textId="77777777" w:rsidR="00B76509" w:rsidRPr="00B76509" w:rsidRDefault="00B76509" w:rsidP="00B76509">
      <w:pPr>
        <w:numPr>
          <w:ilvl w:val="2"/>
          <w:numId w:val="40"/>
        </w:numPr>
      </w:pPr>
      <w:r w:rsidRPr="00B76509">
        <w:t>Entry &amp; exit cap rates (year-by-year)</w:t>
      </w:r>
    </w:p>
    <w:p w14:paraId="73F625E6" w14:textId="77777777" w:rsidR="00B76509" w:rsidRPr="00B76509" w:rsidRDefault="00B76509" w:rsidP="00B76509">
      <w:pPr>
        <w:numPr>
          <w:ilvl w:val="2"/>
          <w:numId w:val="40"/>
        </w:numPr>
      </w:pPr>
      <w:r w:rsidRPr="00B76509">
        <w:t>Capex burden</w:t>
      </w:r>
    </w:p>
    <w:p w14:paraId="4518E3F6" w14:textId="77777777" w:rsidR="00B76509" w:rsidRPr="00B76509" w:rsidRDefault="00B76509" w:rsidP="00B76509">
      <w:pPr>
        <w:numPr>
          <w:ilvl w:val="2"/>
          <w:numId w:val="40"/>
        </w:numPr>
      </w:pPr>
      <w:r w:rsidRPr="00B76509">
        <w:lastRenderedPageBreak/>
        <w:t>Rent growth (annualized)</w:t>
      </w:r>
    </w:p>
    <w:p w14:paraId="66EE3480" w14:textId="77777777" w:rsidR="00B76509" w:rsidRPr="00B76509" w:rsidRDefault="00B76509" w:rsidP="00B76509">
      <w:pPr>
        <w:numPr>
          <w:ilvl w:val="2"/>
          <w:numId w:val="40"/>
        </w:numPr>
      </w:pPr>
      <w:r w:rsidRPr="00B76509">
        <w:t>Debt costs and LTV assumptions</w:t>
      </w:r>
    </w:p>
    <w:p w14:paraId="5B60EE10" w14:textId="77777777" w:rsidR="00B76509" w:rsidRPr="00B76509" w:rsidRDefault="00B76509" w:rsidP="00B76509">
      <w:pPr>
        <w:numPr>
          <w:ilvl w:val="2"/>
          <w:numId w:val="40"/>
        </w:numPr>
      </w:pPr>
      <w:r w:rsidRPr="00B76509">
        <w:t>Fund-level fee load</w:t>
      </w:r>
    </w:p>
    <w:p w14:paraId="3099B44E" w14:textId="77777777" w:rsidR="00B76509" w:rsidRPr="00B76509" w:rsidRDefault="00B76509" w:rsidP="00B76509">
      <w:pPr>
        <w:numPr>
          <w:ilvl w:val="2"/>
          <w:numId w:val="40"/>
        </w:numPr>
      </w:pPr>
      <w:r w:rsidRPr="00B76509">
        <w:t>Property-level returns</w:t>
      </w:r>
    </w:p>
    <w:p w14:paraId="13A6DBAC" w14:textId="77777777" w:rsidR="00B76509" w:rsidRPr="00B76509" w:rsidRDefault="00B76509" w:rsidP="00B76509">
      <w:pPr>
        <w:numPr>
          <w:ilvl w:val="2"/>
          <w:numId w:val="40"/>
        </w:numPr>
      </w:pPr>
      <w:r w:rsidRPr="00B76509">
        <w:t>Gross and net fund-level returns</w:t>
      </w:r>
    </w:p>
    <w:p w14:paraId="034605F8" w14:textId="77777777" w:rsidR="00B76509" w:rsidRPr="00B76509" w:rsidRDefault="00B76509" w:rsidP="00B76509">
      <w:pPr>
        <w:numPr>
          <w:ilvl w:val="0"/>
          <w:numId w:val="40"/>
        </w:numPr>
      </w:pPr>
      <w:r w:rsidRPr="00B76509">
        <w:rPr>
          <w:b/>
          <w:bCs/>
        </w:rPr>
        <w:t>Portfolio Optimization Engine (CAPM + Custom Constraints)</w:t>
      </w:r>
    </w:p>
    <w:p w14:paraId="305F9C37" w14:textId="77777777" w:rsidR="00B76509" w:rsidRPr="00B76509" w:rsidRDefault="00B76509" w:rsidP="00B76509">
      <w:pPr>
        <w:numPr>
          <w:ilvl w:val="1"/>
          <w:numId w:val="40"/>
        </w:numPr>
      </w:pPr>
      <w:r w:rsidRPr="00B76509">
        <w:rPr>
          <w:b/>
          <w:bCs/>
        </w:rPr>
        <w:t>Asset Classes Modeled</w:t>
      </w:r>
      <w:r w:rsidRPr="00B76509">
        <w:t>:</w:t>
      </w:r>
    </w:p>
    <w:p w14:paraId="5EF8A866" w14:textId="77777777" w:rsidR="00B76509" w:rsidRPr="00B76509" w:rsidRDefault="00B76509" w:rsidP="00B76509">
      <w:pPr>
        <w:numPr>
          <w:ilvl w:val="2"/>
          <w:numId w:val="40"/>
        </w:numPr>
      </w:pPr>
      <w:r w:rsidRPr="00B76509">
        <w:t>Core, Value-Add, Opportunistic Real Estate</w:t>
      </w:r>
    </w:p>
    <w:p w14:paraId="0461274D" w14:textId="77777777" w:rsidR="00B76509" w:rsidRPr="00B76509" w:rsidRDefault="00B76509" w:rsidP="00B76509">
      <w:pPr>
        <w:numPr>
          <w:ilvl w:val="2"/>
          <w:numId w:val="40"/>
        </w:numPr>
      </w:pPr>
      <w:r w:rsidRPr="00B76509">
        <w:t>REITs, Infrastructure, Agriculture, Timber</w:t>
      </w:r>
    </w:p>
    <w:p w14:paraId="1E2D6B13" w14:textId="77777777" w:rsidR="00B76509" w:rsidRPr="00B76509" w:rsidRDefault="00B76509" w:rsidP="00B76509">
      <w:pPr>
        <w:numPr>
          <w:ilvl w:val="2"/>
          <w:numId w:val="40"/>
        </w:numPr>
      </w:pPr>
      <w:r w:rsidRPr="00B76509">
        <w:t>Public Equities, Bonds, Private Equity</w:t>
      </w:r>
    </w:p>
    <w:p w14:paraId="4F7170EC" w14:textId="77777777" w:rsidR="00B76509" w:rsidRPr="00B76509" w:rsidRDefault="00B76509" w:rsidP="00B76509">
      <w:pPr>
        <w:numPr>
          <w:ilvl w:val="1"/>
          <w:numId w:val="40"/>
        </w:numPr>
      </w:pPr>
      <w:r w:rsidRPr="00B76509">
        <w:rPr>
          <w:b/>
          <w:bCs/>
        </w:rPr>
        <w:t>Outputs</w:t>
      </w:r>
      <w:r w:rsidRPr="00B76509">
        <w:t>:</w:t>
      </w:r>
    </w:p>
    <w:p w14:paraId="4E05F057" w14:textId="77777777" w:rsidR="00B76509" w:rsidRPr="00B76509" w:rsidRDefault="00B76509" w:rsidP="00B76509">
      <w:pPr>
        <w:numPr>
          <w:ilvl w:val="2"/>
          <w:numId w:val="40"/>
        </w:numPr>
      </w:pPr>
      <w:r w:rsidRPr="00B76509">
        <w:t>Optimal real asset allocations</w:t>
      </w:r>
    </w:p>
    <w:p w14:paraId="54E214F1" w14:textId="77777777" w:rsidR="00B76509" w:rsidRPr="00B76509" w:rsidRDefault="00B76509" w:rsidP="00B76509">
      <w:pPr>
        <w:numPr>
          <w:ilvl w:val="2"/>
          <w:numId w:val="40"/>
        </w:numPr>
      </w:pPr>
      <w:r w:rsidRPr="00B76509">
        <w:t>Cross-asset allocation strategies incorporating LP-specific constraints</w:t>
      </w:r>
    </w:p>
    <w:p w14:paraId="004A4B81" w14:textId="77777777" w:rsidR="00B76509" w:rsidRPr="00B76509" w:rsidRDefault="00B76509" w:rsidP="00B76509">
      <w:pPr>
        <w:numPr>
          <w:ilvl w:val="2"/>
          <w:numId w:val="40"/>
        </w:numPr>
      </w:pPr>
      <w:r w:rsidRPr="00B76509">
        <w:t>Scenario toggling across growth paths and volatility assumptions</w:t>
      </w:r>
    </w:p>
    <w:p w14:paraId="3D3F4132" w14:textId="77777777" w:rsidR="00B76509" w:rsidRPr="00B76509" w:rsidRDefault="00B76509" w:rsidP="00B76509">
      <w:pPr>
        <w:numPr>
          <w:ilvl w:val="0"/>
          <w:numId w:val="40"/>
        </w:numPr>
      </w:pPr>
      <w:r w:rsidRPr="00B76509">
        <w:rPr>
          <w:b/>
          <w:bCs/>
        </w:rPr>
        <w:t>Scenario Planning &amp; Stress Testing</w:t>
      </w:r>
    </w:p>
    <w:p w14:paraId="3EB4F0E2" w14:textId="77777777" w:rsidR="00B76509" w:rsidRPr="00B76509" w:rsidRDefault="00B76509" w:rsidP="00B76509">
      <w:pPr>
        <w:numPr>
          <w:ilvl w:val="1"/>
          <w:numId w:val="40"/>
        </w:numPr>
      </w:pPr>
      <w:r w:rsidRPr="00B76509">
        <w:t>Sector- and region-level volatility curves</w:t>
      </w:r>
    </w:p>
    <w:p w14:paraId="3E89EE89" w14:textId="77777777" w:rsidR="00B76509" w:rsidRPr="00B76509" w:rsidRDefault="00B76509" w:rsidP="00B76509">
      <w:pPr>
        <w:numPr>
          <w:ilvl w:val="1"/>
          <w:numId w:val="40"/>
        </w:numPr>
      </w:pPr>
      <w:r w:rsidRPr="00B76509">
        <w:t>Scenario-specific downside risk and capture ratio analysis</w:t>
      </w:r>
    </w:p>
    <w:p w14:paraId="4C90CED7" w14:textId="77777777" w:rsidR="00B76509" w:rsidRPr="00B76509" w:rsidRDefault="00B76509" w:rsidP="00B76509">
      <w:pPr>
        <w:numPr>
          <w:ilvl w:val="1"/>
          <w:numId w:val="40"/>
        </w:numPr>
      </w:pPr>
      <w:r w:rsidRPr="00B76509">
        <w:t xml:space="preserve">Output: </w:t>
      </w:r>
      <w:r w:rsidRPr="00B76509">
        <w:rPr>
          <w:b/>
          <w:bCs/>
        </w:rPr>
        <w:t>Townsend Risk Assessment &amp; Scenario Planning Report (TRASPR)</w:t>
      </w:r>
    </w:p>
    <w:p w14:paraId="6A5BFC79" w14:textId="77777777" w:rsidR="00B76509" w:rsidRPr="00B76509" w:rsidRDefault="00B76509" w:rsidP="00B76509">
      <w:pPr>
        <w:numPr>
          <w:ilvl w:val="0"/>
          <w:numId w:val="40"/>
        </w:numPr>
      </w:pPr>
      <w:r w:rsidRPr="00B76509">
        <w:rPr>
          <w:b/>
          <w:bCs/>
        </w:rPr>
        <w:t>Monthly Research Reports</w:t>
      </w:r>
    </w:p>
    <w:p w14:paraId="65F19D26" w14:textId="77777777" w:rsidR="00B76509" w:rsidRPr="00B76509" w:rsidRDefault="00B76509" w:rsidP="00B76509">
      <w:pPr>
        <w:numPr>
          <w:ilvl w:val="1"/>
          <w:numId w:val="40"/>
        </w:numPr>
      </w:pPr>
      <w:r w:rsidRPr="00B76509">
        <w:t>Rotating sector and regional focus across U.S., Europe, and Asia-Pacific</w:t>
      </w:r>
    </w:p>
    <w:p w14:paraId="0126A9ED" w14:textId="77777777" w:rsidR="00B76509" w:rsidRPr="00B76509" w:rsidRDefault="00B76509" w:rsidP="00B76509">
      <w:pPr>
        <w:numPr>
          <w:ilvl w:val="1"/>
          <w:numId w:val="40"/>
        </w:numPr>
      </w:pPr>
      <w:r w:rsidRPr="00B76509">
        <w:t>Each major region and sector is covered at least once annually</w:t>
      </w:r>
    </w:p>
    <w:p w14:paraId="4351AAE3" w14:textId="77777777" w:rsidR="00B76509" w:rsidRPr="00B76509" w:rsidRDefault="00B76509" w:rsidP="00B76509">
      <w:pPr>
        <w:numPr>
          <w:ilvl w:val="1"/>
          <w:numId w:val="40"/>
        </w:numPr>
      </w:pPr>
      <w:r w:rsidRPr="00B76509">
        <w:t>Topics include: capital markets, emerging strategies, valuations, and capital flow dynamics</w:t>
      </w:r>
    </w:p>
    <w:p w14:paraId="2F158C60" w14:textId="77777777" w:rsidR="00B76509" w:rsidRPr="00B76509" w:rsidRDefault="00B76509" w:rsidP="00B76509">
      <w:pPr>
        <w:numPr>
          <w:ilvl w:val="1"/>
          <w:numId w:val="40"/>
        </w:numPr>
      </w:pPr>
      <w:r w:rsidRPr="00B76509">
        <w:t>Synthesizes both forecasted data and macro-level themes</w:t>
      </w:r>
    </w:p>
    <w:p w14:paraId="68B70FDF" w14:textId="77777777" w:rsidR="00B76509" w:rsidRPr="00B76509" w:rsidRDefault="00B76509" w:rsidP="00B76509">
      <w:pPr>
        <w:numPr>
          <w:ilvl w:val="0"/>
          <w:numId w:val="40"/>
        </w:numPr>
      </w:pPr>
      <w:r w:rsidRPr="00B76509">
        <w:rPr>
          <w:b/>
          <w:bCs/>
        </w:rPr>
        <w:t>Biannual Global VOTW Publication</w:t>
      </w:r>
    </w:p>
    <w:p w14:paraId="51E8C569" w14:textId="77777777" w:rsidR="00B76509" w:rsidRPr="00B76509" w:rsidRDefault="00B76509" w:rsidP="00B76509">
      <w:pPr>
        <w:numPr>
          <w:ilvl w:val="1"/>
          <w:numId w:val="40"/>
        </w:numPr>
      </w:pPr>
      <w:r w:rsidRPr="00B76509">
        <w:t>Comprehensive strategic report combining:</w:t>
      </w:r>
    </w:p>
    <w:p w14:paraId="69EA4075" w14:textId="77777777" w:rsidR="00B76509" w:rsidRPr="00B76509" w:rsidRDefault="00B76509" w:rsidP="00B76509">
      <w:pPr>
        <w:numPr>
          <w:ilvl w:val="2"/>
          <w:numId w:val="40"/>
        </w:numPr>
      </w:pPr>
      <w:r w:rsidRPr="00B76509">
        <w:lastRenderedPageBreak/>
        <w:t>Macroeconomic outlook</w:t>
      </w:r>
    </w:p>
    <w:p w14:paraId="5AB7B73F" w14:textId="77777777" w:rsidR="00B76509" w:rsidRPr="00B76509" w:rsidRDefault="00B76509" w:rsidP="00B76509">
      <w:pPr>
        <w:numPr>
          <w:ilvl w:val="2"/>
          <w:numId w:val="40"/>
        </w:numPr>
      </w:pPr>
      <w:r w:rsidRPr="00B76509">
        <w:t>Sector and regional forward views</w:t>
      </w:r>
    </w:p>
    <w:p w14:paraId="54FDD78F" w14:textId="77777777" w:rsidR="00B76509" w:rsidRPr="00B76509" w:rsidRDefault="00B76509" w:rsidP="00B76509">
      <w:pPr>
        <w:numPr>
          <w:ilvl w:val="2"/>
          <w:numId w:val="40"/>
        </w:numPr>
      </w:pPr>
      <w:r w:rsidRPr="00B76509">
        <w:t>Allocation considerations and scenario overlays</w:t>
      </w:r>
    </w:p>
    <w:p w14:paraId="29436377" w14:textId="77777777" w:rsidR="00B76509" w:rsidRPr="00B76509" w:rsidRDefault="00B76509" w:rsidP="00B76509">
      <w:pPr>
        <w:numPr>
          <w:ilvl w:val="1"/>
          <w:numId w:val="40"/>
        </w:numPr>
      </w:pPr>
      <w:r w:rsidRPr="00B76509">
        <w:t>Used for client-level planning and boardroom briefings</w:t>
      </w:r>
    </w:p>
    <w:p w14:paraId="194B8FE5" w14:textId="77777777" w:rsidR="00B76509" w:rsidRPr="00B76509" w:rsidRDefault="00B76509" w:rsidP="00B76509">
      <w:pPr>
        <w:numPr>
          <w:ilvl w:val="1"/>
          <w:numId w:val="40"/>
        </w:numPr>
      </w:pPr>
      <w:r w:rsidRPr="00B76509">
        <w:t>Draws directly from forecasting engine and TRASPR modules</w:t>
      </w:r>
    </w:p>
    <w:p w14:paraId="02DBF87F" w14:textId="77777777" w:rsidR="00B76509" w:rsidRPr="00B76509" w:rsidRDefault="00B76509" w:rsidP="00B76509">
      <w:pPr>
        <w:numPr>
          <w:ilvl w:val="0"/>
          <w:numId w:val="40"/>
        </w:numPr>
      </w:pPr>
      <w:r w:rsidRPr="00B76509">
        <w:rPr>
          <w:b/>
          <w:bCs/>
        </w:rPr>
        <w:t>LP-Only Forums (2–4x Annually per Region)</w:t>
      </w:r>
    </w:p>
    <w:p w14:paraId="4BD8CB5F" w14:textId="77777777" w:rsidR="00B76509" w:rsidRPr="00B76509" w:rsidRDefault="00B76509" w:rsidP="00B76509">
      <w:pPr>
        <w:numPr>
          <w:ilvl w:val="1"/>
          <w:numId w:val="40"/>
        </w:numPr>
      </w:pPr>
      <w:r w:rsidRPr="00B76509">
        <w:t>In-person or virtual regional events</w:t>
      </w:r>
    </w:p>
    <w:p w14:paraId="56FECDEF" w14:textId="77777777" w:rsidR="00B76509" w:rsidRPr="00B76509" w:rsidRDefault="00B76509" w:rsidP="00B76509">
      <w:pPr>
        <w:numPr>
          <w:ilvl w:val="1"/>
          <w:numId w:val="40"/>
        </w:numPr>
      </w:pPr>
      <w:r w:rsidRPr="00B76509">
        <w:t>Share VOTW insights and research takeaways</w:t>
      </w:r>
    </w:p>
    <w:p w14:paraId="082F332D" w14:textId="77777777" w:rsidR="00B76509" w:rsidRPr="00B76509" w:rsidRDefault="00B76509" w:rsidP="00B76509">
      <w:pPr>
        <w:numPr>
          <w:ilvl w:val="1"/>
          <w:numId w:val="40"/>
        </w:numPr>
      </w:pPr>
      <w:r w:rsidRPr="00B76509">
        <w:t>Encourage institutional peer learning, outlook alignment, and capital planning discussions</w:t>
      </w:r>
    </w:p>
    <w:p w14:paraId="15CB07A9" w14:textId="77777777" w:rsidR="00B76509" w:rsidRPr="00B76509" w:rsidRDefault="002F0F54" w:rsidP="00B76509">
      <w:r>
        <w:pict w14:anchorId="1FD95C6E">
          <v:rect id="_x0000_i1044" style="width:0;height:1.5pt" o:hralign="center" o:hrstd="t" o:hr="t" fillcolor="#a0a0a0" stroked="f"/>
        </w:pict>
      </w:r>
    </w:p>
    <w:p w14:paraId="28F1AEB8" w14:textId="77777777" w:rsidR="00B76509" w:rsidRPr="00B76509" w:rsidRDefault="00B76509" w:rsidP="00B76509">
      <w:pPr>
        <w:rPr>
          <w:b/>
          <w:bCs/>
        </w:rPr>
      </w:pPr>
      <w:r w:rsidRPr="00B76509">
        <w:rPr>
          <w:b/>
          <w:bCs/>
        </w:rPr>
        <w:t>B. Target Clients and Their Key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407"/>
      </w:tblGrid>
      <w:tr w:rsidR="00B76509" w:rsidRPr="00B76509" w14:paraId="016CEB06" w14:textId="77777777">
        <w:trPr>
          <w:tblHeader/>
          <w:tblCellSpacing w:w="15" w:type="dxa"/>
        </w:trPr>
        <w:tc>
          <w:tcPr>
            <w:tcW w:w="0" w:type="auto"/>
            <w:vAlign w:val="center"/>
            <w:hideMark/>
          </w:tcPr>
          <w:p w14:paraId="5AC897E4" w14:textId="77777777" w:rsidR="00B76509" w:rsidRPr="00B76509" w:rsidRDefault="00B76509" w:rsidP="00B76509">
            <w:pPr>
              <w:rPr>
                <w:b/>
                <w:bCs/>
              </w:rPr>
            </w:pPr>
            <w:r w:rsidRPr="00B76509">
              <w:rPr>
                <w:b/>
                <w:bCs/>
              </w:rPr>
              <w:t>Client Type</w:t>
            </w:r>
          </w:p>
        </w:tc>
        <w:tc>
          <w:tcPr>
            <w:tcW w:w="0" w:type="auto"/>
            <w:vAlign w:val="center"/>
            <w:hideMark/>
          </w:tcPr>
          <w:p w14:paraId="5C77F7DE" w14:textId="77777777" w:rsidR="00B76509" w:rsidRPr="00B76509" w:rsidRDefault="00B76509" w:rsidP="00B76509">
            <w:pPr>
              <w:rPr>
                <w:b/>
                <w:bCs/>
              </w:rPr>
            </w:pPr>
            <w:r w:rsidRPr="00B76509">
              <w:rPr>
                <w:b/>
                <w:bCs/>
              </w:rPr>
              <w:t>Use Cases</w:t>
            </w:r>
          </w:p>
        </w:tc>
      </w:tr>
      <w:tr w:rsidR="00B76509" w:rsidRPr="00B76509" w14:paraId="08FF7DF5" w14:textId="77777777">
        <w:trPr>
          <w:tblCellSpacing w:w="15" w:type="dxa"/>
        </w:trPr>
        <w:tc>
          <w:tcPr>
            <w:tcW w:w="0" w:type="auto"/>
            <w:vAlign w:val="center"/>
            <w:hideMark/>
          </w:tcPr>
          <w:p w14:paraId="4A8103D2" w14:textId="77777777" w:rsidR="00B76509" w:rsidRPr="00B76509" w:rsidRDefault="00B76509" w:rsidP="00B76509">
            <w:r w:rsidRPr="00B76509">
              <w:rPr>
                <w:b/>
                <w:bCs/>
              </w:rPr>
              <w:t>Institutional LPs</w:t>
            </w:r>
          </w:p>
        </w:tc>
        <w:tc>
          <w:tcPr>
            <w:tcW w:w="0" w:type="auto"/>
            <w:vAlign w:val="center"/>
            <w:hideMark/>
          </w:tcPr>
          <w:p w14:paraId="527C636F" w14:textId="77777777" w:rsidR="00B76509" w:rsidRPr="00B76509" w:rsidRDefault="00B76509" w:rsidP="00B76509">
            <w:r w:rsidRPr="00B76509">
              <w:t>Model portfolios, determine sector tilts, assess macro risk, perform scenario planning, develop IC materials</w:t>
            </w:r>
          </w:p>
        </w:tc>
      </w:tr>
      <w:tr w:rsidR="00B76509" w:rsidRPr="00B76509" w14:paraId="53AE689E" w14:textId="77777777">
        <w:trPr>
          <w:tblCellSpacing w:w="15" w:type="dxa"/>
        </w:trPr>
        <w:tc>
          <w:tcPr>
            <w:tcW w:w="0" w:type="auto"/>
            <w:vAlign w:val="center"/>
            <w:hideMark/>
          </w:tcPr>
          <w:p w14:paraId="4C8FD14E" w14:textId="77777777" w:rsidR="00B76509" w:rsidRPr="00B76509" w:rsidRDefault="00B76509" w:rsidP="00B76509">
            <w:r w:rsidRPr="00B76509">
              <w:rPr>
                <w:b/>
                <w:bCs/>
              </w:rPr>
              <w:t>GPs / Asset Managers</w:t>
            </w:r>
          </w:p>
        </w:tc>
        <w:tc>
          <w:tcPr>
            <w:tcW w:w="0" w:type="auto"/>
            <w:vAlign w:val="center"/>
            <w:hideMark/>
          </w:tcPr>
          <w:p w14:paraId="445D8B1B" w14:textId="77777777" w:rsidR="00B76509" w:rsidRPr="00B76509" w:rsidRDefault="00B76509" w:rsidP="00B76509">
            <w:r w:rsidRPr="00B76509">
              <w:t>Align product offerings to macro outlooks, identify sector entry/exit timing, integrate TRASPR insights into investor materials</w:t>
            </w:r>
          </w:p>
        </w:tc>
      </w:tr>
      <w:tr w:rsidR="00B76509" w:rsidRPr="00B76509" w14:paraId="22D57D97" w14:textId="77777777">
        <w:trPr>
          <w:tblCellSpacing w:w="15" w:type="dxa"/>
        </w:trPr>
        <w:tc>
          <w:tcPr>
            <w:tcW w:w="0" w:type="auto"/>
            <w:vAlign w:val="center"/>
            <w:hideMark/>
          </w:tcPr>
          <w:p w14:paraId="64F05F1F" w14:textId="77777777" w:rsidR="00B76509" w:rsidRPr="00B76509" w:rsidRDefault="00B76509" w:rsidP="00B76509">
            <w:r w:rsidRPr="00B76509">
              <w:rPr>
                <w:b/>
                <w:bCs/>
              </w:rPr>
              <w:t>Consultants</w:t>
            </w:r>
          </w:p>
        </w:tc>
        <w:tc>
          <w:tcPr>
            <w:tcW w:w="0" w:type="auto"/>
            <w:vAlign w:val="center"/>
            <w:hideMark/>
          </w:tcPr>
          <w:p w14:paraId="747E0D69" w14:textId="77777777" w:rsidR="00B76509" w:rsidRPr="00B76509" w:rsidRDefault="00B76509" w:rsidP="00B76509">
            <w:r w:rsidRPr="00B76509">
              <w:t>Develop pacing models, overlay forecasts on client mandates, build capital markets outlook decks</w:t>
            </w:r>
          </w:p>
        </w:tc>
      </w:tr>
      <w:tr w:rsidR="00B76509" w:rsidRPr="00B76509" w14:paraId="0571EE8A" w14:textId="77777777">
        <w:trPr>
          <w:tblCellSpacing w:w="15" w:type="dxa"/>
        </w:trPr>
        <w:tc>
          <w:tcPr>
            <w:tcW w:w="0" w:type="auto"/>
            <w:vAlign w:val="center"/>
            <w:hideMark/>
          </w:tcPr>
          <w:p w14:paraId="733FDADA" w14:textId="77777777" w:rsidR="00B76509" w:rsidRPr="00B76509" w:rsidRDefault="00B76509" w:rsidP="00B76509">
            <w:r w:rsidRPr="00B76509">
              <w:rPr>
                <w:b/>
                <w:bCs/>
              </w:rPr>
              <w:t>Wealth Platforms</w:t>
            </w:r>
          </w:p>
        </w:tc>
        <w:tc>
          <w:tcPr>
            <w:tcW w:w="0" w:type="auto"/>
            <w:vAlign w:val="center"/>
            <w:hideMark/>
          </w:tcPr>
          <w:p w14:paraId="73BBC498" w14:textId="77777777" w:rsidR="00B76509" w:rsidRPr="00B76509" w:rsidRDefault="00B76509" w:rsidP="00B76509">
            <w:r w:rsidRPr="00B76509">
              <w:t>Incorporate strategy insights into portfolio construction models and asset allocation strategies</w:t>
            </w:r>
          </w:p>
        </w:tc>
      </w:tr>
      <w:tr w:rsidR="00B76509" w:rsidRPr="00B76509" w14:paraId="7ED80BDF" w14:textId="77777777">
        <w:trPr>
          <w:tblCellSpacing w:w="15" w:type="dxa"/>
        </w:trPr>
        <w:tc>
          <w:tcPr>
            <w:tcW w:w="0" w:type="auto"/>
            <w:vAlign w:val="center"/>
            <w:hideMark/>
          </w:tcPr>
          <w:p w14:paraId="7ED8C639" w14:textId="77777777" w:rsidR="00B76509" w:rsidRPr="00B76509" w:rsidRDefault="00B76509" w:rsidP="00B76509">
            <w:r w:rsidRPr="00B76509">
              <w:rPr>
                <w:b/>
                <w:bCs/>
              </w:rPr>
              <w:t>Family Offices</w:t>
            </w:r>
          </w:p>
        </w:tc>
        <w:tc>
          <w:tcPr>
            <w:tcW w:w="0" w:type="auto"/>
            <w:vAlign w:val="center"/>
            <w:hideMark/>
          </w:tcPr>
          <w:p w14:paraId="5D396B59" w14:textId="77777777" w:rsidR="00B76509" w:rsidRPr="00B76509" w:rsidRDefault="00B76509" w:rsidP="00B76509">
            <w:r w:rsidRPr="00B76509">
              <w:t>Adjust private allocation frameworks based on real asset outlooks, improve directional exposure decisions</w:t>
            </w:r>
          </w:p>
        </w:tc>
      </w:tr>
      <w:tr w:rsidR="00B76509" w:rsidRPr="00B76509" w14:paraId="1C6BDE48" w14:textId="77777777">
        <w:trPr>
          <w:tblCellSpacing w:w="15" w:type="dxa"/>
        </w:trPr>
        <w:tc>
          <w:tcPr>
            <w:tcW w:w="0" w:type="auto"/>
            <w:vAlign w:val="center"/>
            <w:hideMark/>
          </w:tcPr>
          <w:p w14:paraId="414C6259" w14:textId="77777777" w:rsidR="00B76509" w:rsidRPr="00B76509" w:rsidRDefault="00B76509" w:rsidP="00B76509">
            <w:r w:rsidRPr="00B76509">
              <w:rPr>
                <w:b/>
                <w:bCs/>
              </w:rPr>
              <w:t>Academia / Research</w:t>
            </w:r>
          </w:p>
        </w:tc>
        <w:tc>
          <w:tcPr>
            <w:tcW w:w="0" w:type="auto"/>
            <w:vAlign w:val="center"/>
            <w:hideMark/>
          </w:tcPr>
          <w:p w14:paraId="2A65BF62" w14:textId="77777777" w:rsidR="00B76509" w:rsidRPr="00B76509" w:rsidRDefault="00B76509" w:rsidP="00B76509">
            <w:r w:rsidRPr="00B76509">
              <w:t>Use forecast models, volatility curves, and thematic papers in research or education contexts</w:t>
            </w:r>
          </w:p>
        </w:tc>
      </w:tr>
    </w:tbl>
    <w:p w14:paraId="713B352A" w14:textId="77777777" w:rsidR="00B76509" w:rsidRPr="00B76509" w:rsidRDefault="002F0F54" w:rsidP="00B76509">
      <w:r>
        <w:pict w14:anchorId="70BBA0E7">
          <v:rect id="_x0000_i1045" style="width:0;height:1.5pt" o:hralign="center" o:hrstd="t" o:hr="t" fillcolor="#a0a0a0" stroked="f"/>
        </w:pict>
      </w:r>
    </w:p>
    <w:p w14:paraId="07737144" w14:textId="77777777" w:rsidR="00B76509" w:rsidRPr="00B76509" w:rsidRDefault="00B76509" w:rsidP="00B76509">
      <w:pPr>
        <w:rPr>
          <w:b/>
          <w:bCs/>
        </w:rPr>
      </w:pPr>
      <w:r w:rsidRPr="00B76509">
        <w:rPr>
          <w:b/>
          <w:bCs/>
        </w:rPr>
        <w:t>C. Development Status</w:t>
      </w:r>
    </w:p>
    <w:p w14:paraId="72CCEB7B" w14:textId="77777777" w:rsidR="00B76509" w:rsidRPr="00B76509" w:rsidRDefault="00B76509" w:rsidP="00B76509">
      <w:pPr>
        <w:numPr>
          <w:ilvl w:val="0"/>
          <w:numId w:val="41"/>
        </w:numPr>
      </w:pPr>
      <w:r w:rsidRPr="00B76509">
        <w:rPr>
          <w:rFonts w:ascii="Segoe UI Emoji" w:hAnsi="Segoe UI Emoji" w:cs="Segoe UI Emoji"/>
        </w:rPr>
        <w:lastRenderedPageBreak/>
        <w:t>✅</w:t>
      </w:r>
      <w:r w:rsidRPr="00B76509">
        <w:t xml:space="preserve"> </w:t>
      </w:r>
      <w:r w:rsidRPr="00B76509">
        <w:rPr>
          <w:b/>
          <w:bCs/>
        </w:rPr>
        <w:t>Macroeconomic Scenarios</w:t>
      </w:r>
      <w:r w:rsidRPr="00B76509">
        <w:t xml:space="preserve"> (U.S. base case, high-growth, low-growth) developed</w:t>
      </w:r>
    </w:p>
    <w:p w14:paraId="3A72CD36"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5-Year Core Sector Forecasts</w:t>
      </w:r>
      <w:r w:rsidRPr="00B76509">
        <w:t xml:space="preserve"> completed for U.S., U.K., Europe, Australia, Japan</w:t>
      </w:r>
    </w:p>
    <w:p w14:paraId="61377073"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Volatility Estimates (U.S.)</w:t>
      </w:r>
      <w:r w:rsidRPr="00B76509">
        <w:t xml:space="preserve"> complete; international in development</w:t>
      </w:r>
    </w:p>
    <w:p w14:paraId="26E1D1D5"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Python-based CAPM Optimizer</w:t>
      </w:r>
      <w:r w:rsidRPr="00B76509">
        <w:t xml:space="preserve"> built and tested with full scenario toggling</w:t>
      </w:r>
    </w:p>
    <w:p w14:paraId="403B9AFE"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Biannual VOTW Publication</w:t>
      </w:r>
      <w:r w:rsidRPr="00B76509">
        <w:t xml:space="preserve"> published regularly and distributed</w:t>
      </w:r>
    </w:p>
    <w:p w14:paraId="49B5C81B"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Monthly Research Reports</w:t>
      </w:r>
      <w:r w:rsidRPr="00B76509">
        <w:t xml:space="preserve"> in progress with partial sector/region rotation live</w:t>
      </w:r>
    </w:p>
    <w:p w14:paraId="5DCA98BC" w14:textId="77777777" w:rsidR="00B76509" w:rsidRPr="00B76509" w:rsidRDefault="00B76509" w:rsidP="00B76509">
      <w:pPr>
        <w:numPr>
          <w:ilvl w:val="0"/>
          <w:numId w:val="41"/>
        </w:numPr>
      </w:pPr>
      <w:r w:rsidRPr="00B76509">
        <w:rPr>
          <w:rFonts w:ascii="Segoe UI Emoji" w:hAnsi="Segoe UI Emoji" w:cs="Segoe UI Emoji"/>
        </w:rPr>
        <w:t>🚧</w:t>
      </w:r>
      <w:r w:rsidRPr="00B76509">
        <w:t xml:space="preserve"> </w:t>
      </w:r>
      <w:r w:rsidRPr="00B76509">
        <w:rPr>
          <w:b/>
          <w:bCs/>
        </w:rPr>
        <w:t>LP-Only Conference Structure</w:t>
      </w:r>
      <w:r w:rsidRPr="00B76509">
        <w:t xml:space="preserve"> currently under evaluation and design</w:t>
      </w:r>
    </w:p>
    <w:p w14:paraId="405257D6" w14:textId="77777777" w:rsidR="00B76509" w:rsidRPr="00B76509" w:rsidRDefault="002F0F54" w:rsidP="00B76509">
      <w:r>
        <w:pict w14:anchorId="6918BFEB">
          <v:rect id="_x0000_i1046" style="width:0;height:1.5pt" o:hralign="center" o:hrstd="t" o:hr="t" fillcolor="#a0a0a0" stroked="f"/>
        </w:pict>
      </w:r>
    </w:p>
    <w:p w14:paraId="32008A07" w14:textId="77777777" w:rsidR="00B76509" w:rsidRPr="00B76509" w:rsidRDefault="00B76509" w:rsidP="00B76509">
      <w:pPr>
        <w:rPr>
          <w:b/>
          <w:bCs/>
        </w:rPr>
      </w:pPr>
      <w:r w:rsidRPr="00B76509">
        <w:rPr>
          <w:b/>
          <w:bCs/>
        </w:rPr>
        <w:t>D. Next Steps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4"/>
        <w:gridCol w:w="1854"/>
        <w:gridCol w:w="2472"/>
      </w:tblGrid>
      <w:tr w:rsidR="00B76509" w:rsidRPr="00B76509" w14:paraId="6EEED450" w14:textId="77777777">
        <w:trPr>
          <w:tblHeader/>
          <w:tblCellSpacing w:w="15" w:type="dxa"/>
        </w:trPr>
        <w:tc>
          <w:tcPr>
            <w:tcW w:w="0" w:type="auto"/>
            <w:vAlign w:val="center"/>
            <w:hideMark/>
          </w:tcPr>
          <w:p w14:paraId="59BC0DDA" w14:textId="77777777" w:rsidR="00B76509" w:rsidRPr="00B76509" w:rsidRDefault="00B76509" w:rsidP="00B76509">
            <w:pPr>
              <w:rPr>
                <w:b/>
                <w:bCs/>
              </w:rPr>
            </w:pPr>
            <w:r w:rsidRPr="00B76509">
              <w:rPr>
                <w:b/>
                <w:bCs/>
              </w:rPr>
              <w:t>Task</w:t>
            </w:r>
          </w:p>
        </w:tc>
        <w:tc>
          <w:tcPr>
            <w:tcW w:w="0" w:type="auto"/>
            <w:vAlign w:val="center"/>
            <w:hideMark/>
          </w:tcPr>
          <w:p w14:paraId="1E6C3FD6" w14:textId="77777777" w:rsidR="00B76509" w:rsidRPr="00B76509" w:rsidRDefault="00B76509" w:rsidP="00B76509">
            <w:pPr>
              <w:rPr>
                <w:b/>
                <w:bCs/>
              </w:rPr>
            </w:pPr>
            <w:r w:rsidRPr="00B76509">
              <w:rPr>
                <w:b/>
                <w:bCs/>
              </w:rPr>
              <w:t>Responsible Person(s)</w:t>
            </w:r>
          </w:p>
        </w:tc>
        <w:tc>
          <w:tcPr>
            <w:tcW w:w="0" w:type="auto"/>
            <w:vAlign w:val="center"/>
            <w:hideMark/>
          </w:tcPr>
          <w:p w14:paraId="39D9ADD7" w14:textId="77777777" w:rsidR="00B76509" w:rsidRPr="00B76509" w:rsidRDefault="00B76509" w:rsidP="00B76509">
            <w:pPr>
              <w:rPr>
                <w:b/>
                <w:bCs/>
              </w:rPr>
            </w:pPr>
            <w:r w:rsidRPr="00B76509">
              <w:rPr>
                <w:b/>
                <w:bCs/>
              </w:rPr>
              <w:t>Description</w:t>
            </w:r>
          </w:p>
        </w:tc>
      </w:tr>
      <w:tr w:rsidR="00B76509" w:rsidRPr="00B76509" w14:paraId="076B6AD6" w14:textId="77777777">
        <w:trPr>
          <w:tblCellSpacing w:w="15" w:type="dxa"/>
        </w:trPr>
        <w:tc>
          <w:tcPr>
            <w:tcW w:w="0" w:type="auto"/>
            <w:vAlign w:val="center"/>
            <w:hideMark/>
          </w:tcPr>
          <w:p w14:paraId="5B53FEA4" w14:textId="77777777" w:rsidR="00B76509" w:rsidRPr="00B76509" w:rsidRDefault="00B76509" w:rsidP="00B76509">
            <w:r w:rsidRPr="00B76509">
              <w:t>1. Extend macro forecasts to all scenarios</w:t>
            </w:r>
          </w:p>
        </w:tc>
        <w:tc>
          <w:tcPr>
            <w:tcW w:w="0" w:type="auto"/>
            <w:vAlign w:val="center"/>
            <w:hideMark/>
          </w:tcPr>
          <w:p w14:paraId="405CC3E7" w14:textId="77777777" w:rsidR="00B76509" w:rsidRPr="00B76509" w:rsidRDefault="00B76509" w:rsidP="00B76509">
            <w:r w:rsidRPr="00B76509">
              <w:rPr>
                <w:b/>
                <w:bCs/>
              </w:rPr>
              <w:t>Dan (U.S.), George (Europe), Gordon (Asia)</w:t>
            </w:r>
          </w:p>
        </w:tc>
        <w:tc>
          <w:tcPr>
            <w:tcW w:w="0" w:type="auto"/>
            <w:vAlign w:val="center"/>
            <w:hideMark/>
          </w:tcPr>
          <w:p w14:paraId="41D44517" w14:textId="77777777" w:rsidR="00B76509" w:rsidRPr="00B76509" w:rsidRDefault="00B76509" w:rsidP="00B76509">
            <w:r w:rsidRPr="00B76509">
              <w:t>Finalize regional assumptions for high and low growth models</w:t>
            </w:r>
          </w:p>
        </w:tc>
      </w:tr>
      <w:tr w:rsidR="00B76509" w:rsidRPr="00B76509" w14:paraId="07139FAE" w14:textId="77777777">
        <w:trPr>
          <w:tblCellSpacing w:w="15" w:type="dxa"/>
        </w:trPr>
        <w:tc>
          <w:tcPr>
            <w:tcW w:w="0" w:type="auto"/>
            <w:vAlign w:val="center"/>
            <w:hideMark/>
          </w:tcPr>
          <w:p w14:paraId="3EEE414D" w14:textId="77777777" w:rsidR="00B76509" w:rsidRPr="00B76509" w:rsidRDefault="00B76509" w:rsidP="00B76509">
            <w:r w:rsidRPr="00B76509">
              <w:t>2. Refine U.S. volatility models</w:t>
            </w:r>
          </w:p>
        </w:tc>
        <w:tc>
          <w:tcPr>
            <w:tcW w:w="0" w:type="auto"/>
            <w:vAlign w:val="center"/>
            <w:hideMark/>
          </w:tcPr>
          <w:p w14:paraId="554BEB3B" w14:textId="77777777" w:rsidR="00B76509" w:rsidRPr="00B76509" w:rsidRDefault="00B76509" w:rsidP="00B76509">
            <w:r w:rsidRPr="00B76509">
              <w:rPr>
                <w:b/>
                <w:bCs/>
              </w:rPr>
              <w:t>Prashant, Martin</w:t>
            </w:r>
          </w:p>
        </w:tc>
        <w:tc>
          <w:tcPr>
            <w:tcW w:w="0" w:type="auto"/>
            <w:vAlign w:val="center"/>
            <w:hideMark/>
          </w:tcPr>
          <w:p w14:paraId="5C8C227B" w14:textId="77777777" w:rsidR="00B76509" w:rsidRPr="00B76509" w:rsidRDefault="00B76509" w:rsidP="00B76509">
            <w:r w:rsidRPr="00B76509">
              <w:t>Tune volatility estimates and calibrate for portfolio optimization outputs</w:t>
            </w:r>
          </w:p>
        </w:tc>
      </w:tr>
      <w:tr w:rsidR="00B76509" w:rsidRPr="00B76509" w14:paraId="759FF012" w14:textId="77777777">
        <w:trPr>
          <w:tblCellSpacing w:w="15" w:type="dxa"/>
        </w:trPr>
        <w:tc>
          <w:tcPr>
            <w:tcW w:w="0" w:type="auto"/>
            <w:vAlign w:val="center"/>
            <w:hideMark/>
          </w:tcPr>
          <w:p w14:paraId="16E18545" w14:textId="77777777" w:rsidR="00B76509" w:rsidRPr="00B76509" w:rsidRDefault="00B76509" w:rsidP="00B76509">
            <w:r w:rsidRPr="00B76509">
              <w:t>3. Complete volatility models for Europe &amp; Asia</w:t>
            </w:r>
          </w:p>
        </w:tc>
        <w:tc>
          <w:tcPr>
            <w:tcW w:w="0" w:type="auto"/>
            <w:vAlign w:val="center"/>
            <w:hideMark/>
          </w:tcPr>
          <w:p w14:paraId="64C25E3D" w14:textId="77777777" w:rsidR="00B76509" w:rsidRPr="00B76509" w:rsidRDefault="00B76509" w:rsidP="00B76509">
            <w:r w:rsidRPr="00B76509">
              <w:rPr>
                <w:b/>
                <w:bCs/>
              </w:rPr>
              <w:t>Martin, George, Gordon</w:t>
            </w:r>
          </w:p>
        </w:tc>
        <w:tc>
          <w:tcPr>
            <w:tcW w:w="0" w:type="auto"/>
            <w:vAlign w:val="center"/>
            <w:hideMark/>
          </w:tcPr>
          <w:p w14:paraId="0FA63084" w14:textId="77777777" w:rsidR="00B76509" w:rsidRPr="00B76509" w:rsidRDefault="00B76509" w:rsidP="00B76509">
            <w:r w:rsidRPr="00B76509">
              <w:t>Expand sector-specific volatility inputs outside U.S.</w:t>
            </w:r>
          </w:p>
        </w:tc>
      </w:tr>
      <w:tr w:rsidR="00B76509" w:rsidRPr="00B76509" w14:paraId="0F50EE62" w14:textId="77777777">
        <w:trPr>
          <w:tblCellSpacing w:w="15" w:type="dxa"/>
        </w:trPr>
        <w:tc>
          <w:tcPr>
            <w:tcW w:w="0" w:type="auto"/>
            <w:vAlign w:val="center"/>
            <w:hideMark/>
          </w:tcPr>
          <w:p w14:paraId="13C9E49E" w14:textId="77777777" w:rsidR="00B76509" w:rsidRPr="00B76509" w:rsidRDefault="00B76509" w:rsidP="00B76509">
            <w:r w:rsidRPr="00B76509">
              <w:t>4. Finalize non-core forecasting models</w:t>
            </w:r>
          </w:p>
        </w:tc>
        <w:tc>
          <w:tcPr>
            <w:tcW w:w="0" w:type="auto"/>
            <w:vAlign w:val="center"/>
            <w:hideMark/>
          </w:tcPr>
          <w:p w14:paraId="43544176" w14:textId="77777777" w:rsidR="00B76509" w:rsidRPr="00B76509" w:rsidRDefault="00B76509" w:rsidP="00B76509">
            <w:r w:rsidRPr="00B76509">
              <w:rPr>
                <w:b/>
                <w:bCs/>
              </w:rPr>
              <w:t>Prashant &amp; Dan</w:t>
            </w:r>
          </w:p>
        </w:tc>
        <w:tc>
          <w:tcPr>
            <w:tcW w:w="0" w:type="auto"/>
            <w:vAlign w:val="center"/>
            <w:hideMark/>
          </w:tcPr>
          <w:p w14:paraId="12603153" w14:textId="77777777" w:rsidR="00B76509" w:rsidRPr="00B76509" w:rsidRDefault="00B76509" w:rsidP="00B76509">
            <w:r w:rsidRPr="00B76509">
              <w:t>Mirror core forecast structure for value-add and opportunistic strategies</w:t>
            </w:r>
          </w:p>
        </w:tc>
      </w:tr>
      <w:tr w:rsidR="00B76509" w:rsidRPr="00B76509" w14:paraId="68004C11" w14:textId="77777777">
        <w:trPr>
          <w:tblCellSpacing w:w="15" w:type="dxa"/>
        </w:trPr>
        <w:tc>
          <w:tcPr>
            <w:tcW w:w="0" w:type="auto"/>
            <w:vAlign w:val="center"/>
            <w:hideMark/>
          </w:tcPr>
          <w:p w14:paraId="2ED5E60B" w14:textId="77777777" w:rsidR="00B76509" w:rsidRPr="00B76509" w:rsidRDefault="00B76509" w:rsidP="00B76509">
            <w:r w:rsidRPr="00B76509">
              <w:lastRenderedPageBreak/>
              <w:t>5. Build sector/region non-core forecasts</w:t>
            </w:r>
          </w:p>
        </w:tc>
        <w:tc>
          <w:tcPr>
            <w:tcW w:w="0" w:type="auto"/>
            <w:vAlign w:val="center"/>
            <w:hideMark/>
          </w:tcPr>
          <w:p w14:paraId="5EE6EF90" w14:textId="77777777" w:rsidR="00B76509" w:rsidRPr="00B76509" w:rsidRDefault="00B76509" w:rsidP="00B76509">
            <w:r w:rsidRPr="00B76509">
              <w:rPr>
                <w:b/>
                <w:bCs/>
              </w:rPr>
              <w:t>Dan (U.S.), George (Europe), Gordon (Asia)</w:t>
            </w:r>
          </w:p>
        </w:tc>
        <w:tc>
          <w:tcPr>
            <w:tcW w:w="0" w:type="auto"/>
            <w:vAlign w:val="center"/>
            <w:hideMark/>
          </w:tcPr>
          <w:p w14:paraId="5C8150A9" w14:textId="77777777" w:rsidR="00B76509" w:rsidRPr="00B76509" w:rsidRDefault="00B76509" w:rsidP="00B76509">
            <w:r w:rsidRPr="00B76509">
              <w:t>Deliver full stack of non-core forecast outputs</w:t>
            </w:r>
          </w:p>
        </w:tc>
      </w:tr>
      <w:tr w:rsidR="00B76509" w:rsidRPr="00B76509" w14:paraId="2712E39E" w14:textId="77777777">
        <w:trPr>
          <w:tblCellSpacing w:w="15" w:type="dxa"/>
        </w:trPr>
        <w:tc>
          <w:tcPr>
            <w:tcW w:w="0" w:type="auto"/>
            <w:vAlign w:val="center"/>
            <w:hideMark/>
          </w:tcPr>
          <w:p w14:paraId="6E731EDC" w14:textId="77777777" w:rsidR="00B76509" w:rsidRPr="00B76509" w:rsidRDefault="00B76509" w:rsidP="00B76509">
            <w:r w:rsidRPr="00B76509">
              <w:t>6. Establish monthly report cadence</w:t>
            </w:r>
          </w:p>
        </w:tc>
        <w:tc>
          <w:tcPr>
            <w:tcW w:w="0" w:type="auto"/>
            <w:vAlign w:val="center"/>
            <w:hideMark/>
          </w:tcPr>
          <w:p w14:paraId="5173D355" w14:textId="77777777" w:rsidR="00B76509" w:rsidRPr="00B76509" w:rsidRDefault="00B76509" w:rsidP="00B76509">
            <w:r w:rsidRPr="00B76509">
              <w:rPr>
                <w:b/>
                <w:bCs/>
              </w:rPr>
              <w:t>Martin (Lead), David, Gordon</w:t>
            </w:r>
          </w:p>
        </w:tc>
        <w:tc>
          <w:tcPr>
            <w:tcW w:w="0" w:type="auto"/>
            <w:vAlign w:val="center"/>
            <w:hideMark/>
          </w:tcPr>
          <w:p w14:paraId="637F55FE" w14:textId="77777777" w:rsidR="00B76509" w:rsidRPr="00B76509" w:rsidRDefault="00B76509" w:rsidP="00B76509">
            <w:r w:rsidRPr="00B76509">
              <w:t>Ensure consistent delivery of forward-looking reports across geographies and sectors</w:t>
            </w:r>
          </w:p>
        </w:tc>
      </w:tr>
      <w:tr w:rsidR="00B76509" w:rsidRPr="00B76509" w14:paraId="0CD0A9FD" w14:textId="77777777">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172"/>
              <w:gridCol w:w="2543"/>
            </w:tblGrid>
            <w:tr w:rsidR="00B76509" w:rsidRPr="00E2631F" w14:paraId="0AED1A6F" w14:textId="77777777" w:rsidTr="005A1FD4">
              <w:trPr>
                <w:tblCellSpacing w:w="15" w:type="dxa"/>
              </w:trPr>
              <w:tc>
                <w:tcPr>
                  <w:tcW w:w="0" w:type="auto"/>
                  <w:vAlign w:val="center"/>
                  <w:hideMark/>
                </w:tcPr>
                <w:p w14:paraId="71CAE909" w14:textId="54D5A044" w:rsidR="00B76509" w:rsidRPr="00E2631F" w:rsidRDefault="00B76509" w:rsidP="00B76509">
                  <w:r>
                    <w:t>7</w:t>
                  </w:r>
                  <w:r w:rsidRPr="00E2631F">
                    <w:t>. Expand global coverage</w:t>
                  </w:r>
                </w:p>
              </w:tc>
              <w:tc>
                <w:tcPr>
                  <w:tcW w:w="0" w:type="auto"/>
                  <w:vAlign w:val="center"/>
                  <w:hideMark/>
                </w:tcPr>
                <w:p w14:paraId="105AF0FD" w14:textId="77777777" w:rsidR="00B76509" w:rsidRPr="00E2631F" w:rsidRDefault="00B76509" w:rsidP="00B76509">
                  <w:r w:rsidRPr="00E2631F">
                    <w:rPr>
                      <w:b/>
                      <w:bCs/>
                    </w:rPr>
                    <w:t>Martin, Gordon, George</w:t>
                  </w:r>
                </w:p>
              </w:tc>
              <w:tc>
                <w:tcPr>
                  <w:tcW w:w="0" w:type="auto"/>
                  <w:vAlign w:val="center"/>
                  <w:hideMark/>
                </w:tcPr>
                <w:p w14:paraId="0BDBD0FC" w14:textId="77777777" w:rsidR="00B76509" w:rsidRPr="00E2631F" w:rsidRDefault="00B76509" w:rsidP="00B76509">
                  <w:r w:rsidRPr="00E2631F">
                    <w:t>Ensure Asia, Europe, and other regions have dedicated contributions and forward outlooks</w:t>
                  </w:r>
                </w:p>
              </w:tc>
            </w:tr>
          </w:tbl>
          <w:p w14:paraId="3468B966" w14:textId="77777777" w:rsidR="00B76509" w:rsidRPr="00B76509" w:rsidRDefault="00B76509" w:rsidP="00B76509"/>
        </w:tc>
        <w:tc>
          <w:tcPr>
            <w:tcW w:w="0" w:type="auto"/>
            <w:vAlign w:val="center"/>
          </w:tcPr>
          <w:p w14:paraId="309D56FF" w14:textId="77777777" w:rsidR="00B76509" w:rsidRPr="00B76509" w:rsidRDefault="00B76509" w:rsidP="00B76509">
            <w:pPr>
              <w:rPr>
                <w:b/>
                <w:bCs/>
              </w:rPr>
            </w:pPr>
          </w:p>
        </w:tc>
        <w:tc>
          <w:tcPr>
            <w:tcW w:w="0" w:type="auto"/>
            <w:vAlign w:val="center"/>
          </w:tcPr>
          <w:p w14:paraId="1F1F3F6B" w14:textId="77777777" w:rsidR="00B76509" w:rsidRPr="00B76509" w:rsidRDefault="00B76509" w:rsidP="00B76509"/>
        </w:tc>
      </w:tr>
      <w:tr w:rsidR="00B76509" w:rsidRPr="00B76509" w14:paraId="37F7E609" w14:textId="77777777">
        <w:trPr>
          <w:tblCellSpacing w:w="15" w:type="dxa"/>
        </w:trPr>
        <w:tc>
          <w:tcPr>
            <w:tcW w:w="0" w:type="auto"/>
            <w:vAlign w:val="center"/>
            <w:hideMark/>
          </w:tcPr>
          <w:p w14:paraId="1AB2DEEC" w14:textId="1224592B" w:rsidR="00B76509" w:rsidRPr="00B76509" w:rsidRDefault="00B76509" w:rsidP="00B76509">
            <w:r>
              <w:t>8</w:t>
            </w:r>
            <w:r w:rsidRPr="00B76509">
              <w:t>. Standardize VOTW formatting &amp; tone</w:t>
            </w:r>
          </w:p>
        </w:tc>
        <w:tc>
          <w:tcPr>
            <w:tcW w:w="0" w:type="auto"/>
            <w:vAlign w:val="center"/>
            <w:hideMark/>
          </w:tcPr>
          <w:p w14:paraId="5B1EB1E4" w14:textId="77777777" w:rsidR="00B76509" w:rsidRPr="00B76509" w:rsidRDefault="00B76509" w:rsidP="00B76509">
            <w:r w:rsidRPr="00B76509">
              <w:rPr>
                <w:b/>
                <w:bCs/>
              </w:rPr>
              <w:t>Martin &amp; Prashant</w:t>
            </w:r>
          </w:p>
        </w:tc>
        <w:tc>
          <w:tcPr>
            <w:tcW w:w="0" w:type="auto"/>
            <w:vAlign w:val="center"/>
            <w:hideMark/>
          </w:tcPr>
          <w:p w14:paraId="439B4D79" w14:textId="77777777" w:rsidR="00B76509" w:rsidRPr="00B76509" w:rsidRDefault="00B76509" w:rsidP="00B76509">
            <w:r w:rsidRPr="00B76509">
              <w:t>Maintain consistency and actionable insights in publications</w:t>
            </w:r>
          </w:p>
        </w:tc>
      </w:tr>
      <w:tr w:rsidR="00B76509" w:rsidRPr="00B76509" w14:paraId="1AFB818E" w14:textId="77777777">
        <w:trPr>
          <w:tblCellSpacing w:w="15" w:type="dxa"/>
        </w:trPr>
        <w:tc>
          <w:tcPr>
            <w:tcW w:w="0" w:type="auto"/>
            <w:vAlign w:val="center"/>
            <w:hideMark/>
          </w:tcPr>
          <w:p w14:paraId="3C40C142" w14:textId="46C9FFD6" w:rsidR="00B76509" w:rsidRPr="00B76509" w:rsidRDefault="00B76509" w:rsidP="00B76509">
            <w:r>
              <w:t>9</w:t>
            </w:r>
            <w:r w:rsidRPr="00B76509">
              <w:t>. Evaluate LP-only forum feasibility</w:t>
            </w:r>
          </w:p>
        </w:tc>
        <w:tc>
          <w:tcPr>
            <w:tcW w:w="0" w:type="auto"/>
            <w:vAlign w:val="center"/>
            <w:hideMark/>
          </w:tcPr>
          <w:p w14:paraId="1B42E096" w14:textId="77777777" w:rsidR="00B76509" w:rsidRPr="00B76509" w:rsidRDefault="00B76509" w:rsidP="00B76509">
            <w:r w:rsidRPr="00B76509">
              <w:rPr>
                <w:b/>
                <w:bCs/>
              </w:rPr>
              <w:t>Martin &amp; Prashant</w:t>
            </w:r>
          </w:p>
        </w:tc>
        <w:tc>
          <w:tcPr>
            <w:tcW w:w="0" w:type="auto"/>
            <w:vAlign w:val="center"/>
            <w:hideMark/>
          </w:tcPr>
          <w:p w14:paraId="6FAEABA3" w14:textId="77777777" w:rsidR="00B76509" w:rsidRPr="00B76509" w:rsidRDefault="00B76509" w:rsidP="00B76509">
            <w:r w:rsidRPr="00B76509">
              <w:t>Scope logistics and structure for 2–4 regional forums per year</w:t>
            </w:r>
          </w:p>
        </w:tc>
      </w:tr>
    </w:tbl>
    <w:p w14:paraId="3DA5E972" w14:textId="77777777" w:rsidR="00B76509" w:rsidRPr="00B76509" w:rsidRDefault="002F0F54" w:rsidP="00B76509">
      <w:r>
        <w:pict w14:anchorId="758779E7">
          <v:rect id="_x0000_i1047" style="width:0;height:1.5pt" o:hralign="center" o:hrstd="t" o:hr="t" fillcolor="#a0a0a0" stroked="f"/>
        </w:pict>
      </w:r>
    </w:p>
    <w:p w14:paraId="18915A4C" w14:textId="214EF813" w:rsidR="00E2631F" w:rsidRDefault="00E2631F" w:rsidP="001F4FA0"/>
    <w:p w14:paraId="1DD89DB0" w14:textId="45B7FE77" w:rsidR="00722FD9" w:rsidRDefault="00722FD9">
      <w:r>
        <w:br w:type="page"/>
      </w:r>
    </w:p>
    <w:p w14:paraId="4C513BFC" w14:textId="6B85EB0A" w:rsidR="00722FD9" w:rsidRPr="00722FD9" w:rsidRDefault="00854003" w:rsidP="00722FD9">
      <w:pPr>
        <w:rPr>
          <w:b/>
          <w:bCs/>
        </w:rPr>
      </w:pPr>
      <w:r>
        <w:rPr>
          <w:b/>
          <w:bCs/>
        </w:rPr>
        <w:lastRenderedPageBreak/>
        <w:t>3</w:t>
      </w:r>
      <w:r w:rsidR="00722FD9" w:rsidRPr="00722FD9">
        <w:rPr>
          <w:b/>
          <w:bCs/>
        </w:rPr>
        <w:t>. RealAlpha – AI-Driven Underwriting</w:t>
      </w:r>
    </w:p>
    <w:p w14:paraId="63771B72" w14:textId="77777777" w:rsidR="00722FD9" w:rsidRPr="00722FD9" w:rsidRDefault="00722FD9" w:rsidP="00722FD9">
      <w:r w:rsidRPr="00722FD9">
        <w:rPr>
          <w:i/>
          <w:iCs/>
        </w:rPr>
        <w:t>A modular, AI-assisted underwriting and ratings platform for funds and direct deals, built on Townsend’s proprietary data and frameworks.</w:t>
      </w:r>
    </w:p>
    <w:p w14:paraId="6B64C9A4" w14:textId="77777777" w:rsidR="00722FD9" w:rsidRPr="00722FD9" w:rsidRDefault="002F0F54" w:rsidP="00722FD9">
      <w:r>
        <w:pict w14:anchorId="1D1C042F">
          <v:rect id="_x0000_i1048" style="width:0;height:1.5pt" o:hralign="center" o:hrstd="t" o:hr="t" fillcolor="#a0a0a0" stroked="f"/>
        </w:pict>
      </w:r>
    </w:p>
    <w:p w14:paraId="149881A1" w14:textId="77777777" w:rsidR="00722FD9" w:rsidRPr="00722FD9" w:rsidRDefault="00722FD9" w:rsidP="00722FD9">
      <w:pPr>
        <w:rPr>
          <w:b/>
          <w:bCs/>
        </w:rPr>
      </w:pPr>
      <w:r w:rsidRPr="00722FD9">
        <w:rPr>
          <w:b/>
          <w:bCs/>
        </w:rPr>
        <w:t>A. What the Product Does (Functionality)</w:t>
      </w:r>
    </w:p>
    <w:p w14:paraId="39B1CA71" w14:textId="77777777" w:rsidR="00722FD9" w:rsidRPr="00722FD9" w:rsidRDefault="00722FD9" w:rsidP="00722FD9">
      <w:r w:rsidRPr="00722FD9">
        <w:t>RealAlpha delivers standardized, AI-enhanced underwriting reports for fund offerings, SMA platforms, direct deals, and manager platforms. It integrates:</w:t>
      </w:r>
    </w:p>
    <w:p w14:paraId="74B0196E" w14:textId="77777777" w:rsidR="00722FD9" w:rsidRPr="00722FD9" w:rsidRDefault="00722FD9" w:rsidP="00722FD9">
      <w:pPr>
        <w:numPr>
          <w:ilvl w:val="0"/>
          <w:numId w:val="26"/>
        </w:numPr>
      </w:pPr>
      <w:r w:rsidRPr="00722FD9">
        <w:rPr>
          <w:b/>
          <w:bCs/>
        </w:rPr>
        <w:t>TURF</w:t>
      </w:r>
      <w:r w:rsidRPr="00722FD9">
        <w:t>: Townsend’s proprietary underwriting and rating framework</w:t>
      </w:r>
    </w:p>
    <w:p w14:paraId="22CC7CA3" w14:textId="77777777" w:rsidR="00722FD9" w:rsidRPr="00722FD9" w:rsidRDefault="00722FD9" w:rsidP="00722FD9">
      <w:pPr>
        <w:numPr>
          <w:ilvl w:val="0"/>
          <w:numId w:val="26"/>
        </w:numPr>
      </w:pPr>
      <w:r w:rsidRPr="00722FD9">
        <w:rPr>
          <w:b/>
          <w:bCs/>
        </w:rPr>
        <w:t>MCAF</w:t>
      </w:r>
      <w:r w:rsidRPr="00722FD9">
        <w:t>: Townsend’s Manager Capability Assessment Framework</w:t>
      </w:r>
    </w:p>
    <w:p w14:paraId="19D62D71" w14:textId="77777777" w:rsidR="00722FD9" w:rsidRPr="00722FD9" w:rsidRDefault="00722FD9" w:rsidP="00722FD9">
      <w:pPr>
        <w:numPr>
          <w:ilvl w:val="0"/>
          <w:numId w:val="26"/>
        </w:numPr>
      </w:pPr>
      <w:r w:rsidRPr="00722FD9">
        <w:rPr>
          <w:b/>
          <w:bCs/>
        </w:rPr>
        <w:t>Performance Database</w:t>
      </w:r>
      <w:r w:rsidRPr="00722FD9">
        <w:t>: Real estate, infra, ag, timber performance by vintage, sector, and region</w:t>
      </w:r>
    </w:p>
    <w:p w14:paraId="489A12AE" w14:textId="77777777" w:rsidR="00722FD9" w:rsidRPr="00722FD9" w:rsidRDefault="00722FD9" w:rsidP="00722FD9">
      <w:pPr>
        <w:numPr>
          <w:ilvl w:val="0"/>
          <w:numId w:val="26"/>
        </w:numPr>
      </w:pPr>
      <w:r w:rsidRPr="00722FD9">
        <w:rPr>
          <w:b/>
          <w:bCs/>
        </w:rPr>
        <w:t>VOTW</w:t>
      </w:r>
      <w:r w:rsidRPr="00722FD9">
        <w:t>: Forecasts, macro scenarios, and volatility models</w:t>
      </w:r>
    </w:p>
    <w:p w14:paraId="59CB73C0" w14:textId="77777777" w:rsidR="00722FD9" w:rsidRPr="00722FD9" w:rsidRDefault="00722FD9" w:rsidP="00722FD9">
      <w:pPr>
        <w:numPr>
          <w:ilvl w:val="0"/>
          <w:numId w:val="26"/>
        </w:numPr>
      </w:pPr>
      <w:r w:rsidRPr="00722FD9">
        <w:rPr>
          <w:b/>
          <w:bCs/>
        </w:rPr>
        <w:t>Investment Models</w:t>
      </w:r>
      <w:r w:rsidRPr="00722FD9">
        <w:t>: Scenario-adjusted return and risk assessments</w:t>
      </w:r>
    </w:p>
    <w:p w14:paraId="6D248515" w14:textId="77777777" w:rsidR="00722FD9" w:rsidRPr="00722FD9" w:rsidRDefault="00722FD9" w:rsidP="00722FD9">
      <w:pPr>
        <w:rPr>
          <w:b/>
          <w:bCs/>
        </w:rPr>
      </w:pPr>
      <w:r w:rsidRPr="00722FD9">
        <w:rPr>
          <w:b/>
          <w:bCs/>
        </w:rPr>
        <w:t>Three Tiers of RealAlpha Reports:</w:t>
      </w:r>
    </w:p>
    <w:p w14:paraId="2D126BE5" w14:textId="77777777" w:rsidR="00722FD9" w:rsidRPr="00722FD9" w:rsidRDefault="00722FD9" w:rsidP="00722FD9">
      <w:pPr>
        <w:numPr>
          <w:ilvl w:val="0"/>
          <w:numId w:val="27"/>
        </w:numPr>
      </w:pPr>
      <w:r w:rsidRPr="00722FD9">
        <w:rPr>
          <w:b/>
          <w:bCs/>
        </w:rPr>
        <w:t>RealAlpha Silver</w:t>
      </w:r>
    </w:p>
    <w:p w14:paraId="36C1EE02" w14:textId="77777777" w:rsidR="00722FD9" w:rsidRPr="00722FD9" w:rsidRDefault="00722FD9" w:rsidP="00722FD9">
      <w:pPr>
        <w:numPr>
          <w:ilvl w:val="1"/>
          <w:numId w:val="27"/>
        </w:numPr>
      </w:pPr>
      <w:r w:rsidRPr="00722FD9">
        <w:t>AI-generated report with limited human oversight</w:t>
      </w:r>
    </w:p>
    <w:p w14:paraId="48D496F2" w14:textId="77777777" w:rsidR="00722FD9" w:rsidRPr="00722FD9" w:rsidRDefault="00722FD9" w:rsidP="00722FD9">
      <w:pPr>
        <w:numPr>
          <w:ilvl w:val="1"/>
          <w:numId w:val="27"/>
        </w:numPr>
      </w:pPr>
      <w:r w:rsidRPr="00722FD9">
        <w:t>Assesses manager’s capabilities and fund/deal attributes using TURF, MCAF, VOTW, and Townsend benchmarks</w:t>
      </w:r>
    </w:p>
    <w:p w14:paraId="1EAFA20D" w14:textId="77777777" w:rsidR="00722FD9" w:rsidRPr="00722FD9" w:rsidRDefault="00722FD9" w:rsidP="00722FD9">
      <w:pPr>
        <w:numPr>
          <w:ilvl w:val="1"/>
          <w:numId w:val="27"/>
        </w:numPr>
      </w:pPr>
      <w:r w:rsidRPr="00722FD9">
        <w:t>Includes:</w:t>
      </w:r>
    </w:p>
    <w:p w14:paraId="52E881EC" w14:textId="77777777" w:rsidR="00722FD9" w:rsidRPr="00722FD9" w:rsidRDefault="00722FD9" w:rsidP="00722FD9">
      <w:pPr>
        <w:numPr>
          <w:ilvl w:val="2"/>
          <w:numId w:val="27"/>
        </w:numPr>
      </w:pPr>
      <w:r w:rsidRPr="00722FD9">
        <w:t>Peer performance benchmarking</w:t>
      </w:r>
    </w:p>
    <w:p w14:paraId="3CCD133A" w14:textId="77777777" w:rsidR="00722FD9" w:rsidRPr="00722FD9" w:rsidRDefault="00722FD9" w:rsidP="00722FD9">
      <w:pPr>
        <w:numPr>
          <w:ilvl w:val="2"/>
          <w:numId w:val="27"/>
        </w:numPr>
      </w:pPr>
      <w:r w:rsidRPr="00722FD9">
        <w:t>Fee and governance comparisons</w:t>
      </w:r>
    </w:p>
    <w:p w14:paraId="22675F67" w14:textId="77777777" w:rsidR="00722FD9" w:rsidRPr="00722FD9" w:rsidRDefault="00722FD9" w:rsidP="00722FD9">
      <w:pPr>
        <w:numPr>
          <w:ilvl w:val="2"/>
          <w:numId w:val="27"/>
        </w:numPr>
      </w:pPr>
      <w:r w:rsidRPr="00722FD9">
        <w:t>Strategic fit commentary</w:t>
      </w:r>
    </w:p>
    <w:p w14:paraId="72C3C942" w14:textId="77777777" w:rsidR="00722FD9" w:rsidRPr="00722FD9" w:rsidRDefault="00722FD9" w:rsidP="00722FD9">
      <w:pPr>
        <w:numPr>
          <w:ilvl w:val="1"/>
          <w:numId w:val="27"/>
        </w:numPr>
      </w:pPr>
      <w:r w:rsidRPr="00722FD9">
        <w:t>Manager controls report distribution</w:t>
      </w:r>
    </w:p>
    <w:p w14:paraId="5C0CD6D2" w14:textId="77777777" w:rsidR="00722FD9" w:rsidRPr="00722FD9" w:rsidRDefault="00722FD9" w:rsidP="00722FD9">
      <w:pPr>
        <w:numPr>
          <w:ilvl w:val="1"/>
          <w:numId w:val="27"/>
        </w:numPr>
      </w:pPr>
      <w:r w:rsidRPr="00722FD9">
        <w:t>Fee applies for initial report and each new recipient</w:t>
      </w:r>
    </w:p>
    <w:p w14:paraId="739A1B37" w14:textId="77777777" w:rsidR="00722FD9" w:rsidRPr="00722FD9" w:rsidRDefault="00722FD9" w:rsidP="00722FD9">
      <w:pPr>
        <w:numPr>
          <w:ilvl w:val="0"/>
          <w:numId w:val="27"/>
        </w:numPr>
      </w:pPr>
      <w:r w:rsidRPr="00722FD9">
        <w:rPr>
          <w:b/>
          <w:bCs/>
        </w:rPr>
        <w:t>RealAlpha Gold</w:t>
      </w:r>
    </w:p>
    <w:p w14:paraId="7A130084" w14:textId="77777777" w:rsidR="00722FD9" w:rsidRPr="00722FD9" w:rsidRDefault="00722FD9" w:rsidP="00722FD9">
      <w:pPr>
        <w:numPr>
          <w:ilvl w:val="1"/>
          <w:numId w:val="27"/>
        </w:numPr>
      </w:pPr>
      <w:r w:rsidRPr="00722FD9">
        <w:t>Same as Silver, plus:</w:t>
      </w:r>
    </w:p>
    <w:p w14:paraId="4607CBC0" w14:textId="77777777" w:rsidR="00722FD9" w:rsidRPr="00722FD9" w:rsidRDefault="00722FD9" w:rsidP="00722FD9">
      <w:pPr>
        <w:numPr>
          <w:ilvl w:val="2"/>
          <w:numId w:val="27"/>
        </w:numPr>
      </w:pPr>
      <w:r w:rsidRPr="00722FD9">
        <w:lastRenderedPageBreak/>
        <w:t xml:space="preserve">Reviewed and signed off by a </w:t>
      </w:r>
      <w:r w:rsidRPr="00722FD9">
        <w:rPr>
          <w:b/>
          <w:bCs/>
        </w:rPr>
        <w:t>Townsend underwriter</w:t>
      </w:r>
      <w:r w:rsidRPr="00722FD9">
        <w:t xml:space="preserve"> and at least </w:t>
      </w:r>
      <w:r w:rsidRPr="00722FD9">
        <w:rPr>
          <w:b/>
          <w:bCs/>
        </w:rPr>
        <w:t>one IC member</w:t>
      </w:r>
    </w:p>
    <w:p w14:paraId="34207212" w14:textId="77777777" w:rsidR="00722FD9" w:rsidRPr="00722FD9" w:rsidRDefault="00722FD9" w:rsidP="00722FD9">
      <w:pPr>
        <w:numPr>
          <w:ilvl w:val="2"/>
          <w:numId w:val="27"/>
        </w:numPr>
      </w:pPr>
      <w:r w:rsidRPr="00722FD9">
        <w:t xml:space="preserve">Provides </w:t>
      </w:r>
      <w:r w:rsidRPr="00722FD9">
        <w:rPr>
          <w:b/>
          <w:bCs/>
        </w:rPr>
        <w:t>greater validation</w:t>
      </w:r>
      <w:r w:rsidRPr="00722FD9">
        <w:t xml:space="preserve"> of the fund/deal</w:t>
      </w:r>
    </w:p>
    <w:p w14:paraId="5BC4F6E7" w14:textId="77777777" w:rsidR="00722FD9" w:rsidRPr="00722FD9" w:rsidRDefault="00722FD9" w:rsidP="00722FD9">
      <w:pPr>
        <w:numPr>
          <w:ilvl w:val="2"/>
          <w:numId w:val="27"/>
        </w:numPr>
      </w:pPr>
      <w:r w:rsidRPr="00722FD9">
        <w:t>Enhances confidence among LP prospects</w:t>
      </w:r>
    </w:p>
    <w:p w14:paraId="2E40D802" w14:textId="77777777" w:rsidR="00722FD9" w:rsidRPr="00722FD9" w:rsidRDefault="00722FD9" w:rsidP="00722FD9">
      <w:pPr>
        <w:numPr>
          <w:ilvl w:val="0"/>
          <w:numId w:val="27"/>
        </w:numPr>
      </w:pPr>
      <w:r w:rsidRPr="00722FD9">
        <w:rPr>
          <w:b/>
          <w:bCs/>
        </w:rPr>
        <w:t>RealAlpha Platinum</w:t>
      </w:r>
    </w:p>
    <w:p w14:paraId="08AB8146" w14:textId="77777777" w:rsidR="00722FD9" w:rsidRPr="00722FD9" w:rsidRDefault="00722FD9" w:rsidP="00722FD9">
      <w:pPr>
        <w:numPr>
          <w:ilvl w:val="1"/>
          <w:numId w:val="27"/>
        </w:numPr>
      </w:pPr>
      <w:r w:rsidRPr="00722FD9">
        <w:rPr>
          <w:b/>
          <w:bCs/>
        </w:rPr>
        <w:t>Full Townsend underwriting and Investment Committee vetting</w:t>
      </w:r>
    </w:p>
    <w:p w14:paraId="368B04EA" w14:textId="77777777" w:rsidR="00722FD9" w:rsidRPr="00722FD9" w:rsidRDefault="00722FD9" w:rsidP="00722FD9">
      <w:pPr>
        <w:numPr>
          <w:ilvl w:val="1"/>
          <w:numId w:val="27"/>
        </w:numPr>
      </w:pPr>
      <w:r w:rsidRPr="00722FD9">
        <w:t>Mirrors the process used in discretionary mandates or advisory recommendations</w:t>
      </w:r>
    </w:p>
    <w:p w14:paraId="0E485E7A" w14:textId="77777777" w:rsidR="00722FD9" w:rsidRPr="00722FD9" w:rsidRDefault="00722FD9" w:rsidP="00722FD9">
      <w:pPr>
        <w:rPr>
          <w:b/>
          <w:bCs/>
        </w:rPr>
      </w:pPr>
      <w:r w:rsidRPr="00722FD9">
        <w:rPr>
          <w:b/>
          <w:bCs/>
        </w:rPr>
        <w:t>Primary Objectives of RealAlpha</w:t>
      </w:r>
    </w:p>
    <w:p w14:paraId="095D1D27" w14:textId="77777777" w:rsidR="00722FD9" w:rsidRPr="00722FD9" w:rsidRDefault="00722FD9" w:rsidP="00722FD9">
      <w:pPr>
        <w:numPr>
          <w:ilvl w:val="0"/>
          <w:numId w:val="28"/>
        </w:numPr>
      </w:pPr>
      <w:r w:rsidRPr="00722FD9">
        <w:t xml:space="preserve">Provide GPs with a </w:t>
      </w:r>
      <w:r w:rsidRPr="00722FD9">
        <w:rPr>
          <w:b/>
          <w:bCs/>
        </w:rPr>
        <w:t>realistic, comparative assessment</w:t>
      </w:r>
      <w:r w:rsidRPr="00722FD9">
        <w:t xml:space="preserve"> of their offering</w:t>
      </w:r>
    </w:p>
    <w:p w14:paraId="543428CC" w14:textId="77777777" w:rsidR="00722FD9" w:rsidRPr="00722FD9" w:rsidRDefault="00722FD9" w:rsidP="00722FD9">
      <w:pPr>
        <w:numPr>
          <w:ilvl w:val="0"/>
          <w:numId w:val="28"/>
        </w:numPr>
      </w:pPr>
      <w:r w:rsidRPr="00722FD9">
        <w:t xml:space="preserve">Identify gaps and improvement areas across </w:t>
      </w:r>
      <w:r w:rsidRPr="00722FD9">
        <w:rPr>
          <w:b/>
          <w:bCs/>
        </w:rPr>
        <w:t>team, strategy, fees, and governance</w:t>
      </w:r>
    </w:p>
    <w:p w14:paraId="700E0CD2" w14:textId="77777777" w:rsidR="00722FD9" w:rsidRPr="00722FD9" w:rsidRDefault="00722FD9" w:rsidP="00722FD9">
      <w:pPr>
        <w:numPr>
          <w:ilvl w:val="0"/>
          <w:numId w:val="28"/>
        </w:numPr>
      </w:pPr>
      <w:r w:rsidRPr="00722FD9">
        <w:t xml:space="preserve">Offer LPs a </w:t>
      </w:r>
      <w:r w:rsidRPr="00722FD9">
        <w:rPr>
          <w:b/>
          <w:bCs/>
        </w:rPr>
        <w:t>credible, third-party underwriting report</w:t>
      </w:r>
      <w:r w:rsidRPr="00722FD9">
        <w:t xml:space="preserve"> to guide allocation decisions</w:t>
      </w:r>
    </w:p>
    <w:p w14:paraId="660ED803" w14:textId="77777777" w:rsidR="00722FD9" w:rsidRPr="00722FD9" w:rsidRDefault="002F0F54" w:rsidP="00722FD9">
      <w:r>
        <w:pict w14:anchorId="56D94E7F">
          <v:rect id="_x0000_i1049" style="width:0;height:1.5pt" o:hralign="center" o:hrstd="t" o:hr="t" fillcolor="#a0a0a0" stroked="f"/>
        </w:pict>
      </w:r>
    </w:p>
    <w:p w14:paraId="6281D184" w14:textId="77777777" w:rsidR="00722FD9" w:rsidRPr="00722FD9" w:rsidRDefault="00722FD9" w:rsidP="00722FD9">
      <w:pPr>
        <w:rPr>
          <w:b/>
          <w:bCs/>
        </w:rPr>
      </w:pPr>
      <w:r w:rsidRPr="00722FD9">
        <w:rPr>
          <w:b/>
          <w:bCs/>
        </w:rPr>
        <w:t>B. Target Clients and Their Key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987"/>
      </w:tblGrid>
      <w:tr w:rsidR="00722FD9" w:rsidRPr="00722FD9" w14:paraId="46CEA650" w14:textId="77777777" w:rsidTr="00722FD9">
        <w:trPr>
          <w:tblHeader/>
          <w:tblCellSpacing w:w="15" w:type="dxa"/>
        </w:trPr>
        <w:tc>
          <w:tcPr>
            <w:tcW w:w="0" w:type="auto"/>
            <w:vAlign w:val="center"/>
            <w:hideMark/>
          </w:tcPr>
          <w:p w14:paraId="294F9A68" w14:textId="77777777" w:rsidR="00722FD9" w:rsidRPr="00722FD9" w:rsidRDefault="00722FD9" w:rsidP="00722FD9">
            <w:pPr>
              <w:rPr>
                <w:b/>
                <w:bCs/>
              </w:rPr>
            </w:pPr>
            <w:r w:rsidRPr="00722FD9">
              <w:rPr>
                <w:b/>
                <w:bCs/>
              </w:rPr>
              <w:t>Client Type</w:t>
            </w:r>
          </w:p>
        </w:tc>
        <w:tc>
          <w:tcPr>
            <w:tcW w:w="0" w:type="auto"/>
            <w:vAlign w:val="center"/>
            <w:hideMark/>
          </w:tcPr>
          <w:p w14:paraId="6DE35F5F" w14:textId="77777777" w:rsidR="00722FD9" w:rsidRPr="00722FD9" w:rsidRDefault="00722FD9" w:rsidP="00722FD9">
            <w:pPr>
              <w:rPr>
                <w:b/>
                <w:bCs/>
              </w:rPr>
            </w:pPr>
            <w:r w:rsidRPr="00722FD9">
              <w:rPr>
                <w:b/>
                <w:bCs/>
              </w:rPr>
              <w:t>Use Cases</w:t>
            </w:r>
          </w:p>
        </w:tc>
      </w:tr>
      <w:tr w:rsidR="00722FD9" w:rsidRPr="00722FD9" w14:paraId="77C4BD6F" w14:textId="77777777" w:rsidTr="00722FD9">
        <w:trPr>
          <w:tblCellSpacing w:w="15" w:type="dxa"/>
        </w:trPr>
        <w:tc>
          <w:tcPr>
            <w:tcW w:w="0" w:type="auto"/>
            <w:vAlign w:val="center"/>
            <w:hideMark/>
          </w:tcPr>
          <w:p w14:paraId="00CF2CFF" w14:textId="77777777" w:rsidR="00722FD9" w:rsidRPr="00722FD9" w:rsidRDefault="00722FD9" w:rsidP="00722FD9">
            <w:r w:rsidRPr="00722FD9">
              <w:rPr>
                <w:b/>
                <w:bCs/>
              </w:rPr>
              <w:t>GPs / Asset Managers</w:t>
            </w:r>
          </w:p>
        </w:tc>
        <w:tc>
          <w:tcPr>
            <w:tcW w:w="0" w:type="auto"/>
            <w:vAlign w:val="center"/>
            <w:hideMark/>
          </w:tcPr>
          <w:p w14:paraId="26FDF5A0" w14:textId="77777777" w:rsidR="00722FD9" w:rsidRPr="00722FD9" w:rsidRDefault="00722FD9" w:rsidP="00722FD9">
            <w:r w:rsidRPr="00722FD9">
              <w:t>Understand how their offering ranks against peers; improve fundraising materials; build investor trust</w:t>
            </w:r>
          </w:p>
        </w:tc>
      </w:tr>
      <w:tr w:rsidR="00722FD9" w:rsidRPr="00722FD9" w14:paraId="229AEAE9" w14:textId="77777777" w:rsidTr="00722FD9">
        <w:trPr>
          <w:tblCellSpacing w:w="15" w:type="dxa"/>
        </w:trPr>
        <w:tc>
          <w:tcPr>
            <w:tcW w:w="0" w:type="auto"/>
            <w:vAlign w:val="center"/>
            <w:hideMark/>
          </w:tcPr>
          <w:p w14:paraId="51A44D83" w14:textId="77777777" w:rsidR="00722FD9" w:rsidRPr="00722FD9" w:rsidRDefault="00722FD9" w:rsidP="00722FD9">
            <w:r w:rsidRPr="00722FD9">
              <w:rPr>
                <w:b/>
                <w:bCs/>
              </w:rPr>
              <w:t>Institutional LPs</w:t>
            </w:r>
          </w:p>
        </w:tc>
        <w:tc>
          <w:tcPr>
            <w:tcW w:w="0" w:type="auto"/>
            <w:vAlign w:val="center"/>
            <w:hideMark/>
          </w:tcPr>
          <w:p w14:paraId="273E7854" w14:textId="77777777" w:rsidR="00722FD9" w:rsidRPr="00722FD9" w:rsidRDefault="00722FD9" w:rsidP="00722FD9">
            <w:r w:rsidRPr="00722FD9">
              <w:t>Use RealAlpha Gold or Platinum to validate or accelerate diligence</w:t>
            </w:r>
          </w:p>
        </w:tc>
      </w:tr>
      <w:tr w:rsidR="00722FD9" w:rsidRPr="00722FD9" w14:paraId="38955DB1" w14:textId="77777777" w:rsidTr="00722FD9">
        <w:trPr>
          <w:tblCellSpacing w:w="15" w:type="dxa"/>
        </w:trPr>
        <w:tc>
          <w:tcPr>
            <w:tcW w:w="0" w:type="auto"/>
            <w:vAlign w:val="center"/>
            <w:hideMark/>
          </w:tcPr>
          <w:p w14:paraId="2C32AF8F" w14:textId="77777777" w:rsidR="00722FD9" w:rsidRPr="00722FD9" w:rsidRDefault="00722FD9" w:rsidP="00722FD9">
            <w:r w:rsidRPr="00722FD9">
              <w:rPr>
                <w:b/>
                <w:bCs/>
              </w:rPr>
              <w:t>Consultants</w:t>
            </w:r>
          </w:p>
        </w:tc>
        <w:tc>
          <w:tcPr>
            <w:tcW w:w="0" w:type="auto"/>
            <w:vAlign w:val="center"/>
            <w:hideMark/>
          </w:tcPr>
          <w:p w14:paraId="2F85BC4B" w14:textId="77777777" w:rsidR="00722FD9" w:rsidRPr="00722FD9" w:rsidRDefault="00722FD9" w:rsidP="00722FD9">
            <w:r w:rsidRPr="00722FD9">
              <w:t>Use in manager screening and underwriting augmentation</w:t>
            </w:r>
          </w:p>
        </w:tc>
      </w:tr>
      <w:tr w:rsidR="00722FD9" w:rsidRPr="00722FD9" w14:paraId="6C2CCC6E" w14:textId="77777777" w:rsidTr="00722FD9">
        <w:trPr>
          <w:tblCellSpacing w:w="15" w:type="dxa"/>
        </w:trPr>
        <w:tc>
          <w:tcPr>
            <w:tcW w:w="0" w:type="auto"/>
            <w:vAlign w:val="center"/>
            <w:hideMark/>
          </w:tcPr>
          <w:p w14:paraId="55381DF9" w14:textId="77777777" w:rsidR="00722FD9" w:rsidRPr="00722FD9" w:rsidRDefault="00722FD9" w:rsidP="00722FD9">
            <w:r w:rsidRPr="00722FD9">
              <w:rPr>
                <w:b/>
                <w:bCs/>
              </w:rPr>
              <w:t>Wealth Platforms</w:t>
            </w:r>
          </w:p>
        </w:tc>
        <w:tc>
          <w:tcPr>
            <w:tcW w:w="0" w:type="auto"/>
            <w:vAlign w:val="center"/>
            <w:hideMark/>
          </w:tcPr>
          <w:p w14:paraId="64E2CF05" w14:textId="77777777" w:rsidR="00722FD9" w:rsidRPr="00722FD9" w:rsidRDefault="00722FD9" w:rsidP="00722FD9">
            <w:r w:rsidRPr="00722FD9">
              <w:t>Validate sponsor quality in feeder or SMA programs</w:t>
            </w:r>
          </w:p>
        </w:tc>
      </w:tr>
      <w:tr w:rsidR="00722FD9" w:rsidRPr="00722FD9" w14:paraId="77866A24" w14:textId="77777777" w:rsidTr="00722FD9">
        <w:trPr>
          <w:tblCellSpacing w:w="15" w:type="dxa"/>
        </w:trPr>
        <w:tc>
          <w:tcPr>
            <w:tcW w:w="0" w:type="auto"/>
            <w:vAlign w:val="center"/>
            <w:hideMark/>
          </w:tcPr>
          <w:p w14:paraId="0DAB7B18" w14:textId="77777777" w:rsidR="00722FD9" w:rsidRPr="00722FD9" w:rsidRDefault="00722FD9" w:rsidP="00722FD9">
            <w:r w:rsidRPr="00722FD9">
              <w:rPr>
                <w:b/>
                <w:bCs/>
              </w:rPr>
              <w:t>Family Offices</w:t>
            </w:r>
          </w:p>
        </w:tc>
        <w:tc>
          <w:tcPr>
            <w:tcW w:w="0" w:type="auto"/>
            <w:vAlign w:val="center"/>
            <w:hideMark/>
          </w:tcPr>
          <w:p w14:paraId="069E0730" w14:textId="77777777" w:rsidR="00722FD9" w:rsidRPr="00722FD9" w:rsidRDefault="00722FD9" w:rsidP="00722FD9">
            <w:r w:rsidRPr="00722FD9">
              <w:t>Outsource underwriting or use Silver/Gold for internal validation</w:t>
            </w:r>
          </w:p>
        </w:tc>
      </w:tr>
      <w:tr w:rsidR="00722FD9" w:rsidRPr="00722FD9" w14:paraId="6B28FB80" w14:textId="77777777" w:rsidTr="00722FD9">
        <w:trPr>
          <w:tblCellSpacing w:w="15" w:type="dxa"/>
        </w:trPr>
        <w:tc>
          <w:tcPr>
            <w:tcW w:w="0" w:type="auto"/>
            <w:vAlign w:val="center"/>
            <w:hideMark/>
          </w:tcPr>
          <w:p w14:paraId="7AA2DFA2" w14:textId="77777777" w:rsidR="00722FD9" w:rsidRPr="00722FD9" w:rsidRDefault="00722FD9" w:rsidP="00722FD9">
            <w:r w:rsidRPr="00722FD9">
              <w:rPr>
                <w:b/>
                <w:bCs/>
              </w:rPr>
              <w:t>Academia/Research</w:t>
            </w:r>
          </w:p>
        </w:tc>
        <w:tc>
          <w:tcPr>
            <w:tcW w:w="0" w:type="auto"/>
            <w:vAlign w:val="center"/>
            <w:hideMark/>
          </w:tcPr>
          <w:p w14:paraId="556A5418" w14:textId="77777777" w:rsidR="00722FD9" w:rsidRPr="00722FD9" w:rsidRDefault="00722FD9" w:rsidP="00722FD9">
            <w:r w:rsidRPr="00722FD9">
              <w:t>Analyze underwriting patterns or benchmarking data for manager scoring studies</w:t>
            </w:r>
          </w:p>
        </w:tc>
      </w:tr>
    </w:tbl>
    <w:p w14:paraId="1E455517" w14:textId="77777777" w:rsidR="00722FD9" w:rsidRPr="00722FD9" w:rsidRDefault="002F0F54" w:rsidP="00722FD9">
      <w:r>
        <w:pict w14:anchorId="69A54CA7">
          <v:rect id="_x0000_i1050" style="width:0;height:1.5pt" o:hralign="center" o:hrstd="t" o:hr="t" fillcolor="#a0a0a0" stroked="f"/>
        </w:pict>
      </w:r>
    </w:p>
    <w:p w14:paraId="64DE02EF" w14:textId="77777777" w:rsidR="00722FD9" w:rsidRPr="00722FD9" w:rsidRDefault="00722FD9" w:rsidP="00722FD9">
      <w:pPr>
        <w:rPr>
          <w:b/>
          <w:bCs/>
        </w:rPr>
      </w:pPr>
      <w:r w:rsidRPr="00722FD9">
        <w:rPr>
          <w:b/>
          <w:bCs/>
        </w:rPr>
        <w:t>C. Development Status</w:t>
      </w:r>
    </w:p>
    <w:p w14:paraId="342371C7" w14:textId="77777777" w:rsidR="00722FD9" w:rsidRPr="00722FD9" w:rsidRDefault="00722FD9" w:rsidP="00722FD9">
      <w:pPr>
        <w:numPr>
          <w:ilvl w:val="0"/>
          <w:numId w:val="29"/>
        </w:numPr>
      </w:pPr>
      <w:r w:rsidRPr="00722FD9">
        <w:rPr>
          <w:rFonts w:ascii="Segoe UI Emoji" w:hAnsi="Segoe UI Emoji" w:cs="Segoe UI Emoji"/>
        </w:rPr>
        <w:t>✅</w:t>
      </w:r>
      <w:r w:rsidRPr="00722FD9">
        <w:t xml:space="preserve"> </w:t>
      </w:r>
      <w:r w:rsidRPr="00722FD9">
        <w:rPr>
          <w:b/>
          <w:bCs/>
        </w:rPr>
        <w:t>TURF</w:t>
      </w:r>
      <w:r w:rsidRPr="00722FD9">
        <w:t xml:space="preserve"> fully developed and in use</w:t>
      </w:r>
    </w:p>
    <w:p w14:paraId="4ED0A8CC" w14:textId="77777777" w:rsidR="00722FD9" w:rsidRPr="00722FD9" w:rsidRDefault="00722FD9" w:rsidP="00722FD9">
      <w:pPr>
        <w:numPr>
          <w:ilvl w:val="0"/>
          <w:numId w:val="29"/>
        </w:numPr>
      </w:pPr>
      <w:r w:rsidRPr="00722FD9">
        <w:rPr>
          <w:rFonts w:ascii="Segoe UI Emoji" w:hAnsi="Segoe UI Emoji" w:cs="Segoe UI Emoji"/>
        </w:rPr>
        <w:lastRenderedPageBreak/>
        <w:t>✅</w:t>
      </w:r>
      <w:r w:rsidRPr="00722FD9">
        <w:t xml:space="preserve"> </w:t>
      </w:r>
      <w:r w:rsidRPr="00722FD9">
        <w:rPr>
          <w:b/>
          <w:bCs/>
        </w:rPr>
        <w:t>MCAF</w:t>
      </w:r>
      <w:r w:rsidRPr="00722FD9">
        <w:t xml:space="preserve"> database structure completed; population in progress</w:t>
      </w:r>
    </w:p>
    <w:p w14:paraId="35E87B38" w14:textId="77777777" w:rsidR="00722FD9" w:rsidRPr="00722FD9" w:rsidRDefault="00722FD9" w:rsidP="00722FD9">
      <w:pPr>
        <w:numPr>
          <w:ilvl w:val="0"/>
          <w:numId w:val="29"/>
        </w:numPr>
      </w:pPr>
      <w:r w:rsidRPr="00722FD9">
        <w:rPr>
          <w:rFonts w:ascii="Segoe UI Emoji" w:hAnsi="Segoe UI Emoji" w:cs="Segoe UI Emoji"/>
        </w:rPr>
        <w:t>✅</w:t>
      </w:r>
      <w:r w:rsidRPr="00722FD9">
        <w:t xml:space="preserve"> </w:t>
      </w:r>
      <w:r w:rsidRPr="00722FD9">
        <w:rPr>
          <w:b/>
          <w:bCs/>
        </w:rPr>
        <w:t>Custom GPT-based memo generator</w:t>
      </w:r>
      <w:r w:rsidRPr="00722FD9">
        <w:t xml:space="preserve"> (RealAlpha Silver prototype) created</w:t>
      </w:r>
    </w:p>
    <w:p w14:paraId="32CBD668" w14:textId="77777777" w:rsidR="00722FD9" w:rsidRPr="00722FD9" w:rsidRDefault="00722FD9" w:rsidP="00722FD9">
      <w:pPr>
        <w:numPr>
          <w:ilvl w:val="0"/>
          <w:numId w:val="29"/>
        </w:numPr>
      </w:pPr>
      <w:r w:rsidRPr="00722FD9">
        <w:rPr>
          <w:rFonts w:ascii="Segoe UI Emoji" w:hAnsi="Segoe UI Emoji" w:cs="Segoe UI Emoji"/>
        </w:rPr>
        <w:t>✅</w:t>
      </w:r>
      <w:r w:rsidRPr="00722FD9">
        <w:t xml:space="preserve"> </w:t>
      </w:r>
      <w:r w:rsidRPr="00722FD9">
        <w:rPr>
          <w:b/>
          <w:bCs/>
        </w:rPr>
        <w:t>Custom GPT tools for capability extraction</w:t>
      </w:r>
      <w:r w:rsidRPr="00722FD9">
        <w:t xml:space="preserve"> from historical IC memos being tested</w:t>
      </w:r>
    </w:p>
    <w:p w14:paraId="50ED1D0F" w14:textId="77777777" w:rsidR="00722FD9" w:rsidRPr="00722FD9" w:rsidRDefault="002F0F54" w:rsidP="00722FD9">
      <w:r>
        <w:pict w14:anchorId="057A9FCD">
          <v:rect id="_x0000_i1051" style="width:0;height:1.5pt" o:hralign="center" o:hrstd="t" o:hr="t" fillcolor="#a0a0a0" stroked="f"/>
        </w:pict>
      </w:r>
    </w:p>
    <w:p w14:paraId="3380BB04" w14:textId="77777777" w:rsidR="00722FD9" w:rsidRPr="00722FD9" w:rsidRDefault="00722FD9" w:rsidP="00722FD9">
      <w:pPr>
        <w:rPr>
          <w:b/>
          <w:bCs/>
        </w:rPr>
      </w:pPr>
      <w:r w:rsidRPr="00722FD9">
        <w:rPr>
          <w:b/>
          <w:bCs/>
        </w:rPr>
        <w:t>D. Next Steps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2313"/>
        <w:gridCol w:w="3925"/>
      </w:tblGrid>
      <w:tr w:rsidR="00722FD9" w:rsidRPr="00722FD9" w14:paraId="573D12D3" w14:textId="77777777" w:rsidTr="00722FD9">
        <w:trPr>
          <w:tblHeader/>
          <w:tblCellSpacing w:w="15" w:type="dxa"/>
        </w:trPr>
        <w:tc>
          <w:tcPr>
            <w:tcW w:w="0" w:type="auto"/>
            <w:vAlign w:val="center"/>
            <w:hideMark/>
          </w:tcPr>
          <w:p w14:paraId="6C9357E0" w14:textId="77777777" w:rsidR="00722FD9" w:rsidRPr="00722FD9" w:rsidRDefault="00722FD9" w:rsidP="00722FD9">
            <w:pPr>
              <w:rPr>
                <w:b/>
                <w:bCs/>
              </w:rPr>
            </w:pPr>
            <w:r w:rsidRPr="00722FD9">
              <w:rPr>
                <w:b/>
                <w:bCs/>
              </w:rPr>
              <w:t>Task</w:t>
            </w:r>
          </w:p>
        </w:tc>
        <w:tc>
          <w:tcPr>
            <w:tcW w:w="0" w:type="auto"/>
            <w:vAlign w:val="center"/>
            <w:hideMark/>
          </w:tcPr>
          <w:p w14:paraId="6B9F1AE4" w14:textId="77777777" w:rsidR="00722FD9" w:rsidRPr="00722FD9" w:rsidRDefault="00722FD9" w:rsidP="00722FD9">
            <w:pPr>
              <w:rPr>
                <w:b/>
                <w:bCs/>
              </w:rPr>
            </w:pPr>
            <w:r w:rsidRPr="00722FD9">
              <w:rPr>
                <w:b/>
                <w:bCs/>
              </w:rPr>
              <w:t>Responsible Person(s)</w:t>
            </w:r>
          </w:p>
        </w:tc>
        <w:tc>
          <w:tcPr>
            <w:tcW w:w="0" w:type="auto"/>
            <w:vAlign w:val="center"/>
            <w:hideMark/>
          </w:tcPr>
          <w:p w14:paraId="51D79A08" w14:textId="77777777" w:rsidR="00722FD9" w:rsidRPr="00722FD9" w:rsidRDefault="00722FD9" w:rsidP="00722FD9">
            <w:pPr>
              <w:rPr>
                <w:b/>
                <w:bCs/>
              </w:rPr>
            </w:pPr>
            <w:r w:rsidRPr="00722FD9">
              <w:rPr>
                <w:b/>
                <w:bCs/>
              </w:rPr>
              <w:t>Description</w:t>
            </w:r>
          </w:p>
        </w:tc>
      </w:tr>
      <w:tr w:rsidR="00722FD9" w:rsidRPr="00722FD9" w14:paraId="73609885" w14:textId="77777777" w:rsidTr="00722FD9">
        <w:trPr>
          <w:tblCellSpacing w:w="15" w:type="dxa"/>
        </w:trPr>
        <w:tc>
          <w:tcPr>
            <w:tcW w:w="0" w:type="auto"/>
            <w:vAlign w:val="center"/>
            <w:hideMark/>
          </w:tcPr>
          <w:p w14:paraId="5D081466" w14:textId="77777777" w:rsidR="00722FD9" w:rsidRPr="00722FD9" w:rsidRDefault="00722FD9" w:rsidP="00722FD9">
            <w:r w:rsidRPr="00722FD9">
              <w:t>1. Finalize and validate TURF and MCAF</w:t>
            </w:r>
          </w:p>
        </w:tc>
        <w:tc>
          <w:tcPr>
            <w:tcW w:w="0" w:type="auto"/>
            <w:vAlign w:val="center"/>
            <w:hideMark/>
          </w:tcPr>
          <w:p w14:paraId="1A036E8A" w14:textId="77777777" w:rsidR="00722FD9" w:rsidRPr="00722FD9" w:rsidRDefault="00722FD9" w:rsidP="00722FD9">
            <w:r w:rsidRPr="00722FD9">
              <w:rPr>
                <w:b/>
                <w:bCs/>
              </w:rPr>
              <w:t>Prashant</w:t>
            </w:r>
          </w:p>
        </w:tc>
        <w:tc>
          <w:tcPr>
            <w:tcW w:w="0" w:type="auto"/>
            <w:vAlign w:val="center"/>
            <w:hideMark/>
          </w:tcPr>
          <w:p w14:paraId="10B463AD" w14:textId="77777777" w:rsidR="00722FD9" w:rsidRPr="00722FD9" w:rsidRDefault="00722FD9" w:rsidP="00722FD9">
            <w:r w:rsidRPr="00722FD9">
              <w:t>Review structures with broader team and align scoring logic</w:t>
            </w:r>
          </w:p>
        </w:tc>
      </w:tr>
      <w:tr w:rsidR="00722FD9" w:rsidRPr="00722FD9" w14:paraId="518C8825" w14:textId="77777777" w:rsidTr="00722FD9">
        <w:trPr>
          <w:tblCellSpacing w:w="15" w:type="dxa"/>
        </w:trPr>
        <w:tc>
          <w:tcPr>
            <w:tcW w:w="0" w:type="auto"/>
            <w:vAlign w:val="center"/>
            <w:hideMark/>
          </w:tcPr>
          <w:p w14:paraId="5BC81AC1" w14:textId="77777777" w:rsidR="00722FD9" w:rsidRPr="00722FD9" w:rsidRDefault="00722FD9" w:rsidP="00722FD9">
            <w:r w:rsidRPr="00722FD9">
              <w:t>2. Extract manager capabilities from IC memos</w:t>
            </w:r>
          </w:p>
        </w:tc>
        <w:tc>
          <w:tcPr>
            <w:tcW w:w="0" w:type="auto"/>
            <w:vAlign w:val="center"/>
            <w:hideMark/>
          </w:tcPr>
          <w:p w14:paraId="26B74272" w14:textId="77777777" w:rsidR="00722FD9" w:rsidRPr="00722FD9" w:rsidRDefault="00722FD9" w:rsidP="00722FD9">
            <w:r w:rsidRPr="00722FD9">
              <w:rPr>
                <w:b/>
                <w:bCs/>
              </w:rPr>
              <w:t>Prashant &amp; Teddy</w:t>
            </w:r>
          </w:p>
        </w:tc>
        <w:tc>
          <w:tcPr>
            <w:tcW w:w="0" w:type="auto"/>
            <w:vAlign w:val="center"/>
            <w:hideMark/>
          </w:tcPr>
          <w:p w14:paraId="5F7CCB35" w14:textId="77777777" w:rsidR="00722FD9" w:rsidRPr="00722FD9" w:rsidRDefault="00722FD9" w:rsidP="00722FD9">
            <w:r w:rsidRPr="00722FD9">
              <w:t>Use AI tooling to auto-extract manager attributes for MCAF</w:t>
            </w:r>
          </w:p>
        </w:tc>
      </w:tr>
      <w:tr w:rsidR="00722FD9" w:rsidRPr="00722FD9" w14:paraId="224AD4DA" w14:textId="77777777" w:rsidTr="00722FD9">
        <w:trPr>
          <w:tblCellSpacing w:w="15" w:type="dxa"/>
        </w:trPr>
        <w:tc>
          <w:tcPr>
            <w:tcW w:w="0" w:type="auto"/>
            <w:vAlign w:val="center"/>
            <w:hideMark/>
          </w:tcPr>
          <w:p w14:paraId="174FCFC2" w14:textId="77777777" w:rsidR="00722FD9" w:rsidRPr="00722FD9" w:rsidRDefault="00722FD9" w:rsidP="00722FD9">
            <w:r w:rsidRPr="00722FD9">
              <w:t>3. Train underwriters to produce RealAlpha reports</w:t>
            </w:r>
          </w:p>
        </w:tc>
        <w:tc>
          <w:tcPr>
            <w:tcW w:w="0" w:type="auto"/>
            <w:vAlign w:val="center"/>
            <w:hideMark/>
          </w:tcPr>
          <w:p w14:paraId="6BE1F08F" w14:textId="77777777" w:rsidR="00722FD9" w:rsidRPr="00722FD9" w:rsidRDefault="00722FD9" w:rsidP="00722FD9">
            <w:r w:rsidRPr="00722FD9">
              <w:rPr>
                <w:b/>
                <w:bCs/>
              </w:rPr>
              <w:t>Zane, George, (potentially Joseph)</w:t>
            </w:r>
          </w:p>
        </w:tc>
        <w:tc>
          <w:tcPr>
            <w:tcW w:w="0" w:type="auto"/>
            <w:vAlign w:val="center"/>
            <w:hideMark/>
          </w:tcPr>
          <w:p w14:paraId="55D688CC" w14:textId="77777777" w:rsidR="00722FD9" w:rsidRPr="00722FD9" w:rsidRDefault="00722FD9" w:rsidP="00722FD9">
            <w:r w:rsidRPr="00722FD9">
              <w:t>Continue generating Silver/Gold versions manually to fine-tune AI outputs</w:t>
            </w:r>
          </w:p>
        </w:tc>
      </w:tr>
      <w:tr w:rsidR="00722FD9" w:rsidRPr="00722FD9" w14:paraId="4A1C3583" w14:textId="77777777" w:rsidTr="00722FD9">
        <w:trPr>
          <w:tblCellSpacing w:w="15" w:type="dxa"/>
        </w:trPr>
        <w:tc>
          <w:tcPr>
            <w:tcW w:w="0" w:type="auto"/>
            <w:vAlign w:val="center"/>
            <w:hideMark/>
          </w:tcPr>
          <w:p w14:paraId="2BD46166" w14:textId="77777777" w:rsidR="00722FD9" w:rsidRPr="00722FD9" w:rsidRDefault="00722FD9" w:rsidP="00722FD9">
            <w:r w:rsidRPr="00722FD9">
              <w:t>4. Define Gold &amp; Platinum report processes</w:t>
            </w:r>
          </w:p>
        </w:tc>
        <w:tc>
          <w:tcPr>
            <w:tcW w:w="0" w:type="auto"/>
            <w:vAlign w:val="center"/>
            <w:hideMark/>
          </w:tcPr>
          <w:p w14:paraId="0DA9545C" w14:textId="77777777" w:rsidR="00722FD9" w:rsidRPr="00722FD9" w:rsidRDefault="00722FD9" w:rsidP="00722FD9">
            <w:r w:rsidRPr="00722FD9">
              <w:rPr>
                <w:b/>
                <w:bCs/>
              </w:rPr>
              <w:t>Prashant &amp; Underwriting Leads</w:t>
            </w:r>
          </w:p>
        </w:tc>
        <w:tc>
          <w:tcPr>
            <w:tcW w:w="0" w:type="auto"/>
            <w:vAlign w:val="center"/>
            <w:hideMark/>
          </w:tcPr>
          <w:p w14:paraId="3415F9C8" w14:textId="77777777" w:rsidR="00722FD9" w:rsidRPr="00722FD9" w:rsidRDefault="00722FD9" w:rsidP="00722FD9">
            <w:r w:rsidRPr="00722FD9">
              <w:t>Standardize underwriting + IC workflows and integrate review logic</w:t>
            </w:r>
          </w:p>
        </w:tc>
      </w:tr>
      <w:tr w:rsidR="00722FD9" w:rsidRPr="00722FD9" w14:paraId="62C4DDD2" w14:textId="77777777" w:rsidTr="00722FD9">
        <w:trPr>
          <w:tblCellSpacing w:w="15" w:type="dxa"/>
        </w:trPr>
        <w:tc>
          <w:tcPr>
            <w:tcW w:w="0" w:type="auto"/>
            <w:vAlign w:val="center"/>
            <w:hideMark/>
          </w:tcPr>
          <w:p w14:paraId="373DC3D9" w14:textId="77777777" w:rsidR="00722FD9" w:rsidRPr="00722FD9" w:rsidRDefault="00722FD9" w:rsidP="00722FD9">
            <w:r w:rsidRPr="00722FD9">
              <w:t>5. Build front-end report interface and distribution tracking</w:t>
            </w:r>
          </w:p>
        </w:tc>
        <w:tc>
          <w:tcPr>
            <w:tcW w:w="0" w:type="auto"/>
            <w:vAlign w:val="center"/>
            <w:hideMark/>
          </w:tcPr>
          <w:p w14:paraId="578F2CD4" w14:textId="77777777" w:rsidR="00722FD9" w:rsidRPr="00722FD9" w:rsidRDefault="00722FD9" w:rsidP="00722FD9">
            <w:r w:rsidRPr="00722FD9">
              <w:rPr>
                <w:b/>
                <w:bCs/>
              </w:rPr>
              <w:t>TBD</w:t>
            </w:r>
          </w:p>
        </w:tc>
        <w:tc>
          <w:tcPr>
            <w:tcW w:w="0" w:type="auto"/>
            <w:vAlign w:val="center"/>
            <w:hideMark/>
          </w:tcPr>
          <w:p w14:paraId="2AB7A86B" w14:textId="77777777" w:rsidR="00722FD9" w:rsidRPr="00722FD9" w:rsidRDefault="00722FD9" w:rsidP="00722FD9">
            <w:r w:rsidRPr="00722FD9">
              <w:t>Allow GPs to control who receives their RealAlpha reports and track interactions</w:t>
            </w:r>
          </w:p>
        </w:tc>
      </w:tr>
    </w:tbl>
    <w:p w14:paraId="1CE1871B" w14:textId="1308CAA9" w:rsidR="00722FD9" w:rsidRDefault="00722FD9">
      <w:r>
        <w:br w:type="page"/>
      </w:r>
    </w:p>
    <w:p w14:paraId="299349EC" w14:textId="32C7CDE8" w:rsidR="00083E7C" w:rsidRPr="00933F5E" w:rsidRDefault="00854003" w:rsidP="00083E7C">
      <w:pPr>
        <w:rPr>
          <w:b/>
          <w:bCs/>
        </w:rPr>
      </w:pPr>
      <w:r>
        <w:rPr>
          <w:b/>
          <w:bCs/>
        </w:rPr>
        <w:lastRenderedPageBreak/>
        <w:t>4</w:t>
      </w:r>
      <w:r w:rsidR="00083E7C" w:rsidRPr="00933F5E">
        <w:rPr>
          <w:b/>
          <w:bCs/>
        </w:rPr>
        <w:t>. ModelSuite – Scenario-Driven Investment Modeling Toolkit</w:t>
      </w:r>
    </w:p>
    <w:p w14:paraId="1287A067" w14:textId="77777777" w:rsidR="00083E7C" w:rsidRPr="00933F5E" w:rsidRDefault="00083E7C" w:rsidP="00083E7C">
      <w:r w:rsidRPr="00933F5E">
        <w:rPr>
          <w:i/>
          <w:iCs/>
        </w:rPr>
        <w:t>A modular, strategy-specific underwriting engine for modeling real estate fund, SMA, direct deal, and entity-level investment structures.</w:t>
      </w:r>
    </w:p>
    <w:p w14:paraId="782155B3" w14:textId="77777777" w:rsidR="00083E7C" w:rsidRPr="00933F5E" w:rsidRDefault="002F0F54" w:rsidP="00083E7C">
      <w:r>
        <w:pict w14:anchorId="6955621E">
          <v:rect id="_x0000_i1052" style="width:0;height:1.5pt" o:hralign="center" o:hrstd="t" o:hr="t" fillcolor="#a0a0a0" stroked="f"/>
        </w:pict>
      </w:r>
    </w:p>
    <w:p w14:paraId="31E19C67" w14:textId="77777777" w:rsidR="00083E7C" w:rsidRPr="00933F5E" w:rsidRDefault="00083E7C" w:rsidP="00083E7C">
      <w:pPr>
        <w:rPr>
          <w:b/>
          <w:bCs/>
        </w:rPr>
      </w:pPr>
      <w:r w:rsidRPr="00933F5E">
        <w:rPr>
          <w:b/>
          <w:bCs/>
        </w:rPr>
        <w:t>A. What the Product Does (Functionality)</w:t>
      </w:r>
    </w:p>
    <w:p w14:paraId="3739F64F" w14:textId="77777777" w:rsidR="00083E7C" w:rsidRPr="00933F5E" w:rsidRDefault="00083E7C" w:rsidP="00083E7C">
      <w:r w:rsidRPr="00933F5E">
        <w:t xml:space="preserve">ModelSuite is a TownsendAI product built to help investors evaluate real estate and real asset opportunities through a collection of customizable investment models. These models are segmented by </w:t>
      </w:r>
      <w:r w:rsidRPr="00933F5E">
        <w:rPr>
          <w:b/>
          <w:bCs/>
        </w:rPr>
        <w:t>investment type</w:t>
      </w:r>
      <w:r w:rsidRPr="00933F5E">
        <w:t xml:space="preserve"> and </w:t>
      </w:r>
      <w:r w:rsidRPr="00933F5E">
        <w:rPr>
          <w:b/>
          <w:bCs/>
        </w:rPr>
        <w:t>risk strategy</w:t>
      </w:r>
      <w:r w:rsidRPr="00933F5E">
        <w:t>, enabling structured underwriting across a wide variety of private market formats.</w:t>
      </w:r>
    </w:p>
    <w:p w14:paraId="45AAF4D6" w14:textId="77777777" w:rsidR="00083E7C" w:rsidRPr="00933F5E" w:rsidRDefault="00083E7C" w:rsidP="00083E7C">
      <w:r w:rsidRPr="00933F5E">
        <w:rPr>
          <w:b/>
          <w:bCs/>
        </w:rPr>
        <w:t>Users can choose input assumptions from</w:t>
      </w:r>
      <w:r w:rsidRPr="00933F5E">
        <w:t>:</w:t>
      </w:r>
    </w:p>
    <w:p w14:paraId="4A7FA22A" w14:textId="77777777" w:rsidR="00083E7C" w:rsidRPr="00933F5E" w:rsidRDefault="00083E7C" w:rsidP="00083E7C">
      <w:pPr>
        <w:numPr>
          <w:ilvl w:val="0"/>
          <w:numId w:val="32"/>
        </w:numPr>
      </w:pPr>
      <w:r w:rsidRPr="00933F5E">
        <w:t>Townsend house views (VOTW, MCAF, performance database)</w:t>
      </w:r>
    </w:p>
    <w:p w14:paraId="1D7CF8BB" w14:textId="77777777" w:rsidR="00083E7C" w:rsidRPr="00933F5E" w:rsidRDefault="00083E7C" w:rsidP="00083E7C">
      <w:pPr>
        <w:numPr>
          <w:ilvl w:val="0"/>
          <w:numId w:val="32"/>
        </w:numPr>
      </w:pPr>
      <w:r w:rsidRPr="00933F5E">
        <w:t>Sponsor-provided projections</w:t>
      </w:r>
    </w:p>
    <w:p w14:paraId="5E5EDEBF" w14:textId="77777777" w:rsidR="00083E7C" w:rsidRPr="00933F5E" w:rsidRDefault="00083E7C" w:rsidP="00083E7C">
      <w:pPr>
        <w:numPr>
          <w:ilvl w:val="0"/>
          <w:numId w:val="32"/>
        </w:numPr>
      </w:pPr>
      <w:r w:rsidRPr="00933F5E">
        <w:t>Bring-Your-Own-Assumptions (BYOA) for rent growth, exit cap, valuation entry/exit, fee terms, etc.</w:t>
      </w:r>
    </w:p>
    <w:p w14:paraId="789423CB" w14:textId="77777777" w:rsidR="00083E7C" w:rsidRPr="00933F5E" w:rsidRDefault="00083E7C" w:rsidP="00083E7C">
      <w:r w:rsidRPr="00933F5E">
        <w:rPr>
          <w:b/>
          <w:bCs/>
        </w:rPr>
        <w:t>Model coverage includes:</w:t>
      </w:r>
    </w:p>
    <w:p w14:paraId="662E1DDA" w14:textId="77777777" w:rsidR="00083E7C" w:rsidRPr="00933F5E" w:rsidRDefault="00083E7C" w:rsidP="00083E7C">
      <w:pPr>
        <w:numPr>
          <w:ilvl w:val="0"/>
          <w:numId w:val="33"/>
        </w:numPr>
      </w:pPr>
      <w:r w:rsidRPr="00933F5E">
        <w:rPr>
          <w:b/>
          <w:bCs/>
        </w:rPr>
        <w:t>Investment Type</w:t>
      </w:r>
      <w:r w:rsidRPr="00933F5E">
        <w:t>:</w:t>
      </w:r>
    </w:p>
    <w:p w14:paraId="123C1ED2" w14:textId="77777777" w:rsidR="00083E7C" w:rsidRPr="00933F5E" w:rsidRDefault="00083E7C" w:rsidP="00083E7C">
      <w:pPr>
        <w:numPr>
          <w:ilvl w:val="1"/>
          <w:numId w:val="33"/>
        </w:numPr>
      </w:pPr>
      <w:r w:rsidRPr="00933F5E">
        <w:t>Commingled Funds (Core, Core Plus, Value Add, Development)</w:t>
      </w:r>
    </w:p>
    <w:p w14:paraId="277723F9" w14:textId="77777777" w:rsidR="00083E7C" w:rsidRPr="00933F5E" w:rsidRDefault="00083E7C" w:rsidP="00083E7C">
      <w:pPr>
        <w:numPr>
          <w:ilvl w:val="1"/>
          <w:numId w:val="33"/>
        </w:numPr>
      </w:pPr>
      <w:r w:rsidRPr="00933F5E">
        <w:t>SMAs / Fund-of-One</w:t>
      </w:r>
    </w:p>
    <w:p w14:paraId="20ABDE73" w14:textId="77777777" w:rsidR="00083E7C" w:rsidRPr="00933F5E" w:rsidRDefault="00083E7C" w:rsidP="00083E7C">
      <w:pPr>
        <w:numPr>
          <w:ilvl w:val="1"/>
          <w:numId w:val="33"/>
        </w:numPr>
      </w:pPr>
      <w:r w:rsidRPr="00933F5E">
        <w:t>Single Assets</w:t>
      </w:r>
    </w:p>
    <w:p w14:paraId="7C81B731" w14:textId="77777777" w:rsidR="00083E7C" w:rsidRPr="00933F5E" w:rsidRDefault="00083E7C" w:rsidP="00083E7C">
      <w:pPr>
        <w:numPr>
          <w:ilvl w:val="1"/>
          <w:numId w:val="33"/>
        </w:numPr>
      </w:pPr>
      <w:r w:rsidRPr="00933F5E">
        <w:t>Portfolios</w:t>
      </w:r>
    </w:p>
    <w:p w14:paraId="175DD5B4" w14:textId="77777777" w:rsidR="00083E7C" w:rsidRPr="00933F5E" w:rsidRDefault="00083E7C" w:rsidP="00083E7C">
      <w:pPr>
        <w:numPr>
          <w:ilvl w:val="1"/>
          <w:numId w:val="33"/>
        </w:numPr>
      </w:pPr>
      <w:r w:rsidRPr="00933F5E">
        <w:t>Secondary investments</w:t>
      </w:r>
    </w:p>
    <w:p w14:paraId="05DC1A75" w14:textId="77777777" w:rsidR="00083E7C" w:rsidRPr="00933F5E" w:rsidRDefault="00083E7C" w:rsidP="00083E7C">
      <w:pPr>
        <w:numPr>
          <w:ilvl w:val="1"/>
          <w:numId w:val="33"/>
        </w:numPr>
      </w:pPr>
      <w:r w:rsidRPr="00933F5E">
        <w:t>GP Staking</w:t>
      </w:r>
    </w:p>
    <w:p w14:paraId="67EFB997" w14:textId="77777777" w:rsidR="00083E7C" w:rsidRPr="00933F5E" w:rsidRDefault="00083E7C" w:rsidP="00083E7C">
      <w:pPr>
        <w:numPr>
          <w:ilvl w:val="1"/>
          <w:numId w:val="33"/>
        </w:numPr>
      </w:pPr>
      <w:r w:rsidRPr="00933F5E">
        <w:t>Entity-level and hybrid structures</w:t>
      </w:r>
    </w:p>
    <w:p w14:paraId="72AFD3CF" w14:textId="77777777" w:rsidR="00083E7C" w:rsidRPr="00933F5E" w:rsidRDefault="00083E7C" w:rsidP="00083E7C">
      <w:pPr>
        <w:numPr>
          <w:ilvl w:val="0"/>
          <w:numId w:val="33"/>
        </w:numPr>
      </w:pPr>
      <w:r w:rsidRPr="00933F5E">
        <w:rPr>
          <w:b/>
          <w:bCs/>
        </w:rPr>
        <w:t>Output metrics</w:t>
      </w:r>
      <w:r w:rsidRPr="00933F5E">
        <w:t>:</w:t>
      </w:r>
    </w:p>
    <w:p w14:paraId="5E5D9300" w14:textId="77777777" w:rsidR="00083E7C" w:rsidRPr="00933F5E" w:rsidRDefault="00083E7C" w:rsidP="00083E7C">
      <w:pPr>
        <w:numPr>
          <w:ilvl w:val="1"/>
          <w:numId w:val="33"/>
        </w:numPr>
      </w:pPr>
      <w:r w:rsidRPr="00933F5E">
        <w:t>Property- and fund-level returns</w:t>
      </w:r>
    </w:p>
    <w:p w14:paraId="46DD48EE" w14:textId="77777777" w:rsidR="00083E7C" w:rsidRPr="00933F5E" w:rsidRDefault="00083E7C" w:rsidP="00083E7C">
      <w:pPr>
        <w:numPr>
          <w:ilvl w:val="1"/>
          <w:numId w:val="33"/>
        </w:numPr>
      </w:pPr>
      <w:r w:rsidRPr="00933F5E">
        <w:t>Fee drag and promote waterfall impact</w:t>
      </w:r>
    </w:p>
    <w:p w14:paraId="3243BBD0" w14:textId="77777777" w:rsidR="00083E7C" w:rsidRPr="00933F5E" w:rsidRDefault="00083E7C" w:rsidP="00083E7C">
      <w:pPr>
        <w:numPr>
          <w:ilvl w:val="1"/>
          <w:numId w:val="33"/>
        </w:numPr>
      </w:pPr>
      <w:r w:rsidRPr="00933F5E">
        <w:t>Return sensitivity to macro and underwriting changes</w:t>
      </w:r>
    </w:p>
    <w:p w14:paraId="6B88DCDF" w14:textId="77777777" w:rsidR="00083E7C" w:rsidRPr="00933F5E" w:rsidRDefault="00083E7C" w:rsidP="00083E7C">
      <w:pPr>
        <w:numPr>
          <w:ilvl w:val="1"/>
          <w:numId w:val="33"/>
        </w:numPr>
      </w:pPr>
      <w:r w:rsidRPr="00933F5E">
        <w:lastRenderedPageBreak/>
        <w:t>Volatility and Sharpe-adjusted risk analysis</w:t>
      </w:r>
    </w:p>
    <w:p w14:paraId="7C8E4DB2" w14:textId="77777777" w:rsidR="00083E7C" w:rsidRPr="00933F5E" w:rsidRDefault="00083E7C" w:rsidP="00083E7C">
      <w:r w:rsidRPr="00933F5E">
        <w:rPr>
          <w:b/>
          <w:bCs/>
        </w:rPr>
        <w:t>Flexibility Features</w:t>
      </w:r>
      <w:r w:rsidRPr="00933F5E">
        <w:t>:</w:t>
      </w:r>
    </w:p>
    <w:p w14:paraId="7A479B13" w14:textId="77777777" w:rsidR="00083E7C" w:rsidRPr="00933F5E" w:rsidRDefault="00083E7C" w:rsidP="00083E7C">
      <w:pPr>
        <w:numPr>
          <w:ilvl w:val="0"/>
          <w:numId w:val="34"/>
        </w:numPr>
      </w:pPr>
      <w:r w:rsidRPr="00933F5E">
        <w:t>Stress test different economic conditions</w:t>
      </w:r>
    </w:p>
    <w:p w14:paraId="28151A05" w14:textId="77777777" w:rsidR="00083E7C" w:rsidRPr="00933F5E" w:rsidRDefault="00083E7C" w:rsidP="00083E7C">
      <w:pPr>
        <w:numPr>
          <w:ilvl w:val="0"/>
          <w:numId w:val="34"/>
        </w:numPr>
      </w:pPr>
      <w:r w:rsidRPr="00933F5E">
        <w:t>Compare multiple sponsor assumptions vs. Townsend base case</w:t>
      </w:r>
    </w:p>
    <w:p w14:paraId="4C93FDDE" w14:textId="77777777" w:rsidR="00083E7C" w:rsidRPr="00933F5E" w:rsidRDefault="00083E7C" w:rsidP="00083E7C">
      <w:pPr>
        <w:numPr>
          <w:ilvl w:val="0"/>
          <w:numId w:val="34"/>
        </w:numPr>
      </w:pPr>
      <w:r w:rsidRPr="00933F5E">
        <w:t>Model both simple and hybrid structures (e.g., entity + LP commitment)</w:t>
      </w:r>
    </w:p>
    <w:p w14:paraId="647F157F" w14:textId="77777777" w:rsidR="00083E7C" w:rsidRPr="00933F5E" w:rsidRDefault="002F0F54" w:rsidP="00083E7C">
      <w:r>
        <w:pict w14:anchorId="0BA21967">
          <v:rect id="_x0000_i1053" style="width:0;height:1.5pt" o:hralign="center" o:hrstd="t" o:hr="t" fillcolor="#a0a0a0" stroked="f"/>
        </w:pict>
      </w:r>
    </w:p>
    <w:p w14:paraId="7A689FE5" w14:textId="77777777" w:rsidR="00083E7C" w:rsidRPr="00933F5E" w:rsidRDefault="00083E7C" w:rsidP="00083E7C">
      <w:pPr>
        <w:rPr>
          <w:b/>
          <w:bCs/>
        </w:rPr>
      </w:pPr>
      <w:r w:rsidRPr="00933F5E">
        <w:rPr>
          <w:b/>
          <w:bCs/>
        </w:rPr>
        <w:t>B. Target Clients and Their Key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7329"/>
      </w:tblGrid>
      <w:tr w:rsidR="00083E7C" w:rsidRPr="00933F5E" w14:paraId="05AA08C1" w14:textId="77777777" w:rsidTr="0049418E">
        <w:trPr>
          <w:tblHeader/>
          <w:tblCellSpacing w:w="15" w:type="dxa"/>
        </w:trPr>
        <w:tc>
          <w:tcPr>
            <w:tcW w:w="0" w:type="auto"/>
            <w:vAlign w:val="center"/>
            <w:hideMark/>
          </w:tcPr>
          <w:p w14:paraId="1ACB1093" w14:textId="77777777" w:rsidR="00083E7C" w:rsidRPr="00933F5E" w:rsidRDefault="00083E7C" w:rsidP="0049418E">
            <w:pPr>
              <w:rPr>
                <w:b/>
                <w:bCs/>
              </w:rPr>
            </w:pPr>
            <w:r w:rsidRPr="00933F5E">
              <w:rPr>
                <w:b/>
                <w:bCs/>
              </w:rPr>
              <w:t>Client Type</w:t>
            </w:r>
          </w:p>
        </w:tc>
        <w:tc>
          <w:tcPr>
            <w:tcW w:w="0" w:type="auto"/>
            <w:vAlign w:val="center"/>
            <w:hideMark/>
          </w:tcPr>
          <w:p w14:paraId="7B479EF5" w14:textId="77777777" w:rsidR="00083E7C" w:rsidRPr="00933F5E" w:rsidRDefault="00083E7C" w:rsidP="0049418E">
            <w:pPr>
              <w:rPr>
                <w:b/>
                <w:bCs/>
              </w:rPr>
            </w:pPr>
            <w:r w:rsidRPr="00933F5E">
              <w:rPr>
                <w:b/>
                <w:bCs/>
              </w:rPr>
              <w:t>Use Cases</w:t>
            </w:r>
          </w:p>
        </w:tc>
      </w:tr>
      <w:tr w:rsidR="00083E7C" w:rsidRPr="00933F5E" w14:paraId="402B8210" w14:textId="77777777" w:rsidTr="0049418E">
        <w:trPr>
          <w:tblCellSpacing w:w="15" w:type="dxa"/>
        </w:trPr>
        <w:tc>
          <w:tcPr>
            <w:tcW w:w="0" w:type="auto"/>
            <w:vAlign w:val="center"/>
            <w:hideMark/>
          </w:tcPr>
          <w:p w14:paraId="671E8F61" w14:textId="77777777" w:rsidR="00083E7C" w:rsidRPr="00933F5E" w:rsidRDefault="00083E7C" w:rsidP="0049418E">
            <w:r w:rsidRPr="00933F5E">
              <w:rPr>
                <w:b/>
                <w:bCs/>
              </w:rPr>
              <w:t>Institutional LPs</w:t>
            </w:r>
          </w:p>
        </w:tc>
        <w:tc>
          <w:tcPr>
            <w:tcW w:w="0" w:type="auto"/>
            <w:vAlign w:val="center"/>
            <w:hideMark/>
          </w:tcPr>
          <w:p w14:paraId="1A6F7014" w14:textId="77777777" w:rsidR="00083E7C" w:rsidRPr="00933F5E" w:rsidRDefault="00083E7C" w:rsidP="0049418E">
            <w:r w:rsidRPr="00933F5E">
              <w:t>Independently evaluate fund offerings, SMA terms, or co-investments using Townsend or custom assumptions</w:t>
            </w:r>
          </w:p>
        </w:tc>
      </w:tr>
      <w:tr w:rsidR="00083E7C" w:rsidRPr="00933F5E" w14:paraId="295F8E12" w14:textId="77777777" w:rsidTr="0049418E">
        <w:trPr>
          <w:tblCellSpacing w:w="15" w:type="dxa"/>
        </w:trPr>
        <w:tc>
          <w:tcPr>
            <w:tcW w:w="0" w:type="auto"/>
            <w:vAlign w:val="center"/>
            <w:hideMark/>
          </w:tcPr>
          <w:p w14:paraId="60296EA3" w14:textId="77777777" w:rsidR="00083E7C" w:rsidRPr="00933F5E" w:rsidRDefault="00083E7C" w:rsidP="0049418E">
            <w:r w:rsidRPr="00933F5E">
              <w:rPr>
                <w:b/>
                <w:bCs/>
              </w:rPr>
              <w:t>GPs / Asset Managers</w:t>
            </w:r>
          </w:p>
        </w:tc>
        <w:tc>
          <w:tcPr>
            <w:tcW w:w="0" w:type="auto"/>
            <w:vAlign w:val="center"/>
            <w:hideMark/>
          </w:tcPr>
          <w:p w14:paraId="3086405A" w14:textId="77777777" w:rsidR="00083E7C" w:rsidRPr="00933F5E" w:rsidRDefault="00083E7C" w:rsidP="0049418E">
            <w:r w:rsidRPr="00933F5E">
              <w:t>Analyze fund design and expected performance under various market scenarios</w:t>
            </w:r>
          </w:p>
        </w:tc>
      </w:tr>
      <w:tr w:rsidR="00083E7C" w:rsidRPr="00933F5E" w14:paraId="5CE1CD5D" w14:textId="77777777" w:rsidTr="0049418E">
        <w:trPr>
          <w:tblCellSpacing w:w="15" w:type="dxa"/>
        </w:trPr>
        <w:tc>
          <w:tcPr>
            <w:tcW w:w="0" w:type="auto"/>
            <w:vAlign w:val="center"/>
            <w:hideMark/>
          </w:tcPr>
          <w:p w14:paraId="51DA060E" w14:textId="77777777" w:rsidR="00083E7C" w:rsidRPr="00933F5E" w:rsidRDefault="00083E7C" w:rsidP="0049418E">
            <w:r w:rsidRPr="00933F5E">
              <w:rPr>
                <w:b/>
                <w:bCs/>
              </w:rPr>
              <w:t>Consultants</w:t>
            </w:r>
          </w:p>
        </w:tc>
        <w:tc>
          <w:tcPr>
            <w:tcW w:w="0" w:type="auto"/>
            <w:vAlign w:val="center"/>
            <w:hideMark/>
          </w:tcPr>
          <w:p w14:paraId="342725CC" w14:textId="77777777" w:rsidR="00083E7C" w:rsidRPr="00933F5E" w:rsidRDefault="00083E7C" w:rsidP="0049418E">
            <w:r w:rsidRPr="00933F5E">
              <w:t>Support underwriting and portfolio construction recommendations</w:t>
            </w:r>
          </w:p>
        </w:tc>
      </w:tr>
      <w:tr w:rsidR="00083E7C" w:rsidRPr="00933F5E" w14:paraId="6D7C3A2B" w14:textId="77777777" w:rsidTr="0049418E">
        <w:trPr>
          <w:tblCellSpacing w:w="15" w:type="dxa"/>
        </w:trPr>
        <w:tc>
          <w:tcPr>
            <w:tcW w:w="0" w:type="auto"/>
            <w:vAlign w:val="center"/>
            <w:hideMark/>
          </w:tcPr>
          <w:p w14:paraId="5D9042D9" w14:textId="77777777" w:rsidR="00083E7C" w:rsidRPr="00933F5E" w:rsidRDefault="00083E7C" w:rsidP="0049418E">
            <w:r w:rsidRPr="00933F5E">
              <w:rPr>
                <w:b/>
                <w:bCs/>
              </w:rPr>
              <w:t>Wealth Platforms</w:t>
            </w:r>
          </w:p>
        </w:tc>
        <w:tc>
          <w:tcPr>
            <w:tcW w:w="0" w:type="auto"/>
            <w:vAlign w:val="center"/>
            <w:hideMark/>
          </w:tcPr>
          <w:p w14:paraId="0261656A" w14:textId="77777777" w:rsidR="00083E7C" w:rsidRPr="00933F5E" w:rsidRDefault="00083E7C" w:rsidP="0049418E">
            <w:r w:rsidRPr="00933F5E">
              <w:t>Evaluate or structure feeder funds or model passive vehicles</w:t>
            </w:r>
          </w:p>
        </w:tc>
      </w:tr>
      <w:tr w:rsidR="00083E7C" w:rsidRPr="00933F5E" w14:paraId="323C6426" w14:textId="77777777" w:rsidTr="0049418E">
        <w:trPr>
          <w:tblCellSpacing w:w="15" w:type="dxa"/>
        </w:trPr>
        <w:tc>
          <w:tcPr>
            <w:tcW w:w="0" w:type="auto"/>
            <w:vAlign w:val="center"/>
            <w:hideMark/>
          </w:tcPr>
          <w:p w14:paraId="51D07956" w14:textId="77777777" w:rsidR="00083E7C" w:rsidRPr="00933F5E" w:rsidRDefault="00083E7C" w:rsidP="0049418E">
            <w:r w:rsidRPr="00933F5E">
              <w:rPr>
                <w:b/>
                <w:bCs/>
              </w:rPr>
              <w:t>Family Offices</w:t>
            </w:r>
          </w:p>
        </w:tc>
        <w:tc>
          <w:tcPr>
            <w:tcW w:w="0" w:type="auto"/>
            <w:vAlign w:val="center"/>
            <w:hideMark/>
          </w:tcPr>
          <w:p w14:paraId="45CBB06F" w14:textId="77777777" w:rsidR="00083E7C" w:rsidRPr="00933F5E" w:rsidRDefault="00083E7C" w:rsidP="0049418E">
            <w:r w:rsidRPr="00933F5E">
              <w:t>Use in customized modeling of fund and direct strategies</w:t>
            </w:r>
          </w:p>
        </w:tc>
      </w:tr>
      <w:tr w:rsidR="00083E7C" w:rsidRPr="00933F5E" w14:paraId="4394A2B9" w14:textId="77777777" w:rsidTr="0049418E">
        <w:trPr>
          <w:tblCellSpacing w:w="15" w:type="dxa"/>
        </w:trPr>
        <w:tc>
          <w:tcPr>
            <w:tcW w:w="0" w:type="auto"/>
            <w:vAlign w:val="center"/>
            <w:hideMark/>
          </w:tcPr>
          <w:p w14:paraId="51DAC6C4" w14:textId="77777777" w:rsidR="00083E7C" w:rsidRPr="00933F5E" w:rsidRDefault="00083E7C" w:rsidP="0049418E">
            <w:r w:rsidRPr="00933F5E">
              <w:rPr>
                <w:b/>
                <w:bCs/>
              </w:rPr>
              <w:t>Underwriters</w:t>
            </w:r>
          </w:p>
        </w:tc>
        <w:tc>
          <w:tcPr>
            <w:tcW w:w="0" w:type="auto"/>
            <w:vAlign w:val="center"/>
            <w:hideMark/>
          </w:tcPr>
          <w:p w14:paraId="5108398C" w14:textId="77777777" w:rsidR="00083E7C" w:rsidRPr="00933F5E" w:rsidRDefault="00083E7C" w:rsidP="0049418E">
            <w:r w:rsidRPr="00933F5E">
              <w:t>Use ModelSuite as an internal Townsend tool to generate RealAlpha reports and capital advisory analytics</w:t>
            </w:r>
          </w:p>
        </w:tc>
      </w:tr>
    </w:tbl>
    <w:p w14:paraId="38337E81" w14:textId="77777777" w:rsidR="00083E7C" w:rsidRPr="00933F5E" w:rsidRDefault="002F0F54" w:rsidP="00083E7C">
      <w:r>
        <w:pict w14:anchorId="64B54B99">
          <v:rect id="_x0000_i1054" style="width:0;height:1.5pt" o:hralign="center" o:hrstd="t" o:hr="t" fillcolor="#a0a0a0" stroked="f"/>
        </w:pict>
      </w:r>
    </w:p>
    <w:p w14:paraId="2A88F8E6" w14:textId="77777777" w:rsidR="00083E7C" w:rsidRPr="00933F5E" w:rsidRDefault="00083E7C" w:rsidP="00083E7C">
      <w:pPr>
        <w:rPr>
          <w:b/>
          <w:bCs/>
        </w:rPr>
      </w:pPr>
      <w:r w:rsidRPr="00933F5E">
        <w:rPr>
          <w:b/>
          <w:bCs/>
        </w:rPr>
        <w:t>C. Development Status</w:t>
      </w:r>
    </w:p>
    <w:p w14:paraId="63C167D1" w14:textId="77777777" w:rsidR="00083E7C" w:rsidRPr="00933F5E" w:rsidRDefault="00083E7C" w:rsidP="00083E7C">
      <w:pPr>
        <w:numPr>
          <w:ilvl w:val="0"/>
          <w:numId w:val="35"/>
        </w:numPr>
      </w:pPr>
      <w:r>
        <w:rPr>
          <w:rFonts w:ascii="Segoe UI Emoji" w:hAnsi="Segoe UI Emoji" w:cs="Segoe UI Emoji"/>
        </w:rPr>
        <w:t>TBD</w:t>
      </w:r>
    </w:p>
    <w:p w14:paraId="0DB8BC15" w14:textId="77777777" w:rsidR="00083E7C" w:rsidRPr="00933F5E" w:rsidRDefault="002F0F54" w:rsidP="00083E7C">
      <w:r>
        <w:pict w14:anchorId="1A221BDA">
          <v:rect id="_x0000_i1055" style="width:0;height:1.5pt" o:hralign="center" o:hrstd="t" o:hr="t" fillcolor="#a0a0a0" stroked="f"/>
        </w:pict>
      </w:r>
    </w:p>
    <w:p w14:paraId="03142E7A" w14:textId="77777777" w:rsidR="00083E7C" w:rsidRPr="00933F5E" w:rsidRDefault="00083E7C" w:rsidP="00083E7C">
      <w:pPr>
        <w:rPr>
          <w:b/>
          <w:bCs/>
        </w:rPr>
      </w:pPr>
      <w:r w:rsidRPr="00933F5E">
        <w:rPr>
          <w:b/>
          <w:bCs/>
        </w:rPr>
        <w:t>D. Next Steps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2488"/>
        <w:gridCol w:w="1351"/>
      </w:tblGrid>
      <w:tr w:rsidR="00083E7C" w:rsidRPr="00933F5E" w14:paraId="3790182A" w14:textId="77777777" w:rsidTr="0049418E">
        <w:trPr>
          <w:tblHeader/>
          <w:tblCellSpacing w:w="15" w:type="dxa"/>
        </w:trPr>
        <w:tc>
          <w:tcPr>
            <w:tcW w:w="0" w:type="auto"/>
            <w:vAlign w:val="center"/>
            <w:hideMark/>
          </w:tcPr>
          <w:p w14:paraId="38479E51" w14:textId="77777777" w:rsidR="00083E7C" w:rsidRPr="00933F5E" w:rsidRDefault="00083E7C" w:rsidP="0049418E">
            <w:pPr>
              <w:rPr>
                <w:b/>
                <w:bCs/>
              </w:rPr>
            </w:pPr>
            <w:r w:rsidRPr="00933F5E">
              <w:rPr>
                <w:b/>
                <w:bCs/>
              </w:rPr>
              <w:t>Task</w:t>
            </w:r>
          </w:p>
        </w:tc>
        <w:tc>
          <w:tcPr>
            <w:tcW w:w="0" w:type="auto"/>
            <w:vAlign w:val="center"/>
            <w:hideMark/>
          </w:tcPr>
          <w:p w14:paraId="2E915269" w14:textId="77777777" w:rsidR="00083E7C" w:rsidRPr="00933F5E" w:rsidRDefault="00083E7C" w:rsidP="0049418E">
            <w:pPr>
              <w:rPr>
                <w:b/>
                <w:bCs/>
              </w:rPr>
            </w:pPr>
            <w:r w:rsidRPr="00933F5E">
              <w:rPr>
                <w:b/>
                <w:bCs/>
              </w:rPr>
              <w:t>Responsible Person(s)</w:t>
            </w:r>
          </w:p>
        </w:tc>
        <w:tc>
          <w:tcPr>
            <w:tcW w:w="0" w:type="auto"/>
            <w:vAlign w:val="center"/>
            <w:hideMark/>
          </w:tcPr>
          <w:p w14:paraId="18134D7B" w14:textId="77777777" w:rsidR="00083E7C" w:rsidRPr="00933F5E" w:rsidRDefault="00083E7C" w:rsidP="0049418E">
            <w:pPr>
              <w:rPr>
                <w:b/>
                <w:bCs/>
              </w:rPr>
            </w:pPr>
            <w:r w:rsidRPr="00933F5E">
              <w:rPr>
                <w:b/>
                <w:bCs/>
              </w:rPr>
              <w:t>Description</w:t>
            </w:r>
          </w:p>
        </w:tc>
      </w:tr>
    </w:tbl>
    <w:p w14:paraId="2DFBCABE" w14:textId="77777777" w:rsidR="00083E7C" w:rsidRDefault="00083E7C" w:rsidP="00083E7C">
      <w:r>
        <w:t>TBD</w:t>
      </w:r>
    </w:p>
    <w:p w14:paraId="5353838B" w14:textId="43B5BB36" w:rsidR="00083E7C" w:rsidRDefault="00083E7C">
      <w:r>
        <w:br w:type="page"/>
      </w:r>
    </w:p>
    <w:p w14:paraId="4E9FAA62" w14:textId="3B443D3E" w:rsidR="00130CB7" w:rsidRPr="00130CB7" w:rsidRDefault="002F0F54" w:rsidP="00130CB7">
      <w:r>
        <w:lastRenderedPageBreak/>
        <w:pict w14:anchorId="4CFCAB08">
          <v:rect id="_x0000_i1056" style="width:0;height:1.5pt" o:hralign="center" o:hrstd="t" o:hr="t" fillcolor="#a0a0a0" stroked="f"/>
        </w:pict>
      </w:r>
    </w:p>
    <w:p w14:paraId="5E583F00" w14:textId="16E95882" w:rsidR="00130CB7" w:rsidRPr="00130CB7" w:rsidRDefault="00854003" w:rsidP="00130CB7">
      <w:pPr>
        <w:rPr>
          <w:b/>
          <w:bCs/>
        </w:rPr>
      </w:pPr>
      <w:r>
        <w:rPr>
          <w:rFonts w:ascii="Segoe UI Emoji" w:hAnsi="Segoe UI Emoji" w:cs="Segoe UI Emoji"/>
          <w:b/>
          <w:bCs/>
        </w:rPr>
        <w:t>5</w:t>
      </w:r>
      <w:r w:rsidR="00130CB7" w:rsidRPr="00130CB7">
        <w:rPr>
          <w:b/>
          <w:bCs/>
        </w:rPr>
        <w:t xml:space="preserve">. </w:t>
      </w:r>
      <w:r w:rsidR="00D62486">
        <w:rPr>
          <w:b/>
          <w:bCs/>
        </w:rPr>
        <w:t>Portfoli</w:t>
      </w:r>
      <w:r w:rsidR="0036534B">
        <w:rPr>
          <w:b/>
          <w:bCs/>
        </w:rPr>
        <w:t>o</w:t>
      </w:r>
      <w:r w:rsidR="00130CB7" w:rsidRPr="00130CB7">
        <w:rPr>
          <w:b/>
          <w:bCs/>
        </w:rPr>
        <w:t>IQ – AI-Driven Strategic Planning &amp; Portfolio Rebalancing Platform</w:t>
      </w:r>
    </w:p>
    <w:p w14:paraId="7A75D530" w14:textId="77777777" w:rsidR="00130CB7" w:rsidRPr="00130CB7" w:rsidRDefault="00130CB7" w:rsidP="00130CB7">
      <w:r w:rsidRPr="00130CB7">
        <w:rPr>
          <w:i/>
          <w:iCs/>
        </w:rPr>
        <w:t>A dynamic real asset strategy engine that produces institutional</w:t>
      </w:r>
      <w:r w:rsidRPr="00046388">
        <w:rPr>
          <w:i/>
          <w:iCs/>
        </w:rPr>
        <w:t xml:space="preserve"> investment </w:t>
      </w:r>
      <w:r w:rsidRPr="00130CB7">
        <w:rPr>
          <w:i/>
          <w:iCs/>
        </w:rPr>
        <w:t>plans, quarterly reporting, and portfolio rebalancing ideas customized to each client’s objectives.</w:t>
      </w:r>
    </w:p>
    <w:p w14:paraId="15808BC0" w14:textId="77777777" w:rsidR="00130CB7" w:rsidRPr="00130CB7" w:rsidRDefault="002F0F54" w:rsidP="00130CB7">
      <w:r>
        <w:pict w14:anchorId="143A4154">
          <v:rect id="_x0000_i1057" style="width:0;height:1.5pt" o:hralign="center" o:hrstd="t" o:hr="t" fillcolor="#a0a0a0" stroked="f"/>
        </w:pict>
      </w:r>
    </w:p>
    <w:p w14:paraId="7F7DFB38" w14:textId="77777777" w:rsidR="00130CB7" w:rsidRPr="00130CB7" w:rsidRDefault="00130CB7" w:rsidP="00130CB7">
      <w:pPr>
        <w:rPr>
          <w:b/>
          <w:bCs/>
        </w:rPr>
      </w:pPr>
      <w:r w:rsidRPr="00130CB7">
        <w:rPr>
          <w:b/>
          <w:bCs/>
        </w:rPr>
        <w:t>A. What the Product Does (Functionality)</w:t>
      </w:r>
    </w:p>
    <w:p w14:paraId="1F1B9592" w14:textId="77777777" w:rsidR="00130CB7" w:rsidRPr="00130CB7" w:rsidRDefault="00130CB7" w:rsidP="00130CB7">
      <w:r w:rsidRPr="00130CB7">
        <w:rPr>
          <w:b/>
          <w:bCs/>
        </w:rPr>
        <w:t>StrategyIQ</w:t>
      </w:r>
      <w:r w:rsidRPr="00130CB7">
        <w:t xml:space="preserve"> is an AI-powered platform that generates institutional-grade </w:t>
      </w:r>
      <w:r w:rsidRPr="00130CB7">
        <w:rPr>
          <w:b/>
          <w:bCs/>
        </w:rPr>
        <w:t>strategic plans</w:t>
      </w:r>
      <w:r w:rsidRPr="00130CB7">
        <w:t xml:space="preserve">, </w:t>
      </w:r>
      <w:r w:rsidRPr="00130CB7">
        <w:rPr>
          <w:b/>
          <w:bCs/>
        </w:rPr>
        <w:t>quarterly performance reports</w:t>
      </w:r>
      <w:r w:rsidRPr="00130CB7">
        <w:t xml:space="preserve">, and </w:t>
      </w:r>
      <w:r w:rsidRPr="00130CB7">
        <w:rPr>
          <w:b/>
          <w:bCs/>
        </w:rPr>
        <w:t>portfolio rebalancing ideas</w:t>
      </w:r>
      <w:r w:rsidRPr="00130CB7">
        <w:t xml:space="preserve"> tailored to each client’s objectives. It integrates historical data, forecasts, live performance feeds, and Townsend’s proprietary insights.</w:t>
      </w:r>
    </w:p>
    <w:p w14:paraId="0045D032" w14:textId="77777777" w:rsidR="00130CB7" w:rsidRPr="00130CB7" w:rsidRDefault="00130CB7" w:rsidP="00130CB7">
      <w:pPr>
        <w:rPr>
          <w:b/>
          <w:bCs/>
        </w:rPr>
      </w:pPr>
      <w:r w:rsidRPr="00130CB7">
        <w:rPr>
          <w:b/>
          <w:bCs/>
        </w:rPr>
        <w:t>Key Functional Components</w:t>
      </w:r>
    </w:p>
    <w:p w14:paraId="1150AC97" w14:textId="77777777" w:rsidR="00130CB7" w:rsidRPr="00130CB7" w:rsidRDefault="00130CB7" w:rsidP="00130CB7">
      <w:pPr>
        <w:numPr>
          <w:ilvl w:val="0"/>
          <w:numId w:val="38"/>
        </w:numPr>
      </w:pPr>
      <w:r w:rsidRPr="00130CB7">
        <w:rPr>
          <w:b/>
          <w:bCs/>
        </w:rPr>
        <w:t>AI-Generated Annual Strategic Investment Plan</w:t>
      </w:r>
    </w:p>
    <w:p w14:paraId="5EF9C697" w14:textId="77777777" w:rsidR="00130CB7" w:rsidRPr="00130CB7" w:rsidRDefault="00130CB7" w:rsidP="00130CB7">
      <w:pPr>
        <w:numPr>
          <w:ilvl w:val="1"/>
          <w:numId w:val="38"/>
        </w:numPr>
      </w:pPr>
      <w:r w:rsidRPr="00130CB7">
        <w:t>Inputs:</w:t>
      </w:r>
    </w:p>
    <w:p w14:paraId="2F447DBB" w14:textId="77777777" w:rsidR="00130CB7" w:rsidRPr="00130CB7" w:rsidRDefault="00130CB7" w:rsidP="00130CB7">
      <w:pPr>
        <w:numPr>
          <w:ilvl w:val="2"/>
          <w:numId w:val="38"/>
        </w:numPr>
      </w:pPr>
      <w:r w:rsidRPr="00130CB7">
        <w:t>Client size and portfolio composition</w:t>
      </w:r>
    </w:p>
    <w:p w14:paraId="71984A0B" w14:textId="77777777" w:rsidR="00130CB7" w:rsidRPr="00130CB7" w:rsidRDefault="00130CB7" w:rsidP="00130CB7">
      <w:pPr>
        <w:numPr>
          <w:ilvl w:val="2"/>
          <w:numId w:val="38"/>
        </w:numPr>
      </w:pPr>
      <w:r w:rsidRPr="00130CB7">
        <w:t>Target real estate/allocation to real assets</w:t>
      </w:r>
    </w:p>
    <w:p w14:paraId="7A5D8366" w14:textId="77777777" w:rsidR="00130CB7" w:rsidRPr="00130CB7" w:rsidRDefault="00130CB7" w:rsidP="00130CB7">
      <w:pPr>
        <w:numPr>
          <w:ilvl w:val="2"/>
          <w:numId w:val="38"/>
        </w:numPr>
      </w:pPr>
      <w:r w:rsidRPr="00130CB7">
        <w:t xml:space="preserve">Investment objectives (e.g., </w:t>
      </w:r>
      <w:r w:rsidRPr="00046388">
        <w:t xml:space="preserve">return </w:t>
      </w:r>
      <w:r w:rsidRPr="00130CB7">
        <w:t>expectations, volatility tolerance, liquidity constraints, vintage/sector diversification)</w:t>
      </w:r>
    </w:p>
    <w:p w14:paraId="7086E68C" w14:textId="77777777" w:rsidR="00130CB7" w:rsidRPr="00130CB7" w:rsidRDefault="00130CB7" w:rsidP="00130CB7">
      <w:pPr>
        <w:numPr>
          <w:ilvl w:val="1"/>
          <w:numId w:val="38"/>
        </w:numPr>
      </w:pPr>
      <w:r w:rsidRPr="00130CB7">
        <w:t>Output:</w:t>
      </w:r>
    </w:p>
    <w:p w14:paraId="02478ADD" w14:textId="77777777" w:rsidR="00130CB7" w:rsidRPr="00130CB7" w:rsidRDefault="00130CB7" w:rsidP="00130CB7">
      <w:pPr>
        <w:numPr>
          <w:ilvl w:val="2"/>
          <w:numId w:val="38"/>
        </w:numPr>
      </w:pPr>
      <w:r w:rsidRPr="00130CB7">
        <w:t>Year-by-year capital pacing plan</w:t>
      </w:r>
    </w:p>
    <w:p w14:paraId="0DA6F975" w14:textId="77777777" w:rsidR="00130CB7" w:rsidRPr="00130CB7" w:rsidRDefault="00130CB7" w:rsidP="00130CB7">
      <w:pPr>
        <w:numPr>
          <w:ilvl w:val="2"/>
          <w:numId w:val="38"/>
        </w:numPr>
      </w:pPr>
      <w:r w:rsidRPr="00130CB7">
        <w:t>Strategic vs. Tactical allocation mix</w:t>
      </w:r>
    </w:p>
    <w:p w14:paraId="59BCC7AF" w14:textId="77777777" w:rsidR="00130CB7" w:rsidRPr="00130CB7" w:rsidRDefault="00130CB7" w:rsidP="00130CB7">
      <w:pPr>
        <w:numPr>
          <w:ilvl w:val="2"/>
          <w:numId w:val="38"/>
        </w:numPr>
      </w:pPr>
      <w:r w:rsidRPr="00130CB7">
        <w:t>Recommended sector/region exposure aligned with VOTW forecasts</w:t>
      </w:r>
    </w:p>
    <w:p w14:paraId="3A456EAC" w14:textId="77777777" w:rsidR="00130CB7" w:rsidRPr="00130CB7" w:rsidRDefault="00130CB7" w:rsidP="00130CB7">
      <w:pPr>
        <w:numPr>
          <w:ilvl w:val="2"/>
          <w:numId w:val="38"/>
        </w:numPr>
      </w:pPr>
      <w:r w:rsidRPr="00130CB7">
        <w:t>Risk exposure and stress scenarios</w:t>
      </w:r>
    </w:p>
    <w:p w14:paraId="14B39E1E" w14:textId="77777777" w:rsidR="00130CB7" w:rsidRPr="00130CB7" w:rsidRDefault="00130CB7" w:rsidP="00130CB7">
      <w:pPr>
        <w:numPr>
          <w:ilvl w:val="0"/>
          <w:numId w:val="38"/>
        </w:numPr>
      </w:pPr>
      <w:r w:rsidRPr="00130CB7">
        <w:rPr>
          <w:b/>
          <w:bCs/>
        </w:rPr>
        <w:t>Portfolio Rebalancing Engine</w:t>
      </w:r>
    </w:p>
    <w:p w14:paraId="49C5B260" w14:textId="77777777" w:rsidR="00130CB7" w:rsidRPr="00130CB7" w:rsidRDefault="00130CB7" w:rsidP="00130CB7">
      <w:pPr>
        <w:numPr>
          <w:ilvl w:val="1"/>
          <w:numId w:val="38"/>
        </w:numPr>
      </w:pPr>
      <w:r w:rsidRPr="00130CB7">
        <w:t>Continuously assesses client’s actual exposures vs. strategic targets</w:t>
      </w:r>
    </w:p>
    <w:p w14:paraId="4058DFAC" w14:textId="77777777" w:rsidR="00130CB7" w:rsidRPr="00130CB7" w:rsidRDefault="00130CB7" w:rsidP="00130CB7">
      <w:pPr>
        <w:numPr>
          <w:ilvl w:val="1"/>
          <w:numId w:val="38"/>
        </w:numPr>
      </w:pPr>
      <w:r w:rsidRPr="00130CB7">
        <w:t>Links back to:</w:t>
      </w:r>
    </w:p>
    <w:p w14:paraId="2C89984F" w14:textId="77777777" w:rsidR="00130CB7" w:rsidRPr="00130CB7" w:rsidRDefault="00130CB7" w:rsidP="00130CB7">
      <w:pPr>
        <w:numPr>
          <w:ilvl w:val="2"/>
          <w:numId w:val="38"/>
        </w:numPr>
      </w:pPr>
      <w:r w:rsidRPr="00130CB7">
        <w:rPr>
          <w:b/>
          <w:bCs/>
        </w:rPr>
        <w:t>VOTW return forecasts</w:t>
      </w:r>
    </w:p>
    <w:p w14:paraId="35A4EBD6" w14:textId="77777777" w:rsidR="00130CB7" w:rsidRPr="00046388" w:rsidRDefault="00130CB7" w:rsidP="00046388">
      <w:pPr>
        <w:numPr>
          <w:ilvl w:val="2"/>
          <w:numId w:val="38"/>
        </w:numPr>
      </w:pPr>
      <w:r w:rsidRPr="00130CB7">
        <w:rPr>
          <w:b/>
          <w:bCs/>
        </w:rPr>
        <w:t xml:space="preserve">Volatility </w:t>
      </w:r>
      <w:r w:rsidRPr="00046388">
        <w:rPr>
          <w:b/>
          <w:bCs/>
        </w:rPr>
        <w:t>models</w:t>
      </w:r>
    </w:p>
    <w:p w14:paraId="12F8421E" w14:textId="77777777" w:rsidR="00130CB7" w:rsidRPr="00130CB7" w:rsidRDefault="00130CB7" w:rsidP="00130CB7">
      <w:pPr>
        <w:numPr>
          <w:ilvl w:val="2"/>
          <w:numId w:val="38"/>
        </w:numPr>
      </w:pPr>
      <w:r w:rsidRPr="00130CB7">
        <w:rPr>
          <w:b/>
          <w:bCs/>
        </w:rPr>
        <w:lastRenderedPageBreak/>
        <w:t>Pipeline engine</w:t>
      </w:r>
      <w:r w:rsidRPr="00130CB7">
        <w:t xml:space="preserve"> (suggests real-time funds and deals to buy/sell)</w:t>
      </w:r>
    </w:p>
    <w:p w14:paraId="590D366A" w14:textId="77777777" w:rsidR="00130CB7" w:rsidRPr="00130CB7" w:rsidRDefault="00130CB7" w:rsidP="00130CB7">
      <w:pPr>
        <w:numPr>
          <w:ilvl w:val="1"/>
          <w:numId w:val="38"/>
        </w:numPr>
      </w:pPr>
      <w:r w:rsidRPr="00130CB7">
        <w:t>Output:</w:t>
      </w:r>
    </w:p>
    <w:p w14:paraId="6AED5F37" w14:textId="77777777" w:rsidR="00130CB7" w:rsidRPr="00130CB7" w:rsidRDefault="00130CB7" w:rsidP="00130CB7">
      <w:pPr>
        <w:numPr>
          <w:ilvl w:val="2"/>
          <w:numId w:val="38"/>
        </w:numPr>
      </w:pPr>
      <w:r w:rsidRPr="00130CB7">
        <w:t>Rebalancing recommendations: sectors to trim or overweight</w:t>
      </w:r>
    </w:p>
    <w:p w14:paraId="2F6AB199" w14:textId="77777777" w:rsidR="00130CB7" w:rsidRPr="00130CB7" w:rsidRDefault="00130CB7" w:rsidP="00130CB7">
      <w:pPr>
        <w:numPr>
          <w:ilvl w:val="2"/>
          <w:numId w:val="38"/>
        </w:numPr>
      </w:pPr>
      <w:r w:rsidRPr="00130CB7">
        <w:t>Capital deployment paths through pipeline deals and secondaries</w:t>
      </w:r>
    </w:p>
    <w:p w14:paraId="2B2C14B9" w14:textId="77777777" w:rsidR="00130CB7" w:rsidRPr="00130CB7" w:rsidRDefault="00130CB7" w:rsidP="00130CB7">
      <w:pPr>
        <w:numPr>
          <w:ilvl w:val="0"/>
          <w:numId w:val="38"/>
        </w:numPr>
      </w:pPr>
      <w:r w:rsidRPr="00130CB7">
        <w:rPr>
          <w:b/>
          <w:bCs/>
        </w:rPr>
        <w:t>Quarterly Performance Reporting</w:t>
      </w:r>
    </w:p>
    <w:p w14:paraId="5523C463" w14:textId="77777777" w:rsidR="00130CB7" w:rsidRPr="00130CB7" w:rsidRDefault="00130CB7" w:rsidP="00130CB7">
      <w:pPr>
        <w:numPr>
          <w:ilvl w:val="1"/>
          <w:numId w:val="38"/>
        </w:numPr>
      </w:pPr>
      <w:r w:rsidRPr="00130CB7">
        <w:t>Auto-ingests performance data from managers (funds, SMAs, directs)</w:t>
      </w:r>
    </w:p>
    <w:p w14:paraId="5831F93B" w14:textId="77777777" w:rsidR="00130CB7" w:rsidRPr="00130CB7" w:rsidRDefault="00130CB7" w:rsidP="00130CB7">
      <w:pPr>
        <w:numPr>
          <w:ilvl w:val="1"/>
          <w:numId w:val="38"/>
        </w:numPr>
      </w:pPr>
      <w:r w:rsidRPr="00130CB7">
        <w:t>Calculates:</w:t>
      </w:r>
    </w:p>
    <w:p w14:paraId="10334286" w14:textId="77777777" w:rsidR="00130CB7" w:rsidRPr="00130CB7" w:rsidRDefault="00130CB7" w:rsidP="00130CB7">
      <w:pPr>
        <w:numPr>
          <w:ilvl w:val="2"/>
          <w:numId w:val="38"/>
        </w:numPr>
      </w:pPr>
      <w:r w:rsidRPr="00130CB7">
        <w:t>Net and gross IRRs, equity multiples, cash yields</w:t>
      </w:r>
    </w:p>
    <w:p w14:paraId="198BCC59" w14:textId="77777777" w:rsidR="00130CB7" w:rsidRPr="00130CB7" w:rsidRDefault="00130CB7" w:rsidP="00130CB7">
      <w:pPr>
        <w:numPr>
          <w:ilvl w:val="2"/>
          <w:numId w:val="38"/>
        </w:numPr>
      </w:pPr>
      <w:r w:rsidRPr="00130CB7">
        <w:t>Sector attribution, risk-return decomposition</w:t>
      </w:r>
    </w:p>
    <w:p w14:paraId="232B389E" w14:textId="77777777" w:rsidR="00130CB7" w:rsidRPr="00130CB7" w:rsidRDefault="00130CB7" w:rsidP="00130CB7">
      <w:pPr>
        <w:numPr>
          <w:ilvl w:val="1"/>
          <w:numId w:val="38"/>
        </w:numPr>
      </w:pPr>
      <w:r w:rsidRPr="00130CB7">
        <w:t>Benchmarks:</w:t>
      </w:r>
    </w:p>
    <w:p w14:paraId="4C27C769" w14:textId="77777777" w:rsidR="00130CB7" w:rsidRPr="00130CB7" w:rsidRDefault="00130CB7" w:rsidP="00130CB7">
      <w:pPr>
        <w:numPr>
          <w:ilvl w:val="2"/>
          <w:numId w:val="38"/>
        </w:numPr>
      </w:pPr>
      <w:r w:rsidRPr="00130CB7">
        <w:t>Against investor’s custom goals</w:t>
      </w:r>
    </w:p>
    <w:p w14:paraId="2D19E1F6" w14:textId="77777777" w:rsidR="00130CB7" w:rsidRPr="00130CB7" w:rsidRDefault="00130CB7" w:rsidP="00130CB7">
      <w:pPr>
        <w:numPr>
          <w:ilvl w:val="2"/>
          <w:numId w:val="38"/>
        </w:numPr>
      </w:pPr>
      <w:r w:rsidRPr="00130CB7">
        <w:t>Against Townsend’s proprietary benchmarks (via Smart Benchmarking)</w:t>
      </w:r>
    </w:p>
    <w:p w14:paraId="54FE5389" w14:textId="77777777" w:rsidR="00130CB7" w:rsidRPr="00130CB7" w:rsidRDefault="00130CB7" w:rsidP="00130CB7">
      <w:pPr>
        <w:numPr>
          <w:ilvl w:val="0"/>
          <w:numId w:val="38"/>
        </w:numPr>
      </w:pPr>
      <w:r w:rsidRPr="00130CB7">
        <w:rPr>
          <w:b/>
          <w:bCs/>
        </w:rPr>
        <w:t>User Interface &amp; Delivery</w:t>
      </w:r>
    </w:p>
    <w:p w14:paraId="3BD79F50" w14:textId="77777777" w:rsidR="00130CB7" w:rsidRPr="00130CB7" w:rsidRDefault="00130CB7" w:rsidP="00130CB7">
      <w:pPr>
        <w:numPr>
          <w:ilvl w:val="1"/>
          <w:numId w:val="38"/>
        </w:numPr>
      </w:pPr>
      <w:r w:rsidRPr="00130CB7">
        <w:t>Interactive reporting dashboard</w:t>
      </w:r>
    </w:p>
    <w:p w14:paraId="5A079328" w14:textId="77777777" w:rsidR="00130CB7" w:rsidRPr="00130CB7" w:rsidRDefault="00130CB7" w:rsidP="00130CB7">
      <w:pPr>
        <w:numPr>
          <w:ilvl w:val="1"/>
          <w:numId w:val="38"/>
        </w:numPr>
      </w:pPr>
      <w:r w:rsidRPr="00130CB7">
        <w:t>Downloadable investment committee summaries</w:t>
      </w:r>
    </w:p>
    <w:p w14:paraId="6FA5503A" w14:textId="77777777" w:rsidR="00130CB7" w:rsidRPr="00130CB7" w:rsidRDefault="00130CB7" w:rsidP="00130CB7">
      <w:pPr>
        <w:numPr>
          <w:ilvl w:val="1"/>
          <w:numId w:val="38"/>
        </w:numPr>
      </w:pPr>
      <w:r w:rsidRPr="00130CB7">
        <w:t>Scenario toggles for stress testing and risk-adjusted decision-making</w:t>
      </w:r>
    </w:p>
    <w:p w14:paraId="3403B416" w14:textId="77777777" w:rsidR="00130CB7" w:rsidRPr="00130CB7" w:rsidRDefault="002F0F54" w:rsidP="00130CB7">
      <w:r>
        <w:pict w14:anchorId="19E8EAD1">
          <v:rect id="_x0000_i1058" style="width:0;height:1.5pt" o:hralign="center" o:hrstd="t" o:hr="t" fillcolor="#a0a0a0" stroked="f"/>
        </w:pict>
      </w:r>
    </w:p>
    <w:p w14:paraId="0D2082F1" w14:textId="77777777" w:rsidR="00130CB7" w:rsidRPr="00130CB7" w:rsidRDefault="00130CB7" w:rsidP="00130CB7">
      <w:pPr>
        <w:rPr>
          <w:b/>
          <w:bCs/>
        </w:rPr>
      </w:pPr>
      <w:r w:rsidRPr="00130CB7">
        <w:rPr>
          <w:b/>
          <w:bCs/>
        </w:rPr>
        <w:t>B. Target Clients and Their Key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7251"/>
      </w:tblGrid>
      <w:tr w:rsidR="00130CB7" w:rsidRPr="00130CB7" w14:paraId="6AA0821A" w14:textId="77777777">
        <w:trPr>
          <w:tblHeader/>
          <w:tblCellSpacing w:w="15" w:type="dxa"/>
        </w:trPr>
        <w:tc>
          <w:tcPr>
            <w:tcW w:w="0" w:type="auto"/>
            <w:vAlign w:val="center"/>
            <w:hideMark/>
          </w:tcPr>
          <w:p w14:paraId="334C0DF3" w14:textId="77777777" w:rsidR="00130CB7" w:rsidRPr="00130CB7" w:rsidRDefault="00130CB7" w:rsidP="00130CB7">
            <w:pPr>
              <w:rPr>
                <w:b/>
                <w:bCs/>
              </w:rPr>
            </w:pPr>
            <w:r w:rsidRPr="00130CB7">
              <w:rPr>
                <w:b/>
                <w:bCs/>
              </w:rPr>
              <w:t>Client Type</w:t>
            </w:r>
          </w:p>
        </w:tc>
        <w:tc>
          <w:tcPr>
            <w:tcW w:w="0" w:type="auto"/>
            <w:vAlign w:val="center"/>
            <w:hideMark/>
          </w:tcPr>
          <w:p w14:paraId="07BFF82D" w14:textId="77777777" w:rsidR="00130CB7" w:rsidRPr="00130CB7" w:rsidRDefault="00130CB7" w:rsidP="00130CB7">
            <w:pPr>
              <w:rPr>
                <w:b/>
                <w:bCs/>
              </w:rPr>
            </w:pPr>
            <w:r w:rsidRPr="00130CB7">
              <w:rPr>
                <w:b/>
                <w:bCs/>
              </w:rPr>
              <w:t>Use Cases</w:t>
            </w:r>
          </w:p>
        </w:tc>
      </w:tr>
      <w:tr w:rsidR="00130CB7" w:rsidRPr="00130CB7" w14:paraId="00317FD7" w14:textId="77777777">
        <w:trPr>
          <w:tblCellSpacing w:w="15" w:type="dxa"/>
        </w:trPr>
        <w:tc>
          <w:tcPr>
            <w:tcW w:w="0" w:type="auto"/>
            <w:vAlign w:val="center"/>
            <w:hideMark/>
          </w:tcPr>
          <w:p w14:paraId="2AAC22A5" w14:textId="77777777" w:rsidR="00130CB7" w:rsidRPr="00130CB7" w:rsidRDefault="00130CB7" w:rsidP="00130CB7">
            <w:r w:rsidRPr="00130CB7">
              <w:rPr>
                <w:b/>
                <w:bCs/>
              </w:rPr>
              <w:t>Institutional LPs</w:t>
            </w:r>
          </w:p>
        </w:tc>
        <w:tc>
          <w:tcPr>
            <w:tcW w:w="0" w:type="auto"/>
            <w:vAlign w:val="center"/>
            <w:hideMark/>
          </w:tcPr>
          <w:p w14:paraId="28B9EFCE" w14:textId="77777777" w:rsidR="00130CB7" w:rsidRPr="00130CB7" w:rsidRDefault="00130CB7" w:rsidP="00130CB7">
            <w:r w:rsidRPr="00130CB7">
              <w:t>Generate and update investment strategy; rebalancing; pacing; portfolio performance tracking</w:t>
            </w:r>
          </w:p>
        </w:tc>
      </w:tr>
      <w:tr w:rsidR="00130CB7" w:rsidRPr="00130CB7" w14:paraId="3EC1AC51" w14:textId="77777777">
        <w:trPr>
          <w:tblCellSpacing w:w="15" w:type="dxa"/>
        </w:trPr>
        <w:tc>
          <w:tcPr>
            <w:tcW w:w="0" w:type="auto"/>
            <w:vAlign w:val="center"/>
            <w:hideMark/>
          </w:tcPr>
          <w:p w14:paraId="060211F5" w14:textId="77777777" w:rsidR="00130CB7" w:rsidRPr="00130CB7" w:rsidRDefault="00130CB7" w:rsidP="00130CB7">
            <w:r w:rsidRPr="00130CB7">
              <w:rPr>
                <w:b/>
                <w:bCs/>
              </w:rPr>
              <w:t>Wealth Platforms</w:t>
            </w:r>
          </w:p>
        </w:tc>
        <w:tc>
          <w:tcPr>
            <w:tcW w:w="0" w:type="auto"/>
            <w:vAlign w:val="center"/>
            <w:hideMark/>
          </w:tcPr>
          <w:p w14:paraId="187795FC" w14:textId="77777777" w:rsidR="00130CB7" w:rsidRPr="00130CB7" w:rsidRDefault="00130CB7" w:rsidP="00130CB7">
            <w:r w:rsidRPr="00130CB7">
              <w:t>White-labeled strategic planning and performance engine for advisor platforms</w:t>
            </w:r>
          </w:p>
        </w:tc>
      </w:tr>
      <w:tr w:rsidR="00130CB7" w:rsidRPr="00130CB7" w14:paraId="21F0A514" w14:textId="77777777">
        <w:trPr>
          <w:tblCellSpacing w:w="15" w:type="dxa"/>
        </w:trPr>
        <w:tc>
          <w:tcPr>
            <w:tcW w:w="0" w:type="auto"/>
            <w:vAlign w:val="center"/>
            <w:hideMark/>
          </w:tcPr>
          <w:p w14:paraId="26FC62D3" w14:textId="77777777" w:rsidR="00130CB7" w:rsidRPr="00130CB7" w:rsidRDefault="00130CB7" w:rsidP="00130CB7">
            <w:r w:rsidRPr="00130CB7">
              <w:rPr>
                <w:b/>
                <w:bCs/>
              </w:rPr>
              <w:t>Family Offices</w:t>
            </w:r>
          </w:p>
        </w:tc>
        <w:tc>
          <w:tcPr>
            <w:tcW w:w="0" w:type="auto"/>
            <w:vAlign w:val="center"/>
            <w:hideMark/>
          </w:tcPr>
          <w:p w14:paraId="3B680E12" w14:textId="77777777" w:rsidR="00130CB7" w:rsidRPr="00130CB7" w:rsidRDefault="00130CB7" w:rsidP="00130CB7">
            <w:r w:rsidRPr="00130CB7">
              <w:t>Customized pacing plans and portfolio insights based on real-time exposures</w:t>
            </w:r>
          </w:p>
        </w:tc>
      </w:tr>
      <w:tr w:rsidR="00130CB7" w:rsidRPr="00130CB7" w14:paraId="576A76CB" w14:textId="77777777">
        <w:trPr>
          <w:tblCellSpacing w:w="15" w:type="dxa"/>
        </w:trPr>
        <w:tc>
          <w:tcPr>
            <w:tcW w:w="0" w:type="auto"/>
            <w:vAlign w:val="center"/>
            <w:hideMark/>
          </w:tcPr>
          <w:p w14:paraId="27F9B042" w14:textId="77777777" w:rsidR="00130CB7" w:rsidRPr="00130CB7" w:rsidRDefault="00130CB7" w:rsidP="00130CB7">
            <w:r w:rsidRPr="00130CB7">
              <w:rPr>
                <w:b/>
                <w:bCs/>
              </w:rPr>
              <w:lastRenderedPageBreak/>
              <w:t>Consultants</w:t>
            </w:r>
          </w:p>
        </w:tc>
        <w:tc>
          <w:tcPr>
            <w:tcW w:w="0" w:type="auto"/>
            <w:vAlign w:val="center"/>
            <w:hideMark/>
          </w:tcPr>
          <w:p w14:paraId="30EB8C19" w14:textId="77777777" w:rsidR="00130CB7" w:rsidRPr="00130CB7" w:rsidRDefault="00130CB7" w:rsidP="00130CB7">
            <w:r w:rsidRPr="00130CB7">
              <w:t>Enhance client deliverables with dynamic forecasts, strategy plans, and attribution modeling</w:t>
            </w:r>
          </w:p>
        </w:tc>
      </w:tr>
      <w:tr w:rsidR="00130CB7" w:rsidRPr="00130CB7" w14:paraId="7791B947" w14:textId="77777777">
        <w:trPr>
          <w:tblCellSpacing w:w="15" w:type="dxa"/>
        </w:trPr>
        <w:tc>
          <w:tcPr>
            <w:tcW w:w="0" w:type="auto"/>
            <w:vAlign w:val="center"/>
            <w:hideMark/>
          </w:tcPr>
          <w:p w14:paraId="2A5C302D" w14:textId="77777777" w:rsidR="00130CB7" w:rsidRPr="00130CB7" w:rsidRDefault="00130CB7" w:rsidP="00130CB7">
            <w:r w:rsidRPr="00130CB7">
              <w:rPr>
                <w:b/>
                <w:bCs/>
              </w:rPr>
              <w:t>GPs / Multi-Managers</w:t>
            </w:r>
          </w:p>
        </w:tc>
        <w:tc>
          <w:tcPr>
            <w:tcW w:w="0" w:type="auto"/>
            <w:vAlign w:val="center"/>
            <w:hideMark/>
          </w:tcPr>
          <w:p w14:paraId="2DB0ED70" w14:textId="77777777" w:rsidR="00130CB7" w:rsidRPr="00130CB7" w:rsidRDefault="00130CB7" w:rsidP="00130CB7">
            <w:r w:rsidRPr="00130CB7">
              <w:t>Offer transparency to LPs on SMA or fund-of-one strategies; respond to custom mandates</w:t>
            </w:r>
          </w:p>
        </w:tc>
      </w:tr>
    </w:tbl>
    <w:p w14:paraId="2C7DBF99" w14:textId="77777777" w:rsidR="00130CB7" w:rsidRPr="00130CB7" w:rsidRDefault="002F0F54" w:rsidP="00130CB7">
      <w:r>
        <w:pict w14:anchorId="1785095A">
          <v:rect id="_x0000_i1059" style="width:0;height:1.5pt" o:hralign="center" o:hrstd="t" o:hr="t" fillcolor="#a0a0a0" stroked="f"/>
        </w:pict>
      </w:r>
    </w:p>
    <w:p w14:paraId="6F2C0C26" w14:textId="77777777" w:rsidR="00130CB7" w:rsidRPr="00130CB7" w:rsidRDefault="00130CB7" w:rsidP="00130CB7">
      <w:pPr>
        <w:rPr>
          <w:b/>
          <w:bCs/>
        </w:rPr>
      </w:pPr>
      <w:r w:rsidRPr="00130CB7">
        <w:rPr>
          <w:b/>
          <w:bCs/>
        </w:rPr>
        <w:t>C. Development Status</w:t>
      </w:r>
    </w:p>
    <w:p w14:paraId="32AD57BA" w14:textId="4F35D7E8" w:rsidR="00130CB7" w:rsidRPr="00130CB7" w:rsidRDefault="009B052D" w:rsidP="009B052D">
      <w:r>
        <w:rPr>
          <w:rFonts w:ascii="Segoe UI Emoji" w:hAnsi="Segoe UI Emoji" w:cs="Segoe UI Emoji"/>
        </w:rPr>
        <w:t>TBD</w:t>
      </w:r>
    </w:p>
    <w:p w14:paraId="3F0B54EF" w14:textId="77777777" w:rsidR="00130CB7" w:rsidRPr="00130CB7" w:rsidRDefault="002F0F54" w:rsidP="00130CB7">
      <w:r>
        <w:pict w14:anchorId="65C488BA">
          <v:rect id="_x0000_i1060" style="width:0;height:1.5pt" o:hralign="center" o:hrstd="t" o:hr="t" fillcolor="#a0a0a0" stroked="f"/>
        </w:pict>
      </w:r>
    </w:p>
    <w:p w14:paraId="30C630EA" w14:textId="77777777" w:rsidR="00130CB7" w:rsidRPr="00130CB7" w:rsidRDefault="00130CB7" w:rsidP="00130CB7">
      <w:pPr>
        <w:rPr>
          <w:b/>
          <w:bCs/>
        </w:rPr>
      </w:pPr>
      <w:r w:rsidRPr="00130CB7">
        <w:rPr>
          <w:b/>
          <w:bCs/>
        </w:rPr>
        <w:t>D. Next Steps and Responsibilities</w:t>
      </w:r>
    </w:p>
    <w:p w14:paraId="4353F543" w14:textId="7911E613" w:rsidR="009B052D" w:rsidRDefault="009B052D" w:rsidP="00130CB7">
      <w:r>
        <w:t>TBD</w:t>
      </w:r>
    </w:p>
    <w:p w14:paraId="59506AF2" w14:textId="4668F38B" w:rsidR="00130CB7" w:rsidRPr="00130CB7" w:rsidRDefault="002F0F54" w:rsidP="00130CB7">
      <w:r>
        <w:pict w14:anchorId="3FBE28E7">
          <v:rect id="_x0000_i1061" style="width:0;height:1.5pt" o:hralign="center" o:hrstd="t" o:hr="t" fillcolor="#a0a0a0" stroked="f"/>
        </w:pict>
      </w:r>
    </w:p>
    <w:p w14:paraId="1BE12C25" w14:textId="163E3E99" w:rsidR="0050003C" w:rsidRDefault="0050003C">
      <w:r>
        <w:br w:type="page"/>
      </w:r>
    </w:p>
    <w:p w14:paraId="298BF799" w14:textId="77777777" w:rsidR="0068195C" w:rsidRPr="0068195C" w:rsidRDefault="0068195C" w:rsidP="0068195C">
      <w:pPr>
        <w:rPr>
          <w:b/>
          <w:bCs/>
          <w:sz w:val="18"/>
          <w:szCs w:val="18"/>
        </w:rPr>
      </w:pPr>
      <w:r w:rsidRPr="0068195C">
        <w:rPr>
          <w:b/>
          <w:bCs/>
          <w:sz w:val="18"/>
          <w:szCs w:val="18"/>
        </w:rPr>
        <w:lastRenderedPageBreak/>
        <w:t>Updated Product-to-Capability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2775"/>
        <w:gridCol w:w="4283"/>
      </w:tblGrid>
      <w:tr w:rsidR="0068195C" w:rsidRPr="0068195C" w14:paraId="0DC583FE" w14:textId="77777777">
        <w:trPr>
          <w:tblHeader/>
          <w:tblCellSpacing w:w="15" w:type="dxa"/>
        </w:trPr>
        <w:tc>
          <w:tcPr>
            <w:tcW w:w="0" w:type="auto"/>
            <w:vAlign w:val="center"/>
            <w:hideMark/>
          </w:tcPr>
          <w:p w14:paraId="79A66964" w14:textId="77777777" w:rsidR="0068195C" w:rsidRPr="0068195C" w:rsidRDefault="0068195C" w:rsidP="0068195C">
            <w:pPr>
              <w:rPr>
                <w:b/>
                <w:bCs/>
                <w:sz w:val="18"/>
                <w:szCs w:val="18"/>
              </w:rPr>
            </w:pPr>
            <w:r w:rsidRPr="0068195C">
              <w:rPr>
                <w:b/>
                <w:bCs/>
                <w:sz w:val="18"/>
                <w:szCs w:val="18"/>
              </w:rPr>
              <w:t>Product Offering</w:t>
            </w:r>
          </w:p>
        </w:tc>
        <w:tc>
          <w:tcPr>
            <w:tcW w:w="0" w:type="auto"/>
            <w:vAlign w:val="center"/>
            <w:hideMark/>
          </w:tcPr>
          <w:p w14:paraId="0026261B" w14:textId="77777777" w:rsidR="0068195C" w:rsidRPr="0068195C" w:rsidRDefault="0068195C" w:rsidP="0068195C">
            <w:pPr>
              <w:rPr>
                <w:b/>
                <w:bCs/>
                <w:sz w:val="18"/>
                <w:szCs w:val="18"/>
              </w:rPr>
            </w:pPr>
            <w:r w:rsidRPr="0068195C">
              <w:rPr>
                <w:b/>
                <w:bCs/>
                <w:sz w:val="18"/>
                <w:szCs w:val="18"/>
              </w:rPr>
              <w:t>Mapped Capabilities</w:t>
            </w:r>
          </w:p>
        </w:tc>
        <w:tc>
          <w:tcPr>
            <w:tcW w:w="0" w:type="auto"/>
            <w:vAlign w:val="center"/>
            <w:hideMark/>
          </w:tcPr>
          <w:p w14:paraId="52908830" w14:textId="77777777" w:rsidR="0068195C" w:rsidRPr="0068195C" w:rsidRDefault="0068195C" w:rsidP="0068195C">
            <w:pPr>
              <w:rPr>
                <w:b/>
                <w:bCs/>
                <w:sz w:val="18"/>
                <w:szCs w:val="18"/>
              </w:rPr>
            </w:pPr>
            <w:r w:rsidRPr="0068195C">
              <w:rPr>
                <w:b/>
                <w:bCs/>
                <w:sz w:val="18"/>
                <w:szCs w:val="18"/>
              </w:rPr>
              <w:t>Notes</w:t>
            </w:r>
          </w:p>
        </w:tc>
      </w:tr>
      <w:tr w:rsidR="0068195C" w:rsidRPr="0068195C" w14:paraId="43A0BEE1" w14:textId="77777777">
        <w:trPr>
          <w:tblCellSpacing w:w="15" w:type="dxa"/>
        </w:trPr>
        <w:tc>
          <w:tcPr>
            <w:tcW w:w="0" w:type="auto"/>
            <w:vAlign w:val="center"/>
            <w:hideMark/>
          </w:tcPr>
          <w:p w14:paraId="6D654E02" w14:textId="77777777" w:rsidR="0068195C" w:rsidRPr="0068195C" w:rsidRDefault="0068195C" w:rsidP="0068195C">
            <w:pPr>
              <w:rPr>
                <w:sz w:val="18"/>
                <w:szCs w:val="18"/>
              </w:rPr>
            </w:pPr>
            <w:r w:rsidRPr="0068195C">
              <w:rPr>
                <w:b/>
                <w:bCs/>
                <w:sz w:val="18"/>
                <w:szCs w:val="18"/>
              </w:rPr>
              <w:t>1. Smart Benchmarking</w:t>
            </w:r>
            <w:r w:rsidRPr="0068195C">
              <w:rPr>
                <w:sz w:val="18"/>
                <w:szCs w:val="18"/>
              </w:rPr>
              <w:t xml:space="preserve"> </w:t>
            </w:r>
            <w:r w:rsidRPr="0068195C">
              <w:rPr>
                <w:i/>
                <w:iCs/>
                <w:sz w:val="18"/>
                <w:szCs w:val="18"/>
              </w:rPr>
              <w:t>(incl. Infra, Ag, Timber)</w:t>
            </w:r>
          </w:p>
        </w:tc>
        <w:tc>
          <w:tcPr>
            <w:tcW w:w="0" w:type="auto"/>
            <w:vAlign w:val="center"/>
            <w:hideMark/>
          </w:tcPr>
          <w:p w14:paraId="626E9F68" w14:textId="77777777" w:rsidR="0068195C" w:rsidRPr="0068195C" w:rsidRDefault="0068195C" w:rsidP="0068195C">
            <w:pPr>
              <w:rPr>
                <w:sz w:val="18"/>
                <w:szCs w:val="18"/>
              </w:rPr>
            </w:pPr>
            <w:r w:rsidRPr="0068195C">
              <w:rPr>
                <w:b/>
                <w:bCs/>
                <w:sz w:val="18"/>
                <w:szCs w:val="18"/>
              </w:rPr>
              <w:t>Performance Database</w:t>
            </w:r>
          </w:p>
        </w:tc>
        <w:tc>
          <w:tcPr>
            <w:tcW w:w="0" w:type="auto"/>
            <w:vAlign w:val="center"/>
            <w:hideMark/>
          </w:tcPr>
          <w:p w14:paraId="48E63C36" w14:textId="77777777" w:rsidR="0068195C" w:rsidRPr="0068195C" w:rsidRDefault="0068195C" w:rsidP="0068195C">
            <w:pPr>
              <w:rPr>
                <w:sz w:val="18"/>
                <w:szCs w:val="18"/>
              </w:rPr>
            </w:pPr>
            <w:r w:rsidRPr="0068195C">
              <w:rPr>
                <w:sz w:val="18"/>
                <w:szCs w:val="18"/>
              </w:rPr>
              <w:t>Benchmarks across real estate, infrastructure, agriculture, and timber; segmented by strategy type (income-oriented, alpha-seeking), sector, and region.</w:t>
            </w:r>
          </w:p>
        </w:tc>
      </w:tr>
      <w:tr w:rsidR="0068195C" w:rsidRPr="0068195C" w14:paraId="61D90A4D" w14:textId="77777777">
        <w:trPr>
          <w:tblCellSpacing w:w="15" w:type="dxa"/>
        </w:trPr>
        <w:tc>
          <w:tcPr>
            <w:tcW w:w="0" w:type="auto"/>
            <w:vAlign w:val="center"/>
            <w:hideMark/>
          </w:tcPr>
          <w:p w14:paraId="08C7A0B9" w14:textId="77777777" w:rsidR="0068195C" w:rsidRPr="0068195C" w:rsidRDefault="0068195C" w:rsidP="0068195C">
            <w:pPr>
              <w:rPr>
                <w:sz w:val="18"/>
                <w:szCs w:val="18"/>
              </w:rPr>
            </w:pPr>
            <w:r w:rsidRPr="0068195C">
              <w:rPr>
                <w:b/>
                <w:bCs/>
                <w:sz w:val="18"/>
                <w:szCs w:val="18"/>
              </w:rPr>
              <w:t>2. VOTW Forecasting &amp; Strategy Platform</w:t>
            </w:r>
          </w:p>
        </w:tc>
        <w:tc>
          <w:tcPr>
            <w:tcW w:w="0" w:type="auto"/>
            <w:vAlign w:val="center"/>
            <w:hideMark/>
          </w:tcPr>
          <w:p w14:paraId="6D6D8AA8" w14:textId="77777777" w:rsidR="0068195C" w:rsidRPr="0068195C" w:rsidRDefault="0068195C" w:rsidP="0068195C">
            <w:pPr>
              <w:rPr>
                <w:sz w:val="18"/>
                <w:szCs w:val="18"/>
              </w:rPr>
            </w:pPr>
            <w:r w:rsidRPr="0068195C">
              <w:rPr>
                <w:b/>
                <w:bCs/>
                <w:sz w:val="18"/>
                <w:szCs w:val="18"/>
              </w:rPr>
              <w:t>VOTW Forecasting Engine</w:t>
            </w:r>
            <w:r w:rsidRPr="0068195C">
              <w:rPr>
                <w:sz w:val="18"/>
                <w:szCs w:val="18"/>
              </w:rPr>
              <w:t xml:space="preserve">, </w:t>
            </w:r>
            <w:r w:rsidRPr="0068195C">
              <w:rPr>
                <w:b/>
                <w:bCs/>
                <w:sz w:val="18"/>
                <w:szCs w:val="18"/>
              </w:rPr>
              <w:t>Performance Database</w:t>
            </w:r>
            <w:r w:rsidRPr="0068195C">
              <w:rPr>
                <w:sz w:val="18"/>
                <w:szCs w:val="18"/>
              </w:rPr>
              <w:t xml:space="preserve">, </w:t>
            </w:r>
            <w:r w:rsidRPr="0068195C">
              <w:rPr>
                <w:b/>
                <w:bCs/>
                <w:sz w:val="18"/>
                <w:szCs w:val="18"/>
              </w:rPr>
              <w:t>TURF (for stress testing)</w:t>
            </w:r>
          </w:p>
        </w:tc>
        <w:tc>
          <w:tcPr>
            <w:tcW w:w="0" w:type="auto"/>
            <w:vAlign w:val="center"/>
            <w:hideMark/>
          </w:tcPr>
          <w:p w14:paraId="1E6D4ABE" w14:textId="77777777" w:rsidR="0068195C" w:rsidRPr="0068195C" w:rsidRDefault="0068195C" w:rsidP="0068195C">
            <w:pPr>
              <w:rPr>
                <w:sz w:val="18"/>
                <w:szCs w:val="18"/>
              </w:rPr>
            </w:pPr>
            <w:r w:rsidRPr="0068195C">
              <w:rPr>
                <w:sz w:val="18"/>
                <w:szCs w:val="18"/>
              </w:rPr>
              <w:t>Combines 6-year macro forecasts, sector modeling, optimization, and integrated research (monthly reports + biannual VOTW). Serves as a foundational analytics layer.</w:t>
            </w:r>
          </w:p>
        </w:tc>
      </w:tr>
      <w:tr w:rsidR="0068195C" w:rsidRPr="0068195C" w14:paraId="742F8888" w14:textId="77777777">
        <w:trPr>
          <w:tblCellSpacing w:w="15" w:type="dxa"/>
        </w:trPr>
        <w:tc>
          <w:tcPr>
            <w:tcW w:w="0" w:type="auto"/>
            <w:vAlign w:val="center"/>
            <w:hideMark/>
          </w:tcPr>
          <w:p w14:paraId="5E6D1D6A" w14:textId="77777777" w:rsidR="0068195C" w:rsidRPr="0068195C" w:rsidRDefault="0068195C" w:rsidP="0068195C">
            <w:pPr>
              <w:rPr>
                <w:sz w:val="18"/>
                <w:szCs w:val="18"/>
              </w:rPr>
            </w:pPr>
            <w:r w:rsidRPr="0068195C">
              <w:rPr>
                <w:b/>
                <w:bCs/>
                <w:sz w:val="18"/>
                <w:szCs w:val="18"/>
              </w:rPr>
              <w:t>3. RealAlpha – AI-Driven Underwriting</w:t>
            </w:r>
          </w:p>
        </w:tc>
        <w:tc>
          <w:tcPr>
            <w:tcW w:w="0" w:type="auto"/>
            <w:vAlign w:val="center"/>
            <w:hideMark/>
          </w:tcPr>
          <w:p w14:paraId="1B0E4580" w14:textId="77777777" w:rsidR="0068195C" w:rsidRPr="0068195C" w:rsidRDefault="0068195C" w:rsidP="0068195C">
            <w:pPr>
              <w:rPr>
                <w:sz w:val="18"/>
                <w:szCs w:val="18"/>
              </w:rPr>
            </w:pPr>
            <w:r w:rsidRPr="0068195C">
              <w:rPr>
                <w:b/>
                <w:bCs/>
                <w:sz w:val="18"/>
                <w:szCs w:val="18"/>
              </w:rPr>
              <w:t>TURF</w:t>
            </w:r>
            <w:r w:rsidRPr="0068195C">
              <w:rPr>
                <w:sz w:val="18"/>
                <w:szCs w:val="18"/>
              </w:rPr>
              <w:t xml:space="preserve">, </w:t>
            </w:r>
            <w:r w:rsidRPr="0068195C">
              <w:rPr>
                <w:b/>
                <w:bCs/>
                <w:sz w:val="18"/>
                <w:szCs w:val="18"/>
              </w:rPr>
              <w:t>VOTW</w:t>
            </w:r>
            <w:r w:rsidRPr="0068195C">
              <w:rPr>
                <w:sz w:val="18"/>
                <w:szCs w:val="18"/>
              </w:rPr>
              <w:t xml:space="preserve">, </w:t>
            </w:r>
            <w:r w:rsidRPr="0068195C">
              <w:rPr>
                <w:b/>
                <w:bCs/>
                <w:sz w:val="18"/>
                <w:szCs w:val="18"/>
              </w:rPr>
              <w:t>MCAF</w:t>
            </w:r>
            <w:r w:rsidRPr="0068195C">
              <w:rPr>
                <w:sz w:val="18"/>
                <w:szCs w:val="18"/>
              </w:rPr>
              <w:t xml:space="preserve">, </w:t>
            </w:r>
            <w:r w:rsidRPr="0068195C">
              <w:rPr>
                <w:b/>
                <w:bCs/>
                <w:sz w:val="18"/>
                <w:szCs w:val="18"/>
              </w:rPr>
              <w:t>Performance Database</w:t>
            </w:r>
            <w:r w:rsidRPr="0068195C">
              <w:rPr>
                <w:sz w:val="18"/>
                <w:szCs w:val="18"/>
              </w:rPr>
              <w:t xml:space="preserve">, </w:t>
            </w:r>
            <w:r w:rsidRPr="0068195C">
              <w:rPr>
                <w:b/>
                <w:bCs/>
                <w:sz w:val="18"/>
                <w:szCs w:val="18"/>
              </w:rPr>
              <w:t>ModelSuite (Underwriting Models)</w:t>
            </w:r>
          </w:p>
        </w:tc>
        <w:tc>
          <w:tcPr>
            <w:tcW w:w="0" w:type="auto"/>
            <w:vAlign w:val="center"/>
            <w:hideMark/>
          </w:tcPr>
          <w:p w14:paraId="0D8CF8C0" w14:textId="77777777" w:rsidR="0068195C" w:rsidRPr="0068195C" w:rsidRDefault="0068195C" w:rsidP="0068195C">
            <w:pPr>
              <w:rPr>
                <w:sz w:val="18"/>
                <w:szCs w:val="18"/>
              </w:rPr>
            </w:pPr>
            <w:r w:rsidRPr="0068195C">
              <w:rPr>
                <w:sz w:val="18"/>
                <w:szCs w:val="18"/>
              </w:rPr>
              <w:t>AI-powered fund and deal underwriting producing Silver, Gold, and Platinum reports. Uses forecasts, performance data, and peer benchmarking.</w:t>
            </w:r>
          </w:p>
        </w:tc>
      </w:tr>
      <w:tr w:rsidR="0068195C" w:rsidRPr="0068195C" w14:paraId="2E837207" w14:textId="77777777">
        <w:trPr>
          <w:tblCellSpacing w:w="15" w:type="dxa"/>
        </w:trPr>
        <w:tc>
          <w:tcPr>
            <w:tcW w:w="0" w:type="auto"/>
            <w:vAlign w:val="center"/>
            <w:hideMark/>
          </w:tcPr>
          <w:p w14:paraId="5E95BEBE" w14:textId="77777777" w:rsidR="0068195C" w:rsidRPr="0068195C" w:rsidRDefault="0068195C" w:rsidP="0068195C">
            <w:pPr>
              <w:rPr>
                <w:sz w:val="18"/>
                <w:szCs w:val="18"/>
              </w:rPr>
            </w:pPr>
            <w:r w:rsidRPr="0068195C">
              <w:rPr>
                <w:b/>
                <w:bCs/>
                <w:sz w:val="18"/>
                <w:szCs w:val="18"/>
              </w:rPr>
              <w:t>4. ModelSuite – Investment Modeling Toolkit</w:t>
            </w:r>
          </w:p>
        </w:tc>
        <w:tc>
          <w:tcPr>
            <w:tcW w:w="0" w:type="auto"/>
            <w:vAlign w:val="center"/>
            <w:hideMark/>
          </w:tcPr>
          <w:p w14:paraId="31C36A3F" w14:textId="77777777" w:rsidR="0068195C" w:rsidRPr="0068195C" w:rsidRDefault="0068195C" w:rsidP="0068195C">
            <w:pPr>
              <w:rPr>
                <w:sz w:val="18"/>
                <w:szCs w:val="18"/>
              </w:rPr>
            </w:pPr>
            <w:r w:rsidRPr="0068195C">
              <w:rPr>
                <w:b/>
                <w:bCs/>
                <w:sz w:val="18"/>
                <w:szCs w:val="18"/>
              </w:rPr>
              <w:t>Proprietary Fund &amp; Deal Underwriting Models</w:t>
            </w:r>
            <w:r w:rsidRPr="0068195C">
              <w:rPr>
                <w:sz w:val="18"/>
                <w:szCs w:val="18"/>
              </w:rPr>
              <w:t xml:space="preserve">, </w:t>
            </w:r>
            <w:r w:rsidRPr="0068195C">
              <w:rPr>
                <w:b/>
                <w:bCs/>
                <w:sz w:val="18"/>
                <w:szCs w:val="18"/>
              </w:rPr>
              <w:t>VOTW</w:t>
            </w:r>
            <w:r w:rsidRPr="0068195C">
              <w:rPr>
                <w:sz w:val="18"/>
                <w:szCs w:val="18"/>
              </w:rPr>
              <w:t xml:space="preserve">, </w:t>
            </w:r>
            <w:r w:rsidRPr="0068195C">
              <w:rPr>
                <w:b/>
                <w:bCs/>
                <w:sz w:val="18"/>
                <w:szCs w:val="18"/>
              </w:rPr>
              <w:t>Performance Database</w:t>
            </w:r>
            <w:r w:rsidRPr="0068195C">
              <w:rPr>
                <w:sz w:val="18"/>
                <w:szCs w:val="18"/>
              </w:rPr>
              <w:t xml:space="preserve">, </w:t>
            </w:r>
            <w:r w:rsidRPr="0068195C">
              <w:rPr>
                <w:b/>
                <w:bCs/>
                <w:sz w:val="18"/>
                <w:szCs w:val="18"/>
              </w:rPr>
              <w:t>MCAF</w:t>
            </w:r>
          </w:p>
        </w:tc>
        <w:tc>
          <w:tcPr>
            <w:tcW w:w="0" w:type="auto"/>
            <w:vAlign w:val="center"/>
            <w:hideMark/>
          </w:tcPr>
          <w:p w14:paraId="30CFC9F4" w14:textId="77777777" w:rsidR="0068195C" w:rsidRPr="0068195C" w:rsidRDefault="0068195C" w:rsidP="0068195C">
            <w:pPr>
              <w:rPr>
                <w:sz w:val="18"/>
                <w:szCs w:val="18"/>
              </w:rPr>
            </w:pPr>
            <w:r w:rsidRPr="0068195C">
              <w:rPr>
                <w:sz w:val="18"/>
                <w:szCs w:val="18"/>
              </w:rPr>
              <w:t>Modular suite of underwriting models for funds, SMAs, secondaries, GP stakes, and entity-level deals; supports BYOA (Bring Your Own Assumptions).</w:t>
            </w:r>
          </w:p>
        </w:tc>
      </w:tr>
      <w:tr w:rsidR="0068195C" w:rsidRPr="0068195C" w14:paraId="11B969AA" w14:textId="77777777">
        <w:trPr>
          <w:tblCellSpacing w:w="15" w:type="dxa"/>
        </w:trPr>
        <w:tc>
          <w:tcPr>
            <w:tcW w:w="0" w:type="auto"/>
            <w:vAlign w:val="center"/>
            <w:hideMark/>
          </w:tcPr>
          <w:p w14:paraId="03BA4EF6" w14:textId="77777777" w:rsidR="0068195C" w:rsidRPr="0068195C" w:rsidRDefault="0068195C" w:rsidP="0068195C">
            <w:pPr>
              <w:rPr>
                <w:sz w:val="18"/>
                <w:szCs w:val="18"/>
              </w:rPr>
            </w:pPr>
            <w:r w:rsidRPr="0068195C">
              <w:rPr>
                <w:b/>
                <w:bCs/>
                <w:sz w:val="18"/>
                <w:szCs w:val="18"/>
              </w:rPr>
              <w:t>5. PortfolioIQ – Portfolio Planning, Rebalancing &amp; Reporting Platform</w:t>
            </w:r>
          </w:p>
        </w:tc>
        <w:tc>
          <w:tcPr>
            <w:tcW w:w="0" w:type="auto"/>
            <w:vAlign w:val="center"/>
            <w:hideMark/>
          </w:tcPr>
          <w:p w14:paraId="1D73F3BC" w14:textId="77777777" w:rsidR="0068195C" w:rsidRPr="0068195C" w:rsidRDefault="0068195C" w:rsidP="0068195C">
            <w:pPr>
              <w:rPr>
                <w:sz w:val="18"/>
                <w:szCs w:val="18"/>
              </w:rPr>
            </w:pPr>
            <w:r w:rsidRPr="0068195C">
              <w:rPr>
                <w:b/>
                <w:bCs/>
                <w:sz w:val="18"/>
                <w:szCs w:val="18"/>
              </w:rPr>
              <w:t>Portfolio Intelligence</w:t>
            </w:r>
            <w:r w:rsidRPr="0068195C">
              <w:rPr>
                <w:sz w:val="18"/>
                <w:szCs w:val="18"/>
              </w:rPr>
              <w:t xml:space="preserve">, </w:t>
            </w:r>
            <w:r w:rsidRPr="0068195C">
              <w:rPr>
                <w:b/>
                <w:bCs/>
                <w:sz w:val="18"/>
                <w:szCs w:val="18"/>
              </w:rPr>
              <w:t>VOTW</w:t>
            </w:r>
            <w:r w:rsidRPr="0068195C">
              <w:rPr>
                <w:sz w:val="18"/>
                <w:szCs w:val="18"/>
              </w:rPr>
              <w:t xml:space="preserve">, </w:t>
            </w:r>
            <w:r w:rsidRPr="0068195C">
              <w:rPr>
                <w:b/>
                <w:bCs/>
                <w:sz w:val="18"/>
                <w:szCs w:val="18"/>
              </w:rPr>
              <w:t>Pipeline Intelligence</w:t>
            </w:r>
            <w:r w:rsidRPr="0068195C">
              <w:rPr>
                <w:sz w:val="18"/>
                <w:szCs w:val="18"/>
              </w:rPr>
              <w:t xml:space="preserve">, </w:t>
            </w:r>
            <w:r w:rsidRPr="0068195C">
              <w:rPr>
                <w:b/>
                <w:bCs/>
                <w:sz w:val="18"/>
                <w:szCs w:val="18"/>
              </w:rPr>
              <w:t>ModelSuite</w:t>
            </w:r>
            <w:r w:rsidRPr="0068195C">
              <w:rPr>
                <w:sz w:val="18"/>
                <w:szCs w:val="18"/>
              </w:rPr>
              <w:t xml:space="preserve">, </w:t>
            </w:r>
            <w:r w:rsidRPr="0068195C">
              <w:rPr>
                <w:b/>
                <w:bCs/>
                <w:sz w:val="18"/>
                <w:szCs w:val="18"/>
              </w:rPr>
              <w:t>Smart Benchmarking</w:t>
            </w:r>
          </w:p>
        </w:tc>
        <w:tc>
          <w:tcPr>
            <w:tcW w:w="0" w:type="auto"/>
            <w:vAlign w:val="center"/>
            <w:hideMark/>
          </w:tcPr>
          <w:p w14:paraId="045A27E7" w14:textId="77777777" w:rsidR="0068195C" w:rsidRPr="0068195C" w:rsidRDefault="0068195C" w:rsidP="0068195C">
            <w:pPr>
              <w:rPr>
                <w:sz w:val="18"/>
                <w:szCs w:val="18"/>
              </w:rPr>
            </w:pPr>
            <w:r w:rsidRPr="0068195C">
              <w:rPr>
                <w:sz w:val="18"/>
                <w:szCs w:val="18"/>
              </w:rPr>
              <w:t>AI-driven strategic planning and rebalancing tool; generates annual investment strategy plans, quarterly performance reports, and live fund/deal recommendations.</w:t>
            </w:r>
          </w:p>
        </w:tc>
      </w:tr>
      <w:tr w:rsidR="0068195C" w:rsidRPr="0068195C" w14:paraId="77DD2DE7" w14:textId="77777777">
        <w:trPr>
          <w:tblCellSpacing w:w="15" w:type="dxa"/>
        </w:trPr>
        <w:tc>
          <w:tcPr>
            <w:tcW w:w="0" w:type="auto"/>
            <w:vAlign w:val="center"/>
            <w:hideMark/>
          </w:tcPr>
          <w:p w14:paraId="111760B3" w14:textId="77777777" w:rsidR="0068195C" w:rsidRPr="0068195C" w:rsidRDefault="0068195C" w:rsidP="0068195C">
            <w:pPr>
              <w:rPr>
                <w:sz w:val="18"/>
                <w:szCs w:val="18"/>
              </w:rPr>
            </w:pPr>
            <w:r w:rsidRPr="0068195C">
              <w:rPr>
                <w:b/>
                <w:bCs/>
                <w:sz w:val="18"/>
                <w:szCs w:val="18"/>
              </w:rPr>
              <w:t>6. Fund &amp; Deal Pipeline Engine</w:t>
            </w:r>
          </w:p>
        </w:tc>
        <w:tc>
          <w:tcPr>
            <w:tcW w:w="0" w:type="auto"/>
            <w:vAlign w:val="center"/>
            <w:hideMark/>
          </w:tcPr>
          <w:p w14:paraId="48E56082" w14:textId="77777777" w:rsidR="0068195C" w:rsidRPr="0068195C" w:rsidRDefault="0068195C" w:rsidP="0068195C">
            <w:pPr>
              <w:rPr>
                <w:sz w:val="18"/>
                <w:szCs w:val="18"/>
              </w:rPr>
            </w:pPr>
            <w:r w:rsidRPr="0068195C">
              <w:rPr>
                <w:b/>
                <w:bCs/>
                <w:sz w:val="18"/>
                <w:szCs w:val="18"/>
              </w:rPr>
              <w:t>Pipeline Intelligence</w:t>
            </w:r>
            <w:r w:rsidRPr="0068195C">
              <w:rPr>
                <w:sz w:val="18"/>
                <w:szCs w:val="18"/>
              </w:rPr>
              <w:t xml:space="preserve">, </w:t>
            </w:r>
            <w:r w:rsidRPr="0068195C">
              <w:rPr>
                <w:b/>
                <w:bCs/>
                <w:sz w:val="18"/>
                <w:szCs w:val="18"/>
              </w:rPr>
              <w:t>AI Underwriting (RealAlpha)</w:t>
            </w:r>
            <w:r w:rsidRPr="0068195C">
              <w:rPr>
                <w:sz w:val="18"/>
                <w:szCs w:val="18"/>
              </w:rPr>
              <w:t xml:space="preserve">, </w:t>
            </w:r>
            <w:r w:rsidRPr="0068195C">
              <w:rPr>
                <w:b/>
                <w:bCs/>
                <w:sz w:val="18"/>
                <w:szCs w:val="18"/>
              </w:rPr>
              <w:t>VOTW</w:t>
            </w:r>
          </w:p>
        </w:tc>
        <w:tc>
          <w:tcPr>
            <w:tcW w:w="0" w:type="auto"/>
            <w:vAlign w:val="center"/>
            <w:hideMark/>
          </w:tcPr>
          <w:p w14:paraId="22B43EE2" w14:textId="77777777" w:rsidR="0068195C" w:rsidRPr="0068195C" w:rsidRDefault="0068195C" w:rsidP="0068195C">
            <w:pPr>
              <w:rPr>
                <w:sz w:val="18"/>
                <w:szCs w:val="18"/>
              </w:rPr>
            </w:pPr>
            <w:r w:rsidRPr="0068195C">
              <w:rPr>
                <w:sz w:val="18"/>
                <w:szCs w:val="18"/>
              </w:rPr>
              <w:t>Matches LP portfolio needs with fund/deal opportunities; supports forward capital planning and GP visibility.</w:t>
            </w:r>
          </w:p>
        </w:tc>
      </w:tr>
      <w:tr w:rsidR="0068195C" w:rsidRPr="0068195C" w14:paraId="440EAE5B" w14:textId="77777777">
        <w:trPr>
          <w:tblCellSpacing w:w="15" w:type="dxa"/>
        </w:trPr>
        <w:tc>
          <w:tcPr>
            <w:tcW w:w="0" w:type="auto"/>
            <w:vAlign w:val="center"/>
            <w:hideMark/>
          </w:tcPr>
          <w:p w14:paraId="7B36F3E5" w14:textId="77777777" w:rsidR="0068195C" w:rsidRPr="0068195C" w:rsidRDefault="0068195C" w:rsidP="0068195C">
            <w:pPr>
              <w:rPr>
                <w:sz w:val="18"/>
                <w:szCs w:val="18"/>
              </w:rPr>
            </w:pPr>
            <w:r w:rsidRPr="0068195C">
              <w:rPr>
                <w:b/>
                <w:bCs/>
                <w:sz w:val="18"/>
                <w:szCs w:val="18"/>
              </w:rPr>
              <w:t>7. AI Capital Advisory</w:t>
            </w:r>
          </w:p>
        </w:tc>
        <w:tc>
          <w:tcPr>
            <w:tcW w:w="0" w:type="auto"/>
            <w:vAlign w:val="center"/>
            <w:hideMark/>
          </w:tcPr>
          <w:p w14:paraId="06379780" w14:textId="77777777" w:rsidR="0068195C" w:rsidRPr="0068195C" w:rsidRDefault="0068195C" w:rsidP="0068195C">
            <w:pPr>
              <w:rPr>
                <w:sz w:val="18"/>
                <w:szCs w:val="18"/>
              </w:rPr>
            </w:pPr>
            <w:r w:rsidRPr="0068195C">
              <w:rPr>
                <w:b/>
                <w:bCs/>
                <w:sz w:val="18"/>
                <w:szCs w:val="18"/>
              </w:rPr>
              <w:t>RealAlpha (AI Underwriting)</w:t>
            </w:r>
            <w:r w:rsidRPr="0068195C">
              <w:rPr>
                <w:sz w:val="18"/>
                <w:szCs w:val="18"/>
              </w:rPr>
              <w:t xml:space="preserve">, </w:t>
            </w:r>
            <w:r w:rsidRPr="0068195C">
              <w:rPr>
                <w:b/>
                <w:bCs/>
                <w:sz w:val="18"/>
                <w:szCs w:val="18"/>
              </w:rPr>
              <w:t>Pipeline Intelligence</w:t>
            </w:r>
            <w:r w:rsidRPr="0068195C">
              <w:rPr>
                <w:sz w:val="18"/>
                <w:szCs w:val="18"/>
              </w:rPr>
              <w:t xml:space="preserve">, </w:t>
            </w:r>
            <w:r w:rsidRPr="0068195C">
              <w:rPr>
                <w:b/>
                <w:bCs/>
                <w:sz w:val="18"/>
                <w:szCs w:val="18"/>
              </w:rPr>
              <w:t>Brand &amp; Relationship Network</w:t>
            </w:r>
            <w:r w:rsidRPr="0068195C">
              <w:rPr>
                <w:sz w:val="18"/>
                <w:szCs w:val="18"/>
              </w:rPr>
              <w:t xml:space="preserve">, </w:t>
            </w:r>
            <w:r w:rsidRPr="0068195C">
              <w:rPr>
                <w:b/>
                <w:bCs/>
                <w:sz w:val="18"/>
                <w:szCs w:val="18"/>
              </w:rPr>
              <w:t>ModelSuite</w:t>
            </w:r>
          </w:p>
        </w:tc>
        <w:tc>
          <w:tcPr>
            <w:tcW w:w="0" w:type="auto"/>
            <w:vAlign w:val="center"/>
            <w:hideMark/>
          </w:tcPr>
          <w:p w14:paraId="1DBBADFE" w14:textId="77777777" w:rsidR="0068195C" w:rsidRPr="0068195C" w:rsidRDefault="0068195C" w:rsidP="0068195C">
            <w:pPr>
              <w:rPr>
                <w:sz w:val="18"/>
                <w:szCs w:val="18"/>
              </w:rPr>
            </w:pPr>
            <w:r w:rsidRPr="0068195C">
              <w:rPr>
                <w:sz w:val="18"/>
                <w:szCs w:val="18"/>
              </w:rPr>
              <w:t>AI-enhanced deal underwriting + capital matching; supports GP/operator M&amp;A and institutional capital introductions.</w:t>
            </w:r>
          </w:p>
        </w:tc>
      </w:tr>
      <w:tr w:rsidR="0068195C" w:rsidRPr="0068195C" w14:paraId="1EF9522B" w14:textId="77777777">
        <w:trPr>
          <w:tblCellSpacing w:w="15" w:type="dxa"/>
        </w:trPr>
        <w:tc>
          <w:tcPr>
            <w:tcW w:w="0" w:type="auto"/>
            <w:vAlign w:val="center"/>
            <w:hideMark/>
          </w:tcPr>
          <w:p w14:paraId="0243C509" w14:textId="77777777" w:rsidR="0068195C" w:rsidRPr="0068195C" w:rsidRDefault="0068195C" w:rsidP="0068195C">
            <w:pPr>
              <w:rPr>
                <w:sz w:val="18"/>
                <w:szCs w:val="18"/>
              </w:rPr>
            </w:pPr>
            <w:r w:rsidRPr="0068195C">
              <w:rPr>
                <w:b/>
                <w:bCs/>
                <w:sz w:val="18"/>
                <w:szCs w:val="18"/>
              </w:rPr>
              <w:t>8. Secondary Marketplace Platform</w:t>
            </w:r>
          </w:p>
        </w:tc>
        <w:tc>
          <w:tcPr>
            <w:tcW w:w="0" w:type="auto"/>
            <w:vAlign w:val="center"/>
            <w:hideMark/>
          </w:tcPr>
          <w:p w14:paraId="7CEA93ED" w14:textId="77777777" w:rsidR="0068195C" w:rsidRPr="0068195C" w:rsidRDefault="0068195C" w:rsidP="0068195C">
            <w:pPr>
              <w:rPr>
                <w:sz w:val="18"/>
                <w:szCs w:val="18"/>
              </w:rPr>
            </w:pPr>
            <w:r w:rsidRPr="0068195C">
              <w:rPr>
                <w:b/>
                <w:bCs/>
                <w:sz w:val="18"/>
                <w:szCs w:val="18"/>
              </w:rPr>
              <w:t>RealAlpha (AI Underwriting)</w:t>
            </w:r>
            <w:r w:rsidRPr="0068195C">
              <w:rPr>
                <w:sz w:val="18"/>
                <w:szCs w:val="18"/>
              </w:rPr>
              <w:t xml:space="preserve">, </w:t>
            </w:r>
            <w:r w:rsidRPr="0068195C">
              <w:rPr>
                <w:b/>
                <w:bCs/>
                <w:sz w:val="18"/>
                <w:szCs w:val="18"/>
              </w:rPr>
              <w:t>Pipeline Intelligence</w:t>
            </w:r>
            <w:r w:rsidRPr="0068195C">
              <w:rPr>
                <w:sz w:val="18"/>
                <w:szCs w:val="18"/>
              </w:rPr>
              <w:t xml:space="preserve">, </w:t>
            </w:r>
            <w:r w:rsidRPr="0068195C">
              <w:rPr>
                <w:b/>
                <w:bCs/>
                <w:sz w:val="18"/>
                <w:szCs w:val="18"/>
              </w:rPr>
              <w:t>Brand &amp; Relationship Network</w:t>
            </w:r>
          </w:p>
        </w:tc>
        <w:tc>
          <w:tcPr>
            <w:tcW w:w="0" w:type="auto"/>
            <w:vAlign w:val="center"/>
            <w:hideMark/>
          </w:tcPr>
          <w:p w14:paraId="4E39EB01" w14:textId="77777777" w:rsidR="0068195C" w:rsidRPr="0068195C" w:rsidRDefault="0068195C" w:rsidP="0068195C">
            <w:pPr>
              <w:rPr>
                <w:sz w:val="18"/>
                <w:szCs w:val="18"/>
              </w:rPr>
            </w:pPr>
            <w:r w:rsidRPr="0068195C">
              <w:rPr>
                <w:sz w:val="18"/>
                <w:szCs w:val="18"/>
              </w:rPr>
              <w:t>Enables secondary trades and recapitalizations; AI identifies buy/sell opportunities based on risk-return and strategy fit.</w:t>
            </w:r>
          </w:p>
        </w:tc>
      </w:tr>
      <w:tr w:rsidR="0068195C" w:rsidRPr="0068195C" w14:paraId="1E6691F3" w14:textId="77777777">
        <w:trPr>
          <w:tblCellSpacing w:w="15" w:type="dxa"/>
        </w:trPr>
        <w:tc>
          <w:tcPr>
            <w:tcW w:w="0" w:type="auto"/>
            <w:vAlign w:val="center"/>
            <w:hideMark/>
          </w:tcPr>
          <w:p w14:paraId="5DD1F610" w14:textId="77777777" w:rsidR="0068195C" w:rsidRPr="0068195C" w:rsidRDefault="0068195C" w:rsidP="0068195C">
            <w:pPr>
              <w:rPr>
                <w:sz w:val="18"/>
                <w:szCs w:val="18"/>
              </w:rPr>
            </w:pPr>
            <w:r w:rsidRPr="0068195C">
              <w:rPr>
                <w:b/>
                <w:bCs/>
                <w:sz w:val="18"/>
                <w:szCs w:val="18"/>
              </w:rPr>
              <w:t>9. GP Advisory (via JV or affiliate)</w:t>
            </w:r>
          </w:p>
        </w:tc>
        <w:tc>
          <w:tcPr>
            <w:tcW w:w="0" w:type="auto"/>
            <w:vAlign w:val="center"/>
            <w:hideMark/>
          </w:tcPr>
          <w:p w14:paraId="5AD9B7BA" w14:textId="77777777" w:rsidR="0068195C" w:rsidRPr="0068195C" w:rsidRDefault="0068195C" w:rsidP="0068195C">
            <w:pPr>
              <w:rPr>
                <w:sz w:val="18"/>
                <w:szCs w:val="18"/>
              </w:rPr>
            </w:pPr>
            <w:r w:rsidRPr="0068195C">
              <w:rPr>
                <w:b/>
                <w:bCs/>
                <w:sz w:val="18"/>
                <w:szCs w:val="18"/>
              </w:rPr>
              <w:t>TURF</w:t>
            </w:r>
            <w:r w:rsidRPr="0068195C">
              <w:rPr>
                <w:sz w:val="18"/>
                <w:szCs w:val="18"/>
              </w:rPr>
              <w:t xml:space="preserve">, </w:t>
            </w:r>
            <w:r w:rsidRPr="0068195C">
              <w:rPr>
                <w:b/>
                <w:bCs/>
                <w:sz w:val="18"/>
                <w:szCs w:val="18"/>
              </w:rPr>
              <w:t>VOTW</w:t>
            </w:r>
            <w:r w:rsidRPr="0068195C">
              <w:rPr>
                <w:sz w:val="18"/>
                <w:szCs w:val="18"/>
              </w:rPr>
              <w:t xml:space="preserve">, </w:t>
            </w:r>
            <w:r w:rsidRPr="0068195C">
              <w:rPr>
                <w:b/>
                <w:bCs/>
                <w:sz w:val="18"/>
                <w:szCs w:val="18"/>
              </w:rPr>
              <w:t>MCAF</w:t>
            </w:r>
            <w:r w:rsidRPr="0068195C">
              <w:rPr>
                <w:sz w:val="18"/>
                <w:szCs w:val="18"/>
              </w:rPr>
              <w:t xml:space="preserve">, </w:t>
            </w:r>
            <w:r w:rsidRPr="0068195C">
              <w:rPr>
                <w:b/>
                <w:bCs/>
                <w:sz w:val="18"/>
                <w:szCs w:val="18"/>
              </w:rPr>
              <w:t>Performance Database</w:t>
            </w:r>
            <w:r w:rsidRPr="0068195C">
              <w:rPr>
                <w:sz w:val="18"/>
                <w:szCs w:val="18"/>
              </w:rPr>
              <w:t xml:space="preserve">, </w:t>
            </w:r>
            <w:r w:rsidRPr="0068195C">
              <w:rPr>
                <w:b/>
                <w:bCs/>
                <w:sz w:val="18"/>
                <w:szCs w:val="18"/>
              </w:rPr>
              <w:t>Brand &amp; Relationship Network</w:t>
            </w:r>
          </w:p>
        </w:tc>
        <w:tc>
          <w:tcPr>
            <w:tcW w:w="0" w:type="auto"/>
            <w:vAlign w:val="center"/>
            <w:hideMark/>
          </w:tcPr>
          <w:p w14:paraId="6D6A3455" w14:textId="77777777" w:rsidR="0068195C" w:rsidRPr="0068195C" w:rsidRDefault="0068195C" w:rsidP="0068195C">
            <w:pPr>
              <w:rPr>
                <w:sz w:val="18"/>
                <w:szCs w:val="18"/>
              </w:rPr>
            </w:pPr>
            <w:r w:rsidRPr="0068195C">
              <w:rPr>
                <w:sz w:val="18"/>
                <w:szCs w:val="18"/>
              </w:rPr>
              <w:t>Strategic benchmarking and fund design support for GPs, leveraging Townsend’s proprietary frameworks and data. Delivered via independent JV/affiliate structure.</w:t>
            </w:r>
          </w:p>
        </w:tc>
      </w:tr>
    </w:tbl>
    <w:p w14:paraId="5FF9CE7F" w14:textId="77777777" w:rsidR="0068195C" w:rsidRPr="0068195C" w:rsidRDefault="0068195C" w:rsidP="0068195C">
      <w:pPr>
        <w:rPr>
          <w:sz w:val="18"/>
          <w:szCs w:val="18"/>
        </w:rPr>
      </w:pPr>
      <w:r w:rsidRPr="0068195C">
        <w:rPr>
          <w:sz w:val="18"/>
          <w:szCs w:val="18"/>
        </w:rPr>
        <w:pict w14:anchorId="41FD32A0">
          <v:rect id="_x0000_i1080" style="width:0;height:1.5pt" o:hralign="center" o:hrstd="t" o:hr="t" fillcolor="#a0a0a0" stroked="f"/>
        </w:pict>
      </w:r>
    </w:p>
    <w:p w14:paraId="58A682D9" w14:textId="77777777" w:rsidR="00B676D5" w:rsidRDefault="00B676D5">
      <w:pPr>
        <w:rPr>
          <w:rFonts w:ascii="Segoe UI Emoji" w:hAnsi="Segoe UI Emoji" w:cs="Segoe UI Emoji"/>
          <w:b/>
          <w:bCs/>
          <w:sz w:val="18"/>
          <w:szCs w:val="18"/>
        </w:rPr>
      </w:pPr>
      <w:r>
        <w:rPr>
          <w:rFonts w:ascii="Segoe UI Emoji" w:hAnsi="Segoe UI Emoji" w:cs="Segoe UI Emoji"/>
          <w:b/>
          <w:bCs/>
          <w:sz w:val="18"/>
          <w:szCs w:val="18"/>
        </w:rPr>
        <w:br w:type="page"/>
      </w:r>
    </w:p>
    <w:p w14:paraId="0D73D952" w14:textId="0EF7EF5D" w:rsidR="0068195C" w:rsidRPr="0068195C" w:rsidRDefault="0068195C" w:rsidP="0068195C">
      <w:pPr>
        <w:rPr>
          <w:b/>
          <w:bCs/>
          <w:sz w:val="18"/>
          <w:szCs w:val="18"/>
        </w:rPr>
      </w:pPr>
      <w:r w:rsidRPr="0068195C">
        <w:rPr>
          <w:b/>
          <w:bCs/>
          <w:sz w:val="18"/>
          <w:szCs w:val="18"/>
        </w:rPr>
        <w:lastRenderedPageBreak/>
        <w:t>Updated Capabilities Reference (8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
        <w:gridCol w:w="2950"/>
        <w:gridCol w:w="6238"/>
      </w:tblGrid>
      <w:tr w:rsidR="0068195C" w:rsidRPr="0068195C" w14:paraId="1CA97701" w14:textId="77777777">
        <w:trPr>
          <w:tblHeader/>
          <w:tblCellSpacing w:w="15" w:type="dxa"/>
        </w:trPr>
        <w:tc>
          <w:tcPr>
            <w:tcW w:w="0" w:type="auto"/>
            <w:vAlign w:val="center"/>
            <w:hideMark/>
          </w:tcPr>
          <w:p w14:paraId="3064E9F2" w14:textId="77777777" w:rsidR="0068195C" w:rsidRPr="0068195C" w:rsidRDefault="0068195C" w:rsidP="0068195C">
            <w:pPr>
              <w:rPr>
                <w:b/>
                <w:bCs/>
                <w:sz w:val="18"/>
                <w:szCs w:val="18"/>
              </w:rPr>
            </w:pPr>
            <w:r w:rsidRPr="0068195C">
              <w:rPr>
                <w:b/>
                <w:bCs/>
                <w:sz w:val="18"/>
                <w:szCs w:val="18"/>
              </w:rPr>
              <w:t>#</w:t>
            </w:r>
          </w:p>
        </w:tc>
        <w:tc>
          <w:tcPr>
            <w:tcW w:w="0" w:type="auto"/>
            <w:vAlign w:val="center"/>
            <w:hideMark/>
          </w:tcPr>
          <w:p w14:paraId="2A6FA382" w14:textId="77777777" w:rsidR="0068195C" w:rsidRPr="0068195C" w:rsidRDefault="0068195C" w:rsidP="0068195C">
            <w:pPr>
              <w:rPr>
                <w:b/>
                <w:bCs/>
                <w:sz w:val="18"/>
                <w:szCs w:val="18"/>
              </w:rPr>
            </w:pPr>
            <w:r w:rsidRPr="0068195C">
              <w:rPr>
                <w:b/>
                <w:bCs/>
                <w:sz w:val="18"/>
                <w:szCs w:val="18"/>
              </w:rPr>
              <w:t>Capability Name</w:t>
            </w:r>
          </w:p>
        </w:tc>
        <w:tc>
          <w:tcPr>
            <w:tcW w:w="0" w:type="auto"/>
            <w:vAlign w:val="center"/>
            <w:hideMark/>
          </w:tcPr>
          <w:p w14:paraId="17E08DB7" w14:textId="77777777" w:rsidR="0068195C" w:rsidRPr="0068195C" w:rsidRDefault="0068195C" w:rsidP="0068195C">
            <w:pPr>
              <w:rPr>
                <w:b/>
                <w:bCs/>
                <w:sz w:val="18"/>
                <w:szCs w:val="18"/>
              </w:rPr>
            </w:pPr>
            <w:r w:rsidRPr="0068195C">
              <w:rPr>
                <w:b/>
                <w:bCs/>
                <w:sz w:val="18"/>
                <w:szCs w:val="18"/>
              </w:rPr>
              <w:t>Description / Function</w:t>
            </w:r>
          </w:p>
        </w:tc>
      </w:tr>
      <w:tr w:rsidR="0068195C" w:rsidRPr="0068195C" w14:paraId="1C71DCB0" w14:textId="77777777">
        <w:trPr>
          <w:tblCellSpacing w:w="15" w:type="dxa"/>
        </w:trPr>
        <w:tc>
          <w:tcPr>
            <w:tcW w:w="0" w:type="auto"/>
            <w:vAlign w:val="center"/>
            <w:hideMark/>
          </w:tcPr>
          <w:p w14:paraId="2C472CD1" w14:textId="77777777" w:rsidR="0068195C" w:rsidRPr="0068195C" w:rsidRDefault="0068195C" w:rsidP="0068195C">
            <w:pPr>
              <w:rPr>
                <w:sz w:val="18"/>
                <w:szCs w:val="18"/>
              </w:rPr>
            </w:pPr>
            <w:r w:rsidRPr="0068195C">
              <w:rPr>
                <w:b/>
                <w:bCs/>
                <w:sz w:val="18"/>
                <w:szCs w:val="18"/>
              </w:rPr>
              <w:t>1</w:t>
            </w:r>
          </w:p>
        </w:tc>
        <w:tc>
          <w:tcPr>
            <w:tcW w:w="0" w:type="auto"/>
            <w:vAlign w:val="center"/>
            <w:hideMark/>
          </w:tcPr>
          <w:p w14:paraId="418F2465" w14:textId="77777777" w:rsidR="0068195C" w:rsidRPr="0068195C" w:rsidRDefault="0068195C" w:rsidP="0068195C">
            <w:pPr>
              <w:rPr>
                <w:sz w:val="18"/>
                <w:szCs w:val="18"/>
              </w:rPr>
            </w:pPr>
            <w:r w:rsidRPr="0068195C">
              <w:rPr>
                <w:b/>
                <w:bCs/>
                <w:sz w:val="18"/>
                <w:szCs w:val="18"/>
              </w:rPr>
              <w:t>Performance Database</w:t>
            </w:r>
          </w:p>
        </w:tc>
        <w:tc>
          <w:tcPr>
            <w:tcW w:w="0" w:type="auto"/>
            <w:vAlign w:val="center"/>
            <w:hideMark/>
          </w:tcPr>
          <w:p w14:paraId="2B7401B2" w14:textId="77777777" w:rsidR="0068195C" w:rsidRPr="0068195C" w:rsidRDefault="0068195C" w:rsidP="0068195C">
            <w:pPr>
              <w:rPr>
                <w:sz w:val="18"/>
                <w:szCs w:val="18"/>
              </w:rPr>
            </w:pPr>
            <w:r w:rsidRPr="0068195C">
              <w:rPr>
                <w:sz w:val="18"/>
                <w:szCs w:val="18"/>
              </w:rPr>
              <w:t>Historical fund performance data across real estate, infrastructure, agriculture, and timber, segmented by strategy, region, and sector.</w:t>
            </w:r>
          </w:p>
        </w:tc>
      </w:tr>
      <w:tr w:rsidR="0068195C" w:rsidRPr="0068195C" w14:paraId="194B6370" w14:textId="77777777">
        <w:trPr>
          <w:tblCellSpacing w:w="15" w:type="dxa"/>
        </w:trPr>
        <w:tc>
          <w:tcPr>
            <w:tcW w:w="0" w:type="auto"/>
            <w:vAlign w:val="center"/>
            <w:hideMark/>
          </w:tcPr>
          <w:p w14:paraId="572C094D" w14:textId="77777777" w:rsidR="0068195C" w:rsidRPr="0068195C" w:rsidRDefault="0068195C" w:rsidP="0068195C">
            <w:pPr>
              <w:rPr>
                <w:sz w:val="18"/>
                <w:szCs w:val="18"/>
              </w:rPr>
            </w:pPr>
            <w:r w:rsidRPr="0068195C">
              <w:rPr>
                <w:b/>
                <w:bCs/>
                <w:sz w:val="18"/>
                <w:szCs w:val="18"/>
              </w:rPr>
              <w:t>2</w:t>
            </w:r>
          </w:p>
        </w:tc>
        <w:tc>
          <w:tcPr>
            <w:tcW w:w="0" w:type="auto"/>
            <w:vAlign w:val="center"/>
            <w:hideMark/>
          </w:tcPr>
          <w:p w14:paraId="4F6DC61C" w14:textId="77777777" w:rsidR="0068195C" w:rsidRPr="0068195C" w:rsidRDefault="0068195C" w:rsidP="0068195C">
            <w:pPr>
              <w:rPr>
                <w:sz w:val="18"/>
                <w:szCs w:val="18"/>
              </w:rPr>
            </w:pPr>
            <w:r w:rsidRPr="0068195C">
              <w:rPr>
                <w:b/>
                <w:bCs/>
                <w:sz w:val="18"/>
                <w:szCs w:val="18"/>
              </w:rPr>
              <w:t>TURF</w:t>
            </w:r>
          </w:p>
        </w:tc>
        <w:tc>
          <w:tcPr>
            <w:tcW w:w="0" w:type="auto"/>
            <w:vAlign w:val="center"/>
            <w:hideMark/>
          </w:tcPr>
          <w:p w14:paraId="4155F2AB" w14:textId="77777777" w:rsidR="0068195C" w:rsidRPr="0068195C" w:rsidRDefault="0068195C" w:rsidP="0068195C">
            <w:pPr>
              <w:rPr>
                <w:sz w:val="18"/>
                <w:szCs w:val="18"/>
              </w:rPr>
            </w:pPr>
            <w:r w:rsidRPr="0068195C">
              <w:rPr>
                <w:sz w:val="18"/>
                <w:szCs w:val="18"/>
              </w:rPr>
              <w:t>Proprietary underwriting and rating framework for evaluating funds, SMAs, and direct investments.</w:t>
            </w:r>
          </w:p>
        </w:tc>
      </w:tr>
      <w:tr w:rsidR="0068195C" w:rsidRPr="0068195C" w14:paraId="7778C0B0" w14:textId="77777777">
        <w:trPr>
          <w:tblCellSpacing w:w="15" w:type="dxa"/>
        </w:trPr>
        <w:tc>
          <w:tcPr>
            <w:tcW w:w="0" w:type="auto"/>
            <w:vAlign w:val="center"/>
            <w:hideMark/>
          </w:tcPr>
          <w:p w14:paraId="7C3286F1" w14:textId="77777777" w:rsidR="0068195C" w:rsidRPr="0068195C" w:rsidRDefault="0068195C" w:rsidP="0068195C">
            <w:pPr>
              <w:rPr>
                <w:sz w:val="18"/>
                <w:szCs w:val="18"/>
              </w:rPr>
            </w:pPr>
            <w:r w:rsidRPr="0068195C">
              <w:rPr>
                <w:b/>
                <w:bCs/>
                <w:sz w:val="18"/>
                <w:szCs w:val="18"/>
              </w:rPr>
              <w:t>3</w:t>
            </w:r>
          </w:p>
        </w:tc>
        <w:tc>
          <w:tcPr>
            <w:tcW w:w="0" w:type="auto"/>
            <w:vAlign w:val="center"/>
            <w:hideMark/>
          </w:tcPr>
          <w:p w14:paraId="396FC1CA" w14:textId="77777777" w:rsidR="0068195C" w:rsidRPr="0068195C" w:rsidRDefault="0068195C" w:rsidP="0068195C">
            <w:pPr>
              <w:rPr>
                <w:sz w:val="18"/>
                <w:szCs w:val="18"/>
              </w:rPr>
            </w:pPr>
            <w:r w:rsidRPr="0068195C">
              <w:rPr>
                <w:b/>
                <w:bCs/>
                <w:sz w:val="18"/>
                <w:szCs w:val="18"/>
              </w:rPr>
              <w:t>MCAF</w:t>
            </w:r>
          </w:p>
        </w:tc>
        <w:tc>
          <w:tcPr>
            <w:tcW w:w="0" w:type="auto"/>
            <w:vAlign w:val="center"/>
            <w:hideMark/>
          </w:tcPr>
          <w:p w14:paraId="0F6A2E23" w14:textId="77777777" w:rsidR="0068195C" w:rsidRPr="0068195C" w:rsidRDefault="0068195C" w:rsidP="0068195C">
            <w:pPr>
              <w:rPr>
                <w:sz w:val="18"/>
                <w:szCs w:val="18"/>
              </w:rPr>
            </w:pPr>
            <w:r w:rsidRPr="0068195C">
              <w:rPr>
                <w:sz w:val="18"/>
                <w:szCs w:val="18"/>
              </w:rPr>
              <w:t>Manager Capability Assessment Framework — evaluates platforms by size, strategy, performance, and operational sophistication.</w:t>
            </w:r>
          </w:p>
        </w:tc>
      </w:tr>
      <w:tr w:rsidR="0068195C" w:rsidRPr="0068195C" w14:paraId="51DDB920" w14:textId="77777777">
        <w:trPr>
          <w:tblCellSpacing w:w="15" w:type="dxa"/>
        </w:trPr>
        <w:tc>
          <w:tcPr>
            <w:tcW w:w="0" w:type="auto"/>
            <w:vAlign w:val="center"/>
            <w:hideMark/>
          </w:tcPr>
          <w:p w14:paraId="6E85272E" w14:textId="77777777" w:rsidR="0068195C" w:rsidRPr="0068195C" w:rsidRDefault="0068195C" w:rsidP="0068195C">
            <w:pPr>
              <w:rPr>
                <w:sz w:val="18"/>
                <w:szCs w:val="18"/>
              </w:rPr>
            </w:pPr>
            <w:r w:rsidRPr="0068195C">
              <w:rPr>
                <w:b/>
                <w:bCs/>
                <w:sz w:val="18"/>
                <w:szCs w:val="18"/>
              </w:rPr>
              <w:t>4</w:t>
            </w:r>
          </w:p>
        </w:tc>
        <w:tc>
          <w:tcPr>
            <w:tcW w:w="0" w:type="auto"/>
            <w:vAlign w:val="center"/>
            <w:hideMark/>
          </w:tcPr>
          <w:p w14:paraId="053D0AAC" w14:textId="77777777" w:rsidR="0068195C" w:rsidRPr="0068195C" w:rsidRDefault="0068195C" w:rsidP="0068195C">
            <w:pPr>
              <w:rPr>
                <w:sz w:val="18"/>
                <w:szCs w:val="18"/>
              </w:rPr>
            </w:pPr>
            <w:r w:rsidRPr="0068195C">
              <w:rPr>
                <w:b/>
                <w:bCs/>
                <w:sz w:val="18"/>
                <w:szCs w:val="18"/>
              </w:rPr>
              <w:t>VOTW Forecasting Engine</w:t>
            </w:r>
          </w:p>
        </w:tc>
        <w:tc>
          <w:tcPr>
            <w:tcW w:w="0" w:type="auto"/>
            <w:vAlign w:val="center"/>
            <w:hideMark/>
          </w:tcPr>
          <w:p w14:paraId="11CF1ECF" w14:textId="77777777" w:rsidR="0068195C" w:rsidRPr="0068195C" w:rsidRDefault="0068195C" w:rsidP="0068195C">
            <w:pPr>
              <w:rPr>
                <w:sz w:val="18"/>
                <w:szCs w:val="18"/>
              </w:rPr>
            </w:pPr>
            <w:r w:rsidRPr="0068195C">
              <w:rPr>
                <w:sz w:val="18"/>
                <w:szCs w:val="18"/>
              </w:rPr>
              <w:t>Forward-looking macro and sector forecasting system with scenario modeling, volatility estimates, and risk-adjusted return projections.</w:t>
            </w:r>
          </w:p>
        </w:tc>
      </w:tr>
      <w:tr w:rsidR="0068195C" w:rsidRPr="0068195C" w14:paraId="29036E31" w14:textId="77777777">
        <w:trPr>
          <w:tblCellSpacing w:w="15" w:type="dxa"/>
        </w:trPr>
        <w:tc>
          <w:tcPr>
            <w:tcW w:w="0" w:type="auto"/>
            <w:vAlign w:val="center"/>
            <w:hideMark/>
          </w:tcPr>
          <w:p w14:paraId="4213D6DE" w14:textId="77777777" w:rsidR="0068195C" w:rsidRPr="0068195C" w:rsidRDefault="0068195C" w:rsidP="0068195C">
            <w:pPr>
              <w:rPr>
                <w:sz w:val="18"/>
                <w:szCs w:val="18"/>
              </w:rPr>
            </w:pPr>
            <w:r w:rsidRPr="0068195C">
              <w:rPr>
                <w:b/>
                <w:bCs/>
                <w:sz w:val="18"/>
                <w:szCs w:val="18"/>
              </w:rPr>
              <w:t>5</w:t>
            </w:r>
          </w:p>
        </w:tc>
        <w:tc>
          <w:tcPr>
            <w:tcW w:w="0" w:type="auto"/>
            <w:vAlign w:val="center"/>
            <w:hideMark/>
          </w:tcPr>
          <w:p w14:paraId="0E26DF1D" w14:textId="77777777" w:rsidR="0068195C" w:rsidRPr="0068195C" w:rsidRDefault="0068195C" w:rsidP="0068195C">
            <w:pPr>
              <w:rPr>
                <w:sz w:val="18"/>
                <w:szCs w:val="18"/>
              </w:rPr>
            </w:pPr>
            <w:r w:rsidRPr="0068195C">
              <w:rPr>
                <w:b/>
                <w:bCs/>
                <w:sz w:val="18"/>
                <w:szCs w:val="18"/>
              </w:rPr>
              <w:t>Pipeline Intelligence</w:t>
            </w:r>
          </w:p>
        </w:tc>
        <w:tc>
          <w:tcPr>
            <w:tcW w:w="0" w:type="auto"/>
            <w:vAlign w:val="center"/>
            <w:hideMark/>
          </w:tcPr>
          <w:p w14:paraId="044A148F" w14:textId="77777777" w:rsidR="0068195C" w:rsidRPr="0068195C" w:rsidRDefault="0068195C" w:rsidP="0068195C">
            <w:pPr>
              <w:rPr>
                <w:sz w:val="18"/>
                <w:szCs w:val="18"/>
              </w:rPr>
            </w:pPr>
            <w:r w:rsidRPr="0068195C">
              <w:rPr>
                <w:sz w:val="18"/>
                <w:szCs w:val="18"/>
              </w:rPr>
              <w:t>Live fund and deal pipeline covering fundraising, sectors, risk strategies, and vintage; connects to fund/deal matching tools.</w:t>
            </w:r>
          </w:p>
        </w:tc>
      </w:tr>
      <w:tr w:rsidR="0068195C" w:rsidRPr="0068195C" w14:paraId="1D8B65DC" w14:textId="77777777">
        <w:trPr>
          <w:tblCellSpacing w:w="15" w:type="dxa"/>
        </w:trPr>
        <w:tc>
          <w:tcPr>
            <w:tcW w:w="0" w:type="auto"/>
            <w:vAlign w:val="center"/>
            <w:hideMark/>
          </w:tcPr>
          <w:p w14:paraId="03A72924" w14:textId="77777777" w:rsidR="0068195C" w:rsidRPr="0068195C" w:rsidRDefault="0068195C" w:rsidP="0068195C">
            <w:pPr>
              <w:rPr>
                <w:sz w:val="18"/>
                <w:szCs w:val="18"/>
              </w:rPr>
            </w:pPr>
            <w:r w:rsidRPr="0068195C">
              <w:rPr>
                <w:b/>
                <w:bCs/>
                <w:sz w:val="18"/>
                <w:szCs w:val="18"/>
              </w:rPr>
              <w:t>6</w:t>
            </w:r>
          </w:p>
        </w:tc>
        <w:tc>
          <w:tcPr>
            <w:tcW w:w="0" w:type="auto"/>
            <w:vAlign w:val="center"/>
            <w:hideMark/>
          </w:tcPr>
          <w:p w14:paraId="3EE20DAA" w14:textId="77777777" w:rsidR="0068195C" w:rsidRPr="0068195C" w:rsidRDefault="0068195C" w:rsidP="0068195C">
            <w:pPr>
              <w:rPr>
                <w:sz w:val="18"/>
                <w:szCs w:val="18"/>
              </w:rPr>
            </w:pPr>
            <w:r w:rsidRPr="0068195C">
              <w:rPr>
                <w:b/>
                <w:bCs/>
                <w:sz w:val="18"/>
                <w:szCs w:val="18"/>
              </w:rPr>
              <w:t>Brand &amp; Relationship Network</w:t>
            </w:r>
          </w:p>
        </w:tc>
        <w:tc>
          <w:tcPr>
            <w:tcW w:w="0" w:type="auto"/>
            <w:vAlign w:val="center"/>
            <w:hideMark/>
          </w:tcPr>
          <w:p w14:paraId="01330675" w14:textId="77777777" w:rsidR="0068195C" w:rsidRPr="0068195C" w:rsidRDefault="0068195C" w:rsidP="0068195C">
            <w:pPr>
              <w:rPr>
                <w:sz w:val="18"/>
                <w:szCs w:val="18"/>
              </w:rPr>
            </w:pPr>
            <w:r w:rsidRPr="0068195C">
              <w:rPr>
                <w:sz w:val="18"/>
                <w:szCs w:val="18"/>
              </w:rPr>
              <w:t>Four-decade LP/GP network and market reputation that drives trust, partnerships, and information flow.</w:t>
            </w:r>
          </w:p>
        </w:tc>
      </w:tr>
      <w:tr w:rsidR="0068195C" w:rsidRPr="0068195C" w14:paraId="4E540A93" w14:textId="77777777">
        <w:trPr>
          <w:tblCellSpacing w:w="15" w:type="dxa"/>
        </w:trPr>
        <w:tc>
          <w:tcPr>
            <w:tcW w:w="0" w:type="auto"/>
            <w:vAlign w:val="center"/>
            <w:hideMark/>
          </w:tcPr>
          <w:p w14:paraId="07CF7AF9" w14:textId="77777777" w:rsidR="0068195C" w:rsidRPr="0068195C" w:rsidRDefault="0068195C" w:rsidP="0068195C">
            <w:pPr>
              <w:rPr>
                <w:sz w:val="18"/>
                <w:szCs w:val="18"/>
              </w:rPr>
            </w:pPr>
            <w:r w:rsidRPr="0068195C">
              <w:rPr>
                <w:b/>
                <w:bCs/>
                <w:sz w:val="18"/>
                <w:szCs w:val="18"/>
              </w:rPr>
              <w:t>7</w:t>
            </w:r>
          </w:p>
        </w:tc>
        <w:tc>
          <w:tcPr>
            <w:tcW w:w="0" w:type="auto"/>
            <w:vAlign w:val="center"/>
            <w:hideMark/>
          </w:tcPr>
          <w:p w14:paraId="3DAD5D77" w14:textId="77777777" w:rsidR="0068195C" w:rsidRPr="0068195C" w:rsidRDefault="0068195C" w:rsidP="0068195C">
            <w:pPr>
              <w:rPr>
                <w:sz w:val="18"/>
                <w:szCs w:val="18"/>
              </w:rPr>
            </w:pPr>
            <w:r w:rsidRPr="0068195C">
              <w:rPr>
                <w:b/>
                <w:bCs/>
                <w:sz w:val="18"/>
                <w:szCs w:val="18"/>
              </w:rPr>
              <w:t>Proprietary Fund &amp; Deal Underwriting Models (ModelSuite)</w:t>
            </w:r>
          </w:p>
        </w:tc>
        <w:tc>
          <w:tcPr>
            <w:tcW w:w="0" w:type="auto"/>
            <w:vAlign w:val="center"/>
            <w:hideMark/>
          </w:tcPr>
          <w:p w14:paraId="3EE76680" w14:textId="77777777" w:rsidR="0068195C" w:rsidRPr="0068195C" w:rsidRDefault="0068195C" w:rsidP="0068195C">
            <w:pPr>
              <w:rPr>
                <w:sz w:val="18"/>
                <w:szCs w:val="18"/>
              </w:rPr>
            </w:pPr>
            <w:r w:rsidRPr="0068195C">
              <w:rPr>
                <w:sz w:val="18"/>
                <w:szCs w:val="18"/>
              </w:rPr>
              <w:t>Modular, category-specific models for fund and deal underwriting across real assets; enables BYOA flexibility.</w:t>
            </w:r>
          </w:p>
        </w:tc>
      </w:tr>
      <w:tr w:rsidR="0068195C" w:rsidRPr="0068195C" w14:paraId="75B377CA" w14:textId="77777777">
        <w:trPr>
          <w:tblCellSpacing w:w="15" w:type="dxa"/>
        </w:trPr>
        <w:tc>
          <w:tcPr>
            <w:tcW w:w="0" w:type="auto"/>
            <w:vAlign w:val="center"/>
            <w:hideMark/>
          </w:tcPr>
          <w:p w14:paraId="09268D96" w14:textId="77777777" w:rsidR="0068195C" w:rsidRPr="0068195C" w:rsidRDefault="0068195C" w:rsidP="0068195C">
            <w:pPr>
              <w:rPr>
                <w:sz w:val="18"/>
                <w:szCs w:val="18"/>
              </w:rPr>
            </w:pPr>
            <w:r w:rsidRPr="0068195C">
              <w:rPr>
                <w:b/>
                <w:bCs/>
                <w:sz w:val="18"/>
                <w:szCs w:val="18"/>
              </w:rPr>
              <w:t>8</w:t>
            </w:r>
          </w:p>
        </w:tc>
        <w:tc>
          <w:tcPr>
            <w:tcW w:w="0" w:type="auto"/>
            <w:vAlign w:val="center"/>
            <w:hideMark/>
          </w:tcPr>
          <w:p w14:paraId="2712615A" w14:textId="77777777" w:rsidR="0068195C" w:rsidRPr="0068195C" w:rsidRDefault="0068195C" w:rsidP="0068195C">
            <w:pPr>
              <w:rPr>
                <w:sz w:val="18"/>
                <w:szCs w:val="18"/>
              </w:rPr>
            </w:pPr>
            <w:r w:rsidRPr="0068195C">
              <w:rPr>
                <w:b/>
                <w:bCs/>
                <w:sz w:val="18"/>
                <w:szCs w:val="18"/>
              </w:rPr>
              <w:t>Portfolio Intelligence</w:t>
            </w:r>
          </w:p>
        </w:tc>
        <w:tc>
          <w:tcPr>
            <w:tcW w:w="0" w:type="auto"/>
            <w:vAlign w:val="center"/>
            <w:hideMark/>
          </w:tcPr>
          <w:p w14:paraId="072D7378" w14:textId="77777777" w:rsidR="0068195C" w:rsidRPr="0068195C" w:rsidRDefault="0068195C" w:rsidP="0068195C">
            <w:pPr>
              <w:rPr>
                <w:sz w:val="18"/>
                <w:szCs w:val="18"/>
              </w:rPr>
            </w:pPr>
            <w:r w:rsidRPr="0068195C">
              <w:rPr>
                <w:sz w:val="18"/>
                <w:szCs w:val="18"/>
              </w:rPr>
              <w:t>Portfolio construction, capital pacing, diversification, rebalancing, and performance reporting engine integrated with forecasting and pipeline data.</w:t>
            </w:r>
          </w:p>
        </w:tc>
      </w:tr>
    </w:tbl>
    <w:p w14:paraId="6CF437B0" w14:textId="66331213" w:rsidR="00515AFC" w:rsidRDefault="00515AFC" w:rsidP="009F6263">
      <w:pPr>
        <w:rPr>
          <w:sz w:val="18"/>
          <w:szCs w:val="18"/>
        </w:rPr>
      </w:pPr>
    </w:p>
    <w:p w14:paraId="50495D56" w14:textId="77777777" w:rsidR="00515AFC" w:rsidRDefault="00515AFC">
      <w:pPr>
        <w:rPr>
          <w:sz w:val="18"/>
          <w:szCs w:val="18"/>
        </w:rPr>
      </w:pPr>
      <w:r>
        <w:rPr>
          <w:sz w:val="18"/>
          <w:szCs w:val="18"/>
        </w:rPr>
        <w:br w:type="page"/>
      </w:r>
    </w:p>
    <w:p w14:paraId="4A1488A8" w14:textId="77777777" w:rsidR="002F0F54" w:rsidRPr="002F0F54" w:rsidRDefault="002F0F54" w:rsidP="002F0F54">
      <w:pPr>
        <w:rPr>
          <w:sz w:val="18"/>
          <w:szCs w:val="18"/>
        </w:rPr>
      </w:pPr>
      <w:r w:rsidRPr="002F0F54">
        <w:rPr>
          <w:sz w:val="18"/>
          <w:szCs w:val="18"/>
        </w:rPr>
        <w:lastRenderedPageBreak/>
        <w:pict w14:anchorId="4E18816F">
          <v:rect id="_x0000_i1089" style="width:0;height:1.5pt" o:hralign="center" o:hrstd="t" o:hr="t" fillcolor="#a0a0a0" stroked="f"/>
        </w:pict>
      </w:r>
    </w:p>
    <w:p w14:paraId="10CB6296" w14:textId="77777777" w:rsidR="002F0F54" w:rsidRPr="002F0F54" w:rsidRDefault="002F0F54" w:rsidP="002F0F54">
      <w:pPr>
        <w:rPr>
          <w:b/>
          <w:bCs/>
          <w:sz w:val="18"/>
          <w:szCs w:val="18"/>
        </w:rPr>
      </w:pPr>
      <w:r w:rsidRPr="002F0F54">
        <w:rPr>
          <w:rFonts w:ascii="Segoe UI Emoji" w:hAnsi="Segoe UI Emoji" w:cs="Segoe UI Emoji"/>
          <w:b/>
          <w:bCs/>
          <w:sz w:val="18"/>
          <w:szCs w:val="18"/>
        </w:rPr>
        <w:t>✅</w:t>
      </w:r>
      <w:r w:rsidRPr="002F0F54">
        <w:rPr>
          <w:b/>
          <w:bCs/>
          <w:sz w:val="18"/>
          <w:szCs w:val="18"/>
        </w:rPr>
        <w:t xml:space="preserve"> TownsendAI Product-to-Potential Client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812"/>
        <w:gridCol w:w="4320"/>
      </w:tblGrid>
      <w:tr w:rsidR="002F0F54" w:rsidRPr="002F0F54" w14:paraId="245B933E" w14:textId="77777777" w:rsidTr="002F0F54">
        <w:trPr>
          <w:tblHeader/>
          <w:tblCellSpacing w:w="15" w:type="dxa"/>
        </w:trPr>
        <w:tc>
          <w:tcPr>
            <w:tcW w:w="0" w:type="auto"/>
            <w:vAlign w:val="center"/>
            <w:hideMark/>
          </w:tcPr>
          <w:p w14:paraId="6591C7E4" w14:textId="77777777" w:rsidR="002F0F54" w:rsidRPr="002F0F54" w:rsidRDefault="002F0F54" w:rsidP="002F0F54">
            <w:pPr>
              <w:rPr>
                <w:b/>
                <w:bCs/>
                <w:sz w:val="18"/>
                <w:szCs w:val="18"/>
              </w:rPr>
            </w:pPr>
            <w:r w:rsidRPr="002F0F54">
              <w:rPr>
                <w:b/>
                <w:bCs/>
                <w:sz w:val="18"/>
                <w:szCs w:val="18"/>
              </w:rPr>
              <w:t>Product</w:t>
            </w:r>
          </w:p>
        </w:tc>
        <w:tc>
          <w:tcPr>
            <w:tcW w:w="2782" w:type="dxa"/>
            <w:vAlign w:val="center"/>
            <w:hideMark/>
          </w:tcPr>
          <w:p w14:paraId="24AE66E6" w14:textId="77777777" w:rsidR="002F0F54" w:rsidRPr="002F0F54" w:rsidRDefault="002F0F54" w:rsidP="002F0F54">
            <w:pPr>
              <w:rPr>
                <w:b/>
                <w:bCs/>
                <w:sz w:val="18"/>
                <w:szCs w:val="18"/>
              </w:rPr>
            </w:pPr>
            <w:r w:rsidRPr="002F0F54">
              <w:rPr>
                <w:b/>
                <w:bCs/>
                <w:sz w:val="18"/>
                <w:szCs w:val="18"/>
              </w:rPr>
              <w:t>Potential Clients</w:t>
            </w:r>
          </w:p>
        </w:tc>
        <w:tc>
          <w:tcPr>
            <w:tcW w:w="4275" w:type="dxa"/>
            <w:vAlign w:val="center"/>
            <w:hideMark/>
          </w:tcPr>
          <w:p w14:paraId="51AE3CB3" w14:textId="77777777" w:rsidR="002F0F54" w:rsidRPr="002F0F54" w:rsidRDefault="002F0F54" w:rsidP="002F0F54">
            <w:pPr>
              <w:rPr>
                <w:b/>
                <w:bCs/>
                <w:sz w:val="18"/>
                <w:szCs w:val="18"/>
              </w:rPr>
            </w:pPr>
            <w:r w:rsidRPr="002F0F54">
              <w:rPr>
                <w:b/>
                <w:bCs/>
                <w:sz w:val="18"/>
                <w:szCs w:val="18"/>
              </w:rPr>
              <w:t>Notes</w:t>
            </w:r>
          </w:p>
        </w:tc>
      </w:tr>
      <w:tr w:rsidR="002F0F54" w:rsidRPr="002F0F54" w14:paraId="148B6FD4" w14:textId="77777777" w:rsidTr="002F0F54">
        <w:trPr>
          <w:tblCellSpacing w:w="15" w:type="dxa"/>
        </w:trPr>
        <w:tc>
          <w:tcPr>
            <w:tcW w:w="0" w:type="auto"/>
            <w:vAlign w:val="center"/>
            <w:hideMark/>
          </w:tcPr>
          <w:p w14:paraId="682C80CC" w14:textId="77777777" w:rsidR="002F0F54" w:rsidRPr="002F0F54" w:rsidRDefault="002F0F54" w:rsidP="002F0F54">
            <w:pPr>
              <w:rPr>
                <w:sz w:val="18"/>
                <w:szCs w:val="18"/>
              </w:rPr>
            </w:pPr>
            <w:r w:rsidRPr="002F0F54">
              <w:rPr>
                <w:b/>
                <w:bCs/>
                <w:sz w:val="18"/>
                <w:szCs w:val="18"/>
              </w:rPr>
              <w:t>1. Smart Benchmarking</w:t>
            </w:r>
          </w:p>
        </w:tc>
        <w:tc>
          <w:tcPr>
            <w:tcW w:w="2782" w:type="dxa"/>
            <w:vAlign w:val="center"/>
            <w:hideMark/>
          </w:tcPr>
          <w:p w14:paraId="0E55F2B2" w14:textId="77777777" w:rsidR="002F0F54" w:rsidRPr="002F0F54" w:rsidRDefault="002F0F54" w:rsidP="002F0F54">
            <w:pPr>
              <w:rPr>
                <w:sz w:val="18"/>
                <w:szCs w:val="18"/>
              </w:rPr>
            </w:pPr>
            <w:r w:rsidRPr="002F0F54">
              <w:rPr>
                <w:sz w:val="18"/>
                <w:szCs w:val="18"/>
              </w:rPr>
              <w:t>Institutional LPs (large and small), Wealth Management Platforms, Family Offices, Real Estate Managers (GPs), Consultants, Academia</w:t>
            </w:r>
          </w:p>
        </w:tc>
        <w:tc>
          <w:tcPr>
            <w:tcW w:w="4275" w:type="dxa"/>
            <w:vAlign w:val="center"/>
            <w:hideMark/>
          </w:tcPr>
          <w:p w14:paraId="124C4F50" w14:textId="77777777" w:rsidR="002F0F54" w:rsidRPr="002F0F54" w:rsidRDefault="002F0F54" w:rsidP="002F0F54">
            <w:pPr>
              <w:rPr>
                <w:sz w:val="18"/>
                <w:szCs w:val="18"/>
              </w:rPr>
            </w:pPr>
            <w:r w:rsidRPr="002F0F54">
              <w:rPr>
                <w:sz w:val="18"/>
                <w:szCs w:val="18"/>
              </w:rPr>
              <w:t>Core benchmarking product used for performance comparison across strategies, sectors, and regions; enables smart beta and passive product creation.</w:t>
            </w:r>
          </w:p>
        </w:tc>
      </w:tr>
      <w:tr w:rsidR="002F0F54" w:rsidRPr="002F0F54" w14:paraId="607710E0" w14:textId="77777777" w:rsidTr="002F0F54">
        <w:trPr>
          <w:tblCellSpacing w:w="15" w:type="dxa"/>
        </w:trPr>
        <w:tc>
          <w:tcPr>
            <w:tcW w:w="0" w:type="auto"/>
            <w:vAlign w:val="center"/>
            <w:hideMark/>
          </w:tcPr>
          <w:p w14:paraId="444DE198" w14:textId="77777777" w:rsidR="002F0F54" w:rsidRPr="002F0F54" w:rsidRDefault="002F0F54" w:rsidP="002F0F54">
            <w:pPr>
              <w:rPr>
                <w:sz w:val="18"/>
                <w:szCs w:val="18"/>
              </w:rPr>
            </w:pPr>
            <w:r w:rsidRPr="002F0F54">
              <w:rPr>
                <w:b/>
                <w:bCs/>
                <w:sz w:val="18"/>
                <w:szCs w:val="18"/>
              </w:rPr>
              <w:t>2. VOTW Forecasting &amp; Strategy Platform</w:t>
            </w:r>
          </w:p>
        </w:tc>
        <w:tc>
          <w:tcPr>
            <w:tcW w:w="2782" w:type="dxa"/>
            <w:vAlign w:val="center"/>
            <w:hideMark/>
          </w:tcPr>
          <w:p w14:paraId="7AD46C4A" w14:textId="77777777" w:rsidR="002F0F54" w:rsidRPr="002F0F54" w:rsidRDefault="002F0F54" w:rsidP="002F0F54">
            <w:pPr>
              <w:rPr>
                <w:sz w:val="18"/>
                <w:szCs w:val="18"/>
              </w:rPr>
            </w:pPr>
            <w:r w:rsidRPr="002F0F54">
              <w:rPr>
                <w:sz w:val="18"/>
                <w:szCs w:val="18"/>
              </w:rPr>
              <w:t>Institutional LPs, GPs, Consultants, Family Offices, Wealth Platforms, Academia</w:t>
            </w:r>
          </w:p>
        </w:tc>
        <w:tc>
          <w:tcPr>
            <w:tcW w:w="4275" w:type="dxa"/>
            <w:vAlign w:val="center"/>
            <w:hideMark/>
          </w:tcPr>
          <w:p w14:paraId="424B5E8D" w14:textId="77777777" w:rsidR="002F0F54" w:rsidRPr="002F0F54" w:rsidRDefault="002F0F54" w:rsidP="002F0F54">
            <w:pPr>
              <w:rPr>
                <w:sz w:val="18"/>
                <w:szCs w:val="18"/>
              </w:rPr>
            </w:pPr>
            <w:r w:rsidRPr="002F0F54">
              <w:rPr>
                <w:sz w:val="18"/>
                <w:szCs w:val="18"/>
              </w:rPr>
              <w:t>Provides forward-looking macro, sector, and regional forecasts, portfolio optimization, and market research insights; includes VOTW reports and LP-only forums.</w:t>
            </w:r>
          </w:p>
        </w:tc>
      </w:tr>
      <w:tr w:rsidR="002F0F54" w:rsidRPr="002F0F54" w14:paraId="622E050E" w14:textId="77777777" w:rsidTr="002F0F54">
        <w:trPr>
          <w:tblCellSpacing w:w="15" w:type="dxa"/>
        </w:trPr>
        <w:tc>
          <w:tcPr>
            <w:tcW w:w="0" w:type="auto"/>
            <w:vAlign w:val="center"/>
            <w:hideMark/>
          </w:tcPr>
          <w:p w14:paraId="52CF506B" w14:textId="77777777" w:rsidR="002F0F54" w:rsidRPr="002F0F54" w:rsidRDefault="002F0F54" w:rsidP="002F0F54">
            <w:pPr>
              <w:rPr>
                <w:sz w:val="18"/>
                <w:szCs w:val="18"/>
              </w:rPr>
            </w:pPr>
            <w:r w:rsidRPr="002F0F54">
              <w:rPr>
                <w:b/>
                <w:bCs/>
                <w:sz w:val="18"/>
                <w:szCs w:val="18"/>
              </w:rPr>
              <w:t>3. RealAlpha – AI-Driven Underwriting</w:t>
            </w:r>
          </w:p>
        </w:tc>
        <w:tc>
          <w:tcPr>
            <w:tcW w:w="2782" w:type="dxa"/>
            <w:vAlign w:val="center"/>
            <w:hideMark/>
          </w:tcPr>
          <w:p w14:paraId="764CFA0D" w14:textId="77777777" w:rsidR="002F0F54" w:rsidRPr="002F0F54" w:rsidRDefault="002F0F54" w:rsidP="002F0F54">
            <w:pPr>
              <w:rPr>
                <w:sz w:val="18"/>
                <w:szCs w:val="18"/>
              </w:rPr>
            </w:pPr>
            <w:r w:rsidRPr="002F0F54">
              <w:rPr>
                <w:sz w:val="18"/>
                <w:szCs w:val="18"/>
              </w:rPr>
              <w:t>GPs (primary users), Institutional LPs, Consultants, Family Offices</w:t>
            </w:r>
          </w:p>
        </w:tc>
        <w:tc>
          <w:tcPr>
            <w:tcW w:w="4275" w:type="dxa"/>
            <w:vAlign w:val="center"/>
            <w:hideMark/>
          </w:tcPr>
          <w:p w14:paraId="0221B51F" w14:textId="77777777" w:rsidR="002F0F54" w:rsidRPr="002F0F54" w:rsidRDefault="002F0F54" w:rsidP="002F0F54">
            <w:pPr>
              <w:rPr>
                <w:sz w:val="18"/>
                <w:szCs w:val="18"/>
              </w:rPr>
            </w:pPr>
            <w:r w:rsidRPr="002F0F54">
              <w:rPr>
                <w:sz w:val="18"/>
                <w:szCs w:val="18"/>
              </w:rPr>
              <w:t>AI-generated underwriting reports (Silver, Gold, Platinum) for funds, SMAs, and direct deals; helps GPs validate offerings and LPs assess investment quality.</w:t>
            </w:r>
          </w:p>
        </w:tc>
      </w:tr>
      <w:tr w:rsidR="002F0F54" w:rsidRPr="002F0F54" w14:paraId="3B7B27AA" w14:textId="77777777" w:rsidTr="002F0F54">
        <w:trPr>
          <w:tblCellSpacing w:w="15" w:type="dxa"/>
        </w:trPr>
        <w:tc>
          <w:tcPr>
            <w:tcW w:w="0" w:type="auto"/>
            <w:vAlign w:val="center"/>
            <w:hideMark/>
          </w:tcPr>
          <w:p w14:paraId="1A84DD08" w14:textId="77777777" w:rsidR="002F0F54" w:rsidRPr="002F0F54" w:rsidRDefault="002F0F54" w:rsidP="002F0F54">
            <w:pPr>
              <w:rPr>
                <w:sz w:val="18"/>
                <w:szCs w:val="18"/>
              </w:rPr>
            </w:pPr>
            <w:r w:rsidRPr="002F0F54">
              <w:rPr>
                <w:b/>
                <w:bCs/>
                <w:sz w:val="18"/>
                <w:szCs w:val="18"/>
              </w:rPr>
              <w:t>4. ModelSuite – Investment Modeling Toolkit</w:t>
            </w:r>
          </w:p>
        </w:tc>
        <w:tc>
          <w:tcPr>
            <w:tcW w:w="2782" w:type="dxa"/>
            <w:vAlign w:val="center"/>
            <w:hideMark/>
          </w:tcPr>
          <w:p w14:paraId="76203872" w14:textId="77777777" w:rsidR="002F0F54" w:rsidRPr="002F0F54" w:rsidRDefault="002F0F54" w:rsidP="002F0F54">
            <w:pPr>
              <w:rPr>
                <w:sz w:val="18"/>
                <w:szCs w:val="18"/>
              </w:rPr>
            </w:pPr>
            <w:r w:rsidRPr="002F0F54">
              <w:rPr>
                <w:sz w:val="18"/>
                <w:szCs w:val="18"/>
              </w:rPr>
              <w:t>Institutional LPs, GPs, Consultants, Research Institutions</w:t>
            </w:r>
          </w:p>
        </w:tc>
        <w:tc>
          <w:tcPr>
            <w:tcW w:w="4275" w:type="dxa"/>
            <w:vAlign w:val="center"/>
            <w:hideMark/>
          </w:tcPr>
          <w:p w14:paraId="4D2264A0" w14:textId="77777777" w:rsidR="002F0F54" w:rsidRPr="002F0F54" w:rsidRDefault="002F0F54" w:rsidP="002F0F54">
            <w:pPr>
              <w:rPr>
                <w:sz w:val="18"/>
                <w:szCs w:val="18"/>
              </w:rPr>
            </w:pPr>
            <w:r w:rsidRPr="002F0F54">
              <w:rPr>
                <w:sz w:val="18"/>
                <w:szCs w:val="18"/>
              </w:rPr>
              <w:t>Modular modeling environment for stress-testing, scenario analysis, and cash flow modeling across funds, secondaries, and GP stakes.</w:t>
            </w:r>
          </w:p>
        </w:tc>
      </w:tr>
      <w:tr w:rsidR="002F0F54" w:rsidRPr="002F0F54" w14:paraId="44D3D2BF" w14:textId="77777777" w:rsidTr="002F0F54">
        <w:trPr>
          <w:tblCellSpacing w:w="15" w:type="dxa"/>
        </w:trPr>
        <w:tc>
          <w:tcPr>
            <w:tcW w:w="0" w:type="auto"/>
            <w:vAlign w:val="center"/>
            <w:hideMark/>
          </w:tcPr>
          <w:p w14:paraId="7EAD80EB" w14:textId="77777777" w:rsidR="002F0F54" w:rsidRPr="002F0F54" w:rsidRDefault="002F0F54" w:rsidP="002F0F54">
            <w:pPr>
              <w:rPr>
                <w:sz w:val="18"/>
                <w:szCs w:val="18"/>
              </w:rPr>
            </w:pPr>
            <w:r w:rsidRPr="002F0F54">
              <w:rPr>
                <w:b/>
                <w:bCs/>
                <w:sz w:val="18"/>
                <w:szCs w:val="18"/>
              </w:rPr>
              <w:t>5. PortfolioIQ – Portfolio Planning, Rebalancing &amp; Reporting Platform</w:t>
            </w:r>
          </w:p>
        </w:tc>
        <w:tc>
          <w:tcPr>
            <w:tcW w:w="2782" w:type="dxa"/>
            <w:vAlign w:val="center"/>
            <w:hideMark/>
          </w:tcPr>
          <w:p w14:paraId="6137A13E" w14:textId="77777777" w:rsidR="002F0F54" w:rsidRPr="002F0F54" w:rsidRDefault="002F0F54" w:rsidP="002F0F54">
            <w:pPr>
              <w:rPr>
                <w:sz w:val="18"/>
                <w:szCs w:val="18"/>
              </w:rPr>
            </w:pPr>
            <w:r w:rsidRPr="002F0F54">
              <w:rPr>
                <w:sz w:val="18"/>
                <w:szCs w:val="18"/>
              </w:rPr>
              <w:t>Institutional LPs (core users), Wealth Platforms, Consultants, Family Offices</w:t>
            </w:r>
          </w:p>
        </w:tc>
        <w:tc>
          <w:tcPr>
            <w:tcW w:w="4275" w:type="dxa"/>
            <w:vAlign w:val="center"/>
            <w:hideMark/>
          </w:tcPr>
          <w:p w14:paraId="2E31BAB1" w14:textId="77777777" w:rsidR="002F0F54" w:rsidRPr="002F0F54" w:rsidRDefault="002F0F54" w:rsidP="002F0F54">
            <w:pPr>
              <w:rPr>
                <w:sz w:val="18"/>
                <w:szCs w:val="18"/>
              </w:rPr>
            </w:pPr>
            <w:r w:rsidRPr="002F0F54">
              <w:rPr>
                <w:sz w:val="18"/>
                <w:szCs w:val="18"/>
              </w:rPr>
              <w:t>Generates annual investment strategy plans, AI-driven rebalancing ideas, and quarterly portfolio performance reports; integrates with pipeline and benchmarks.</w:t>
            </w:r>
          </w:p>
        </w:tc>
      </w:tr>
      <w:tr w:rsidR="002F0F54" w:rsidRPr="002F0F54" w14:paraId="7508FA7A" w14:textId="77777777" w:rsidTr="002F0F54">
        <w:trPr>
          <w:tblCellSpacing w:w="15" w:type="dxa"/>
        </w:trPr>
        <w:tc>
          <w:tcPr>
            <w:tcW w:w="0" w:type="auto"/>
            <w:vAlign w:val="center"/>
            <w:hideMark/>
          </w:tcPr>
          <w:p w14:paraId="0D48B6F1" w14:textId="77777777" w:rsidR="002F0F54" w:rsidRPr="002F0F54" w:rsidRDefault="002F0F54" w:rsidP="002F0F54">
            <w:pPr>
              <w:rPr>
                <w:sz w:val="18"/>
                <w:szCs w:val="18"/>
              </w:rPr>
            </w:pPr>
            <w:r w:rsidRPr="002F0F54">
              <w:rPr>
                <w:b/>
                <w:bCs/>
                <w:sz w:val="18"/>
                <w:szCs w:val="18"/>
              </w:rPr>
              <w:t>6. Fund &amp; Deal Pipeline Engine</w:t>
            </w:r>
          </w:p>
        </w:tc>
        <w:tc>
          <w:tcPr>
            <w:tcW w:w="2782" w:type="dxa"/>
            <w:vAlign w:val="center"/>
            <w:hideMark/>
          </w:tcPr>
          <w:p w14:paraId="399EEEF4" w14:textId="77777777" w:rsidR="002F0F54" w:rsidRPr="002F0F54" w:rsidRDefault="002F0F54" w:rsidP="002F0F54">
            <w:pPr>
              <w:rPr>
                <w:sz w:val="18"/>
                <w:szCs w:val="18"/>
              </w:rPr>
            </w:pPr>
            <w:r w:rsidRPr="002F0F54">
              <w:rPr>
                <w:sz w:val="18"/>
                <w:szCs w:val="18"/>
              </w:rPr>
              <w:t>Institutional LPs, GPs</w:t>
            </w:r>
          </w:p>
        </w:tc>
        <w:tc>
          <w:tcPr>
            <w:tcW w:w="4275" w:type="dxa"/>
            <w:vAlign w:val="center"/>
            <w:hideMark/>
          </w:tcPr>
          <w:p w14:paraId="2141D159" w14:textId="77777777" w:rsidR="002F0F54" w:rsidRPr="002F0F54" w:rsidRDefault="002F0F54" w:rsidP="002F0F54">
            <w:pPr>
              <w:rPr>
                <w:sz w:val="18"/>
                <w:szCs w:val="18"/>
              </w:rPr>
            </w:pPr>
            <w:r w:rsidRPr="002F0F54">
              <w:rPr>
                <w:sz w:val="18"/>
                <w:szCs w:val="18"/>
              </w:rPr>
              <w:t>LPs use it to discover investment opportunities; GPs use it to list funds and gain visibility; integrates with RealAlpha and VOTW for alignment.</w:t>
            </w:r>
          </w:p>
        </w:tc>
      </w:tr>
      <w:tr w:rsidR="002F0F54" w:rsidRPr="002F0F54" w14:paraId="2465998A" w14:textId="77777777" w:rsidTr="002F0F54">
        <w:trPr>
          <w:tblCellSpacing w:w="15" w:type="dxa"/>
        </w:trPr>
        <w:tc>
          <w:tcPr>
            <w:tcW w:w="0" w:type="auto"/>
            <w:vAlign w:val="center"/>
            <w:hideMark/>
          </w:tcPr>
          <w:p w14:paraId="747E0E88" w14:textId="77777777" w:rsidR="002F0F54" w:rsidRPr="002F0F54" w:rsidRDefault="002F0F54" w:rsidP="002F0F54">
            <w:pPr>
              <w:rPr>
                <w:sz w:val="18"/>
                <w:szCs w:val="18"/>
              </w:rPr>
            </w:pPr>
            <w:r w:rsidRPr="002F0F54">
              <w:rPr>
                <w:b/>
                <w:bCs/>
                <w:sz w:val="18"/>
                <w:szCs w:val="18"/>
              </w:rPr>
              <w:t>7. AI Capital Advisory</w:t>
            </w:r>
          </w:p>
        </w:tc>
        <w:tc>
          <w:tcPr>
            <w:tcW w:w="2782" w:type="dxa"/>
            <w:vAlign w:val="center"/>
            <w:hideMark/>
          </w:tcPr>
          <w:p w14:paraId="23006D1F" w14:textId="77777777" w:rsidR="002F0F54" w:rsidRPr="002F0F54" w:rsidRDefault="002F0F54" w:rsidP="002F0F54">
            <w:pPr>
              <w:rPr>
                <w:sz w:val="18"/>
                <w:szCs w:val="18"/>
              </w:rPr>
            </w:pPr>
            <w:r w:rsidRPr="002F0F54">
              <w:rPr>
                <w:sz w:val="18"/>
                <w:szCs w:val="18"/>
              </w:rPr>
              <w:t>GPs (primary clients), Institutional LPs (indirect users)</w:t>
            </w:r>
          </w:p>
        </w:tc>
        <w:tc>
          <w:tcPr>
            <w:tcW w:w="4275" w:type="dxa"/>
            <w:vAlign w:val="center"/>
            <w:hideMark/>
          </w:tcPr>
          <w:p w14:paraId="6266FF86" w14:textId="77777777" w:rsidR="002F0F54" w:rsidRPr="002F0F54" w:rsidRDefault="002F0F54" w:rsidP="002F0F54">
            <w:pPr>
              <w:rPr>
                <w:sz w:val="18"/>
                <w:szCs w:val="18"/>
              </w:rPr>
            </w:pPr>
            <w:r w:rsidRPr="002F0F54">
              <w:rPr>
                <w:sz w:val="18"/>
                <w:szCs w:val="18"/>
              </w:rPr>
              <w:t>AI-assisted capital matching and deal underwriting platform; supports GP/operator M&amp;A and fundraising introductions; leverages RealAlpha and ModelSuite.</w:t>
            </w:r>
          </w:p>
        </w:tc>
      </w:tr>
      <w:tr w:rsidR="002F0F54" w:rsidRPr="002F0F54" w14:paraId="6526A3C3" w14:textId="77777777" w:rsidTr="002F0F54">
        <w:trPr>
          <w:tblCellSpacing w:w="15" w:type="dxa"/>
        </w:trPr>
        <w:tc>
          <w:tcPr>
            <w:tcW w:w="0" w:type="auto"/>
            <w:vAlign w:val="center"/>
            <w:hideMark/>
          </w:tcPr>
          <w:p w14:paraId="68BFFF26" w14:textId="77777777" w:rsidR="002F0F54" w:rsidRPr="002F0F54" w:rsidRDefault="002F0F54" w:rsidP="002F0F54">
            <w:pPr>
              <w:rPr>
                <w:sz w:val="18"/>
                <w:szCs w:val="18"/>
              </w:rPr>
            </w:pPr>
            <w:r w:rsidRPr="002F0F54">
              <w:rPr>
                <w:b/>
                <w:bCs/>
                <w:sz w:val="18"/>
                <w:szCs w:val="18"/>
              </w:rPr>
              <w:t>8. Secondary Marketplace Platform</w:t>
            </w:r>
          </w:p>
        </w:tc>
        <w:tc>
          <w:tcPr>
            <w:tcW w:w="2782" w:type="dxa"/>
            <w:vAlign w:val="center"/>
            <w:hideMark/>
          </w:tcPr>
          <w:p w14:paraId="28AC419A" w14:textId="77777777" w:rsidR="002F0F54" w:rsidRPr="002F0F54" w:rsidRDefault="002F0F54" w:rsidP="002F0F54">
            <w:pPr>
              <w:rPr>
                <w:sz w:val="18"/>
                <w:szCs w:val="18"/>
              </w:rPr>
            </w:pPr>
            <w:r w:rsidRPr="002F0F54">
              <w:rPr>
                <w:sz w:val="18"/>
                <w:szCs w:val="18"/>
              </w:rPr>
              <w:t>Institutional LPs, GPs, Consultants</w:t>
            </w:r>
          </w:p>
        </w:tc>
        <w:tc>
          <w:tcPr>
            <w:tcW w:w="4275" w:type="dxa"/>
            <w:vAlign w:val="center"/>
            <w:hideMark/>
          </w:tcPr>
          <w:p w14:paraId="735D80E4" w14:textId="77777777" w:rsidR="002F0F54" w:rsidRPr="002F0F54" w:rsidRDefault="002F0F54" w:rsidP="002F0F54">
            <w:pPr>
              <w:rPr>
                <w:sz w:val="18"/>
                <w:szCs w:val="18"/>
              </w:rPr>
            </w:pPr>
            <w:r w:rsidRPr="002F0F54">
              <w:rPr>
                <w:sz w:val="18"/>
                <w:szCs w:val="18"/>
              </w:rPr>
              <w:t>Trading platform for secondary fund interests; enables LP portfolio rebalancing and GP recapitalizations; supported by AI-based pricing and recommendations.</w:t>
            </w:r>
          </w:p>
        </w:tc>
      </w:tr>
      <w:tr w:rsidR="002F0F54" w:rsidRPr="002F0F54" w14:paraId="6C5D2DD7" w14:textId="77777777" w:rsidTr="002F0F54">
        <w:trPr>
          <w:tblCellSpacing w:w="15" w:type="dxa"/>
        </w:trPr>
        <w:tc>
          <w:tcPr>
            <w:tcW w:w="0" w:type="auto"/>
            <w:vAlign w:val="center"/>
            <w:hideMark/>
          </w:tcPr>
          <w:p w14:paraId="16655047" w14:textId="77777777" w:rsidR="002F0F54" w:rsidRPr="002F0F54" w:rsidRDefault="002F0F54" w:rsidP="002F0F54">
            <w:pPr>
              <w:rPr>
                <w:sz w:val="18"/>
                <w:szCs w:val="18"/>
              </w:rPr>
            </w:pPr>
            <w:r w:rsidRPr="002F0F54">
              <w:rPr>
                <w:b/>
                <w:bCs/>
                <w:sz w:val="18"/>
                <w:szCs w:val="18"/>
              </w:rPr>
              <w:t>9. GP Advisory (via JV or affiliate)</w:t>
            </w:r>
          </w:p>
        </w:tc>
        <w:tc>
          <w:tcPr>
            <w:tcW w:w="2782" w:type="dxa"/>
            <w:vAlign w:val="center"/>
            <w:hideMark/>
          </w:tcPr>
          <w:p w14:paraId="47C55E80" w14:textId="77777777" w:rsidR="002F0F54" w:rsidRPr="002F0F54" w:rsidRDefault="002F0F54" w:rsidP="002F0F54">
            <w:pPr>
              <w:rPr>
                <w:sz w:val="18"/>
                <w:szCs w:val="18"/>
              </w:rPr>
            </w:pPr>
            <w:r w:rsidRPr="002F0F54">
              <w:rPr>
                <w:sz w:val="18"/>
                <w:szCs w:val="18"/>
              </w:rPr>
              <w:t>Real Estate Managers (GPs), Institutional LPs (limited overlap)</w:t>
            </w:r>
          </w:p>
        </w:tc>
        <w:tc>
          <w:tcPr>
            <w:tcW w:w="4275" w:type="dxa"/>
            <w:vAlign w:val="center"/>
            <w:hideMark/>
          </w:tcPr>
          <w:p w14:paraId="79C742DE" w14:textId="77777777" w:rsidR="002F0F54" w:rsidRPr="002F0F54" w:rsidRDefault="002F0F54" w:rsidP="002F0F54">
            <w:pPr>
              <w:rPr>
                <w:sz w:val="18"/>
                <w:szCs w:val="18"/>
              </w:rPr>
            </w:pPr>
            <w:r w:rsidRPr="002F0F54">
              <w:rPr>
                <w:sz w:val="18"/>
                <w:szCs w:val="18"/>
              </w:rPr>
              <w:t>Data-backed strategic advisory service for GPs covering fund design, benchmarking, and market positioning; leverages Townsend data and brand network.</w:t>
            </w:r>
          </w:p>
        </w:tc>
      </w:tr>
    </w:tbl>
    <w:p w14:paraId="58AFAAAA" w14:textId="77777777" w:rsidR="002F02A3" w:rsidRPr="0068195C" w:rsidRDefault="002F02A3" w:rsidP="009F6263">
      <w:pPr>
        <w:rPr>
          <w:sz w:val="18"/>
          <w:szCs w:val="18"/>
        </w:rPr>
      </w:pPr>
    </w:p>
    <w:sectPr w:rsidR="002F02A3" w:rsidRPr="00681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D01"/>
    <w:multiLevelType w:val="multilevel"/>
    <w:tmpl w:val="CB2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6E00"/>
    <w:multiLevelType w:val="multilevel"/>
    <w:tmpl w:val="7F648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57D9D"/>
    <w:multiLevelType w:val="multilevel"/>
    <w:tmpl w:val="84009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5B54"/>
    <w:multiLevelType w:val="multilevel"/>
    <w:tmpl w:val="BF5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743F"/>
    <w:multiLevelType w:val="multilevel"/>
    <w:tmpl w:val="A5CE7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6B83"/>
    <w:multiLevelType w:val="multilevel"/>
    <w:tmpl w:val="809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954A1"/>
    <w:multiLevelType w:val="multilevel"/>
    <w:tmpl w:val="BFEC6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6681C"/>
    <w:multiLevelType w:val="multilevel"/>
    <w:tmpl w:val="B41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34D02"/>
    <w:multiLevelType w:val="multilevel"/>
    <w:tmpl w:val="FB720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A67CF"/>
    <w:multiLevelType w:val="multilevel"/>
    <w:tmpl w:val="8F6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615F0"/>
    <w:multiLevelType w:val="multilevel"/>
    <w:tmpl w:val="8FB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42C4"/>
    <w:multiLevelType w:val="multilevel"/>
    <w:tmpl w:val="13388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B57FE"/>
    <w:multiLevelType w:val="multilevel"/>
    <w:tmpl w:val="03C2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A7617"/>
    <w:multiLevelType w:val="multilevel"/>
    <w:tmpl w:val="307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35AAB"/>
    <w:multiLevelType w:val="multilevel"/>
    <w:tmpl w:val="4CEEB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F464D"/>
    <w:multiLevelType w:val="multilevel"/>
    <w:tmpl w:val="648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713C6"/>
    <w:multiLevelType w:val="multilevel"/>
    <w:tmpl w:val="B0D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0287B"/>
    <w:multiLevelType w:val="multilevel"/>
    <w:tmpl w:val="6F5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63EEA"/>
    <w:multiLevelType w:val="multilevel"/>
    <w:tmpl w:val="CAF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478C9"/>
    <w:multiLevelType w:val="multilevel"/>
    <w:tmpl w:val="EE3C0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B051B"/>
    <w:multiLevelType w:val="multilevel"/>
    <w:tmpl w:val="FDDA3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881D73"/>
    <w:multiLevelType w:val="multilevel"/>
    <w:tmpl w:val="113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0690F"/>
    <w:multiLevelType w:val="multilevel"/>
    <w:tmpl w:val="4FC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63101"/>
    <w:multiLevelType w:val="multilevel"/>
    <w:tmpl w:val="841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069A9"/>
    <w:multiLevelType w:val="multilevel"/>
    <w:tmpl w:val="8DA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33EEC"/>
    <w:multiLevelType w:val="multilevel"/>
    <w:tmpl w:val="482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1100E"/>
    <w:multiLevelType w:val="multilevel"/>
    <w:tmpl w:val="4782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F2090"/>
    <w:multiLevelType w:val="multilevel"/>
    <w:tmpl w:val="BD9CA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036BE"/>
    <w:multiLevelType w:val="multilevel"/>
    <w:tmpl w:val="A18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45437"/>
    <w:multiLevelType w:val="multilevel"/>
    <w:tmpl w:val="F65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E505D"/>
    <w:multiLevelType w:val="multilevel"/>
    <w:tmpl w:val="9DA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37D22"/>
    <w:multiLevelType w:val="multilevel"/>
    <w:tmpl w:val="AD1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F3DFB"/>
    <w:multiLevelType w:val="multilevel"/>
    <w:tmpl w:val="1344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46607"/>
    <w:multiLevelType w:val="multilevel"/>
    <w:tmpl w:val="E4B0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9F5528"/>
    <w:multiLevelType w:val="multilevel"/>
    <w:tmpl w:val="6ED2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21106"/>
    <w:multiLevelType w:val="hybridMultilevel"/>
    <w:tmpl w:val="4922F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E41EA9"/>
    <w:multiLevelType w:val="hybridMultilevel"/>
    <w:tmpl w:val="EA16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E10FEB"/>
    <w:multiLevelType w:val="multilevel"/>
    <w:tmpl w:val="9FD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72661"/>
    <w:multiLevelType w:val="multilevel"/>
    <w:tmpl w:val="400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D58F7"/>
    <w:multiLevelType w:val="multilevel"/>
    <w:tmpl w:val="ADCE6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72C50"/>
    <w:multiLevelType w:val="multilevel"/>
    <w:tmpl w:val="868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815486">
    <w:abstractNumId w:val="35"/>
  </w:num>
  <w:num w:numId="2" w16cid:durableId="1538002153">
    <w:abstractNumId w:val="32"/>
  </w:num>
  <w:num w:numId="3" w16cid:durableId="1434934538">
    <w:abstractNumId w:val="37"/>
  </w:num>
  <w:num w:numId="4" w16cid:durableId="23676509">
    <w:abstractNumId w:val="10"/>
  </w:num>
  <w:num w:numId="5" w16cid:durableId="954678712">
    <w:abstractNumId w:val="7"/>
  </w:num>
  <w:num w:numId="6" w16cid:durableId="551574529">
    <w:abstractNumId w:val="6"/>
  </w:num>
  <w:num w:numId="7" w16cid:durableId="1087727202">
    <w:abstractNumId w:val="17"/>
  </w:num>
  <w:num w:numId="8" w16cid:durableId="397439716">
    <w:abstractNumId w:val="2"/>
  </w:num>
  <w:num w:numId="9" w16cid:durableId="1072119117">
    <w:abstractNumId w:val="39"/>
  </w:num>
  <w:num w:numId="10" w16cid:durableId="1187869975">
    <w:abstractNumId w:val="40"/>
  </w:num>
  <w:num w:numId="11" w16cid:durableId="1232275788">
    <w:abstractNumId w:val="22"/>
  </w:num>
  <w:num w:numId="12" w16cid:durableId="1772388196">
    <w:abstractNumId w:val="4"/>
  </w:num>
  <w:num w:numId="13" w16cid:durableId="1239637128">
    <w:abstractNumId w:val="31"/>
  </w:num>
  <w:num w:numId="14" w16cid:durableId="492992862">
    <w:abstractNumId w:val="18"/>
  </w:num>
  <w:num w:numId="15" w16cid:durableId="1524324364">
    <w:abstractNumId w:val="12"/>
  </w:num>
  <w:num w:numId="16" w16cid:durableId="1063868909">
    <w:abstractNumId w:val="9"/>
  </w:num>
  <w:num w:numId="17" w16cid:durableId="1046371556">
    <w:abstractNumId w:val="25"/>
  </w:num>
  <w:num w:numId="18" w16cid:durableId="1004867322">
    <w:abstractNumId w:val="30"/>
  </w:num>
  <w:num w:numId="19" w16cid:durableId="1482579335">
    <w:abstractNumId w:val="11"/>
  </w:num>
  <w:num w:numId="20" w16cid:durableId="322465341">
    <w:abstractNumId w:val="21"/>
  </w:num>
  <w:num w:numId="21" w16cid:durableId="1025861735">
    <w:abstractNumId w:val="8"/>
  </w:num>
  <w:num w:numId="22" w16cid:durableId="918487696">
    <w:abstractNumId w:val="38"/>
  </w:num>
  <w:num w:numId="23" w16cid:durableId="2076464184">
    <w:abstractNumId w:val="19"/>
  </w:num>
  <w:num w:numId="24" w16cid:durableId="549269951">
    <w:abstractNumId w:val="16"/>
  </w:num>
  <w:num w:numId="25" w16cid:durableId="922253069">
    <w:abstractNumId w:val="28"/>
  </w:num>
  <w:num w:numId="26" w16cid:durableId="865169783">
    <w:abstractNumId w:val="24"/>
  </w:num>
  <w:num w:numId="27" w16cid:durableId="2062560859">
    <w:abstractNumId w:val="14"/>
  </w:num>
  <w:num w:numId="28" w16cid:durableId="801580545">
    <w:abstractNumId w:val="3"/>
  </w:num>
  <w:num w:numId="29" w16cid:durableId="733891939">
    <w:abstractNumId w:val="5"/>
  </w:num>
  <w:num w:numId="30" w16cid:durableId="696661775">
    <w:abstractNumId w:val="36"/>
  </w:num>
  <w:num w:numId="31" w16cid:durableId="542064423">
    <w:abstractNumId w:val="33"/>
  </w:num>
  <w:num w:numId="32" w16cid:durableId="1300963768">
    <w:abstractNumId w:val="23"/>
  </w:num>
  <w:num w:numId="33" w16cid:durableId="2044399389">
    <w:abstractNumId w:val="26"/>
  </w:num>
  <w:num w:numId="34" w16cid:durableId="246966690">
    <w:abstractNumId w:val="34"/>
  </w:num>
  <w:num w:numId="35" w16cid:durableId="1614363431">
    <w:abstractNumId w:val="0"/>
  </w:num>
  <w:num w:numId="36" w16cid:durableId="1035079781">
    <w:abstractNumId w:val="1"/>
  </w:num>
  <w:num w:numId="37" w16cid:durableId="1472408375">
    <w:abstractNumId w:val="15"/>
  </w:num>
  <w:num w:numId="38" w16cid:durableId="929317317">
    <w:abstractNumId w:val="20"/>
  </w:num>
  <w:num w:numId="39" w16cid:durableId="1865631924">
    <w:abstractNumId w:val="29"/>
  </w:num>
  <w:num w:numId="40" w16cid:durableId="676621057">
    <w:abstractNumId w:val="27"/>
  </w:num>
  <w:num w:numId="41" w16cid:durableId="17673843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92"/>
    <w:rsid w:val="000162A7"/>
    <w:rsid w:val="000179D1"/>
    <w:rsid w:val="00023518"/>
    <w:rsid w:val="00046388"/>
    <w:rsid w:val="00056010"/>
    <w:rsid w:val="00083E7C"/>
    <w:rsid w:val="001204BE"/>
    <w:rsid w:val="001279A9"/>
    <w:rsid w:val="00130CB7"/>
    <w:rsid w:val="0015276D"/>
    <w:rsid w:val="00174532"/>
    <w:rsid w:val="00183A6E"/>
    <w:rsid w:val="00194292"/>
    <w:rsid w:val="001D04A5"/>
    <w:rsid w:val="001D1B92"/>
    <w:rsid w:val="001F4FA0"/>
    <w:rsid w:val="00242D19"/>
    <w:rsid w:val="002464E5"/>
    <w:rsid w:val="002528E6"/>
    <w:rsid w:val="002F02A3"/>
    <w:rsid w:val="002F0F54"/>
    <w:rsid w:val="00311E8D"/>
    <w:rsid w:val="0036534B"/>
    <w:rsid w:val="003821CC"/>
    <w:rsid w:val="003A3DB8"/>
    <w:rsid w:val="003D3B82"/>
    <w:rsid w:val="003F5F5D"/>
    <w:rsid w:val="004347D7"/>
    <w:rsid w:val="00441C0F"/>
    <w:rsid w:val="00473E2A"/>
    <w:rsid w:val="004C7A06"/>
    <w:rsid w:val="0050003C"/>
    <w:rsid w:val="005132ED"/>
    <w:rsid w:val="00515AFC"/>
    <w:rsid w:val="005607ED"/>
    <w:rsid w:val="00656782"/>
    <w:rsid w:val="0068195C"/>
    <w:rsid w:val="006E2FE4"/>
    <w:rsid w:val="00714A72"/>
    <w:rsid w:val="007177FA"/>
    <w:rsid w:val="00722FD9"/>
    <w:rsid w:val="0074656F"/>
    <w:rsid w:val="00793909"/>
    <w:rsid w:val="007D51CF"/>
    <w:rsid w:val="00816929"/>
    <w:rsid w:val="00854003"/>
    <w:rsid w:val="00984BF9"/>
    <w:rsid w:val="009B052D"/>
    <w:rsid w:val="009F6263"/>
    <w:rsid w:val="00A625F7"/>
    <w:rsid w:val="00B676D5"/>
    <w:rsid w:val="00B76509"/>
    <w:rsid w:val="00BD5DFE"/>
    <w:rsid w:val="00C83152"/>
    <w:rsid w:val="00D27597"/>
    <w:rsid w:val="00D339DD"/>
    <w:rsid w:val="00D3413A"/>
    <w:rsid w:val="00D62486"/>
    <w:rsid w:val="00DA666D"/>
    <w:rsid w:val="00DE2845"/>
    <w:rsid w:val="00DF1331"/>
    <w:rsid w:val="00E2631F"/>
    <w:rsid w:val="00E44799"/>
    <w:rsid w:val="00EB5B1A"/>
    <w:rsid w:val="00ED4843"/>
    <w:rsid w:val="00EF395F"/>
    <w:rsid w:val="00EF7697"/>
    <w:rsid w:val="00F31806"/>
    <w:rsid w:val="00F810A5"/>
    <w:rsid w:val="00F9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49A029D1"/>
  <w15:chartTrackingRefBased/>
  <w15:docId w15:val="{4053883B-A0FC-409F-B64F-FFF7AAC6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06"/>
  </w:style>
  <w:style w:type="paragraph" w:styleId="Heading1">
    <w:name w:val="heading 1"/>
    <w:basedOn w:val="Normal"/>
    <w:next w:val="Normal"/>
    <w:link w:val="Heading1Char"/>
    <w:uiPriority w:val="9"/>
    <w:qFormat/>
    <w:rsid w:val="001D1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B92"/>
    <w:rPr>
      <w:rFonts w:eastAsiaTheme="majorEastAsia" w:cstheme="majorBidi"/>
      <w:color w:val="272727" w:themeColor="text1" w:themeTint="D8"/>
    </w:rPr>
  </w:style>
  <w:style w:type="paragraph" w:styleId="Title">
    <w:name w:val="Title"/>
    <w:basedOn w:val="Normal"/>
    <w:next w:val="Normal"/>
    <w:link w:val="TitleChar"/>
    <w:uiPriority w:val="10"/>
    <w:qFormat/>
    <w:rsid w:val="001D1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B92"/>
    <w:pPr>
      <w:spacing w:before="160"/>
      <w:jc w:val="center"/>
    </w:pPr>
    <w:rPr>
      <w:i/>
      <w:iCs/>
      <w:color w:val="404040" w:themeColor="text1" w:themeTint="BF"/>
    </w:rPr>
  </w:style>
  <w:style w:type="character" w:customStyle="1" w:styleId="QuoteChar">
    <w:name w:val="Quote Char"/>
    <w:basedOn w:val="DefaultParagraphFont"/>
    <w:link w:val="Quote"/>
    <w:uiPriority w:val="29"/>
    <w:rsid w:val="001D1B92"/>
    <w:rPr>
      <w:i/>
      <w:iCs/>
      <w:color w:val="404040" w:themeColor="text1" w:themeTint="BF"/>
    </w:rPr>
  </w:style>
  <w:style w:type="paragraph" w:styleId="ListParagraph">
    <w:name w:val="List Paragraph"/>
    <w:basedOn w:val="Normal"/>
    <w:uiPriority w:val="34"/>
    <w:qFormat/>
    <w:rsid w:val="001D1B92"/>
    <w:pPr>
      <w:ind w:left="720"/>
      <w:contextualSpacing/>
    </w:pPr>
  </w:style>
  <w:style w:type="character" w:styleId="IntenseEmphasis">
    <w:name w:val="Intense Emphasis"/>
    <w:basedOn w:val="DefaultParagraphFont"/>
    <w:uiPriority w:val="21"/>
    <w:qFormat/>
    <w:rsid w:val="001D1B92"/>
    <w:rPr>
      <w:i/>
      <w:iCs/>
      <w:color w:val="0F4761" w:themeColor="accent1" w:themeShade="BF"/>
    </w:rPr>
  </w:style>
  <w:style w:type="paragraph" w:styleId="IntenseQuote">
    <w:name w:val="Intense Quote"/>
    <w:basedOn w:val="Normal"/>
    <w:next w:val="Normal"/>
    <w:link w:val="IntenseQuoteChar"/>
    <w:uiPriority w:val="30"/>
    <w:qFormat/>
    <w:rsid w:val="001D1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B92"/>
    <w:rPr>
      <w:i/>
      <w:iCs/>
      <w:color w:val="0F4761" w:themeColor="accent1" w:themeShade="BF"/>
    </w:rPr>
  </w:style>
  <w:style w:type="character" w:styleId="IntenseReference">
    <w:name w:val="Intense Reference"/>
    <w:basedOn w:val="DefaultParagraphFont"/>
    <w:uiPriority w:val="32"/>
    <w:qFormat/>
    <w:rsid w:val="001D1B92"/>
    <w:rPr>
      <w:b/>
      <w:bCs/>
      <w:smallCaps/>
      <w:color w:val="0F4761" w:themeColor="accent1" w:themeShade="BF"/>
      <w:spacing w:val="5"/>
    </w:rPr>
  </w:style>
  <w:style w:type="paragraph" w:styleId="Revision">
    <w:name w:val="Revision"/>
    <w:hidden/>
    <w:uiPriority w:val="99"/>
    <w:semiHidden/>
    <w:rsid w:val="003F5F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366">
      <w:bodyDiv w:val="1"/>
      <w:marLeft w:val="0"/>
      <w:marRight w:val="0"/>
      <w:marTop w:val="0"/>
      <w:marBottom w:val="0"/>
      <w:divBdr>
        <w:top w:val="none" w:sz="0" w:space="0" w:color="auto"/>
        <w:left w:val="none" w:sz="0" w:space="0" w:color="auto"/>
        <w:bottom w:val="none" w:sz="0" w:space="0" w:color="auto"/>
        <w:right w:val="none" w:sz="0" w:space="0" w:color="auto"/>
      </w:divBdr>
      <w:divsChild>
        <w:div w:id="497692719">
          <w:marLeft w:val="0"/>
          <w:marRight w:val="0"/>
          <w:marTop w:val="0"/>
          <w:marBottom w:val="0"/>
          <w:divBdr>
            <w:top w:val="none" w:sz="0" w:space="0" w:color="auto"/>
            <w:left w:val="none" w:sz="0" w:space="0" w:color="auto"/>
            <w:bottom w:val="none" w:sz="0" w:space="0" w:color="auto"/>
            <w:right w:val="none" w:sz="0" w:space="0" w:color="auto"/>
          </w:divBdr>
          <w:divsChild>
            <w:div w:id="254828211">
              <w:marLeft w:val="0"/>
              <w:marRight w:val="0"/>
              <w:marTop w:val="0"/>
              <w:marBottom w:val="0"/>
              <w:divBdr>
                <w:top w:val="none" w:sz="0" w:space="0" w:color="auto"/>
                <w:left w:val="none" w:sz="0" w:space="0" w:color="auto"/>
                <w:bottom w:val="none" w:sz="0" w:space="0" w:color="auto"/>
                <w:right w:val="none" w:sz="0" w:space="0" w:color="auto"/>
              </w:divBdr>
            </w:div>
          </w:divsChild>
        </w:div>
        <w:div w:id="1181428769">
          <w:marLeft w:val="0"/>
          <w:marRight w:val="0"/>
          <w:marTop w:val="0"/>
          <w:marBottom w:val="0"/>
          <w:divBdr>
            <w:top w:val="none" w:sz="0" w:space="0" w:color="auto"/>
            <w:left w:val="none" w:sz="0" w:space="0" w:color="auto"/>
            <w:bottom w:val="none" w:sz="0" w:space="0" w:color="auto"/>
            <w:right w:val="none" w:sz="0" w:space="0" w:color="auto"/>
          </w:divBdr>
          <w:divsChild>
            <w:div w:id="21315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69">
      <w:bodyDiv w:val="1"/>
      <w:marLeft w:val="0"/>
      <w:marRight w:val="0"/>
      <w:marTop w:val="0"/>
      <w:marBottom w:val="0"/>
      <w:divBdr>
        <w:top w:val="none" w:sz="0" w:space="0" w:color="auto"/>
        <w:left w:val="none" w:sz="0" w:space="0" w:color="auto"/>
        <w:bottom w:val="none" w:sz="0" w:space="0" w:color="auto"/>
        <w:right w:val="none" w:sz="0" w:space="0" w:color="auto"/>
      </w:divBdr>
      <w:divsChild>
        <w:div w:id="2112778108">
          <w:marLeft w:val="0"/>
          <w:marRight w:val="0"/>
          <w:marTop w:val="0"/>
          <w:marBottom w:val="0"/>
          <w:divBdr>
            <w:top w:val="none" w:sz="0" w:space="0" w:color="auto"/>
            <w:left w:val="none" w:sz="0" w:space="0" w:color="auto"/>
            <w:bottom w:val="none" w:sz="0" w:space="0" w:color="auto"/>
            <w:right w:val="none" w:sz="0" w:space="0" w:color="auto"/>
          </w:divBdr>
          <w:divsChild>
            <w:div w:id="10143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4834">
      <w:bodyDiv w:val="1"/>
      <w:marLeft w:val="0"/>
      <w:marRight w:val="0"/>
      <w:marTop w:val="0"/>
      <w:marBottom w:val="0"/>
      <w:divBdr>
        <w:top w:val="none" w:sz="0" w:space="0" w:color="auto"/>
        <w:left w:val="none" w:sz="0" w:space="0" w:color="auto"/>
        <w:bottom w:val="none" w:sz="0" w:space="0" w:color="auto"/>
        <w:right w:val="none" w:sz="0" w:space="0" w:color="auto"/>
      </w:divBdr>
      <w:divsChild>
        <w:div w:id="127672398">
          <w:marLeft w:val="0"/>
          <w:marRight w:val="0"/>
          <w:marTop w:val="0"/>
          <w:marBottom w:val="0"/>
          <w:divBdr>
            <w:top w:val="none" w:sz="0" w:space="0" w:color="auto"/>
            <w:left w:val="none" w:sz="0" w:space="0" w:color="auto"/>
            <w:bottom w:val="none" w:sz="0" w:space="0" w:color="auto"/>
            <w:right w:val="none" w:sz="0" w:space="0" w:color="auto"/>
          </w:divBdr>
          <w:divsChild>
            <w:div w:id="2035425055">
              <w:marLeft w:val="0"/>
              <w:marRight w:val="0"/>
              <w:marTop w:val="0"/>
              <w:marBottom w:val="0"/>
              <w:divBdr>
                <w:top w:val="none" w:sz="0" w:space="0" w:color="auto"/>
                <w:left w:val="none" w:sz="0" w:space="0" w:color="auto"/>
                <w:bottom w:val="none" w:sz="0" w:space="0" w:color="auto"/>
                <w:right w:val="none" w:sz="0" w:space="0" w:color="auto"/>
              </w:divBdr>
            </w:div>
          </w:divsChild>
        </w:div>
        <w:div w:id="1855338326">
          <w:marLeft w:val="0"/>
          <w:marRight w:val="0"/>
          <w:marTop w:val="0"/>
          <w:marBottom w:val="0"/>
          <w:divBdr>
            <w:top w:val="none" w:sz="0" w:space="0" w:color="auto"/>
            <w:left w:val="none" w:sz="0" w:space="0" w:color="auto"/>
            <w:bottom w:val="none" w:sz="0" w:space="0" w:color="auto"/>
            <w:right w:val="none" w:sz="0" w:space="0" w:color="auto"/>
          </w:divBdr>
          <w:divsChild>
            <w:div w:id="1285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31">
      <w:bodyDiv w:val="1"/>
      <w:marLeft w:val="0"/>
      <w:marRight w:val="0"/>
      <w:marTop w:val="0"/>
      <w:marBottom w:val="0"/>
      <w:divBdr>
        <w:top w:val="none" w:sz="0" w:space="0" w:color="auto"/>
        <w:left w:val="none" w:sz="0" w:space="0" w:color="auto"/>
        <w:bottom w:val="none" w:sz="0" w:space="0" w:color="auto"/>
        <w:right w:val="none" w:sz="0" w:space="0" w:color="auto"/>
      </w:divBdr>
      <w:divsChild>
        <w:div w:id="1734426973">
          <w:marLeft w:val="0"/>
          <w:marRight w:val="0"/>
          <w:marTop w:val="0"/>
          <w:marBottom w:val="0"/>
          <w:divBdr>
            <w:top w:val="none" w:sz="0" w:space="0" w:color="auto"/>
            <w:left w:val="none" w:sz="0" w:space="0" w:color="auto"/>
            <w:bottom w:val="none" w:sz="0" w:space="0" w:color="auto"/>
            <w:right w:val="none" w:sz="0" w:space="0" w:color="auto"/>
          </w:divBdr>
          <w:divsChild>
            <w:div w:id="608396428">
              <w:marLeft w:val="0"/>
              <w:marRight w:val="0"/>
              <w:marTop w:val="0"/>
              <w:marBottom w:val="0"/>
              <w:divBdr>
                <w:top w:val="none" w:sz="0" w:space="0" w:color="auto"/>
                <w:left w:val="none" w:sz="0" w:space="0" w:color="auto"/>
                <w:bottom w:val="none" w:sz="0" w:space="0" w:color="auto"/>
                <w:right w:val="none" w:sz="0" w:space="0" w:color="auto"/>
              </w:divBdr>
            </w:div>
          </w:divsChild>
        </w:div>
        <w:div w:id="339547454">
          <w:marLeft w:val="0"/>
          <w:marRight w:val="0"/>
          <w:marTop w:val="0"/>
          <w:marBottom w:val="0"/>
          <w:divBdr>
            <w:top w:val="none" w:sz="0" w:space="0" w:color="auto"/>
            <w:left w:val="none" w:sz="0" w:space="0" w:color="auto"/>
            <w:bottom w:val="none" w:sz="0" w:space="0" w:color="auto"/>
            <w:right w:val="none" w:sz="0" w:space="0" w:color="auto"/>
          </w:divBdr>
          <w:divsChild>
            <w:div w:id="1022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741">
      <w:bodyDiv w:val="1"/>
      <w:marLeft w:val="0"/>
      <w:marRight w:val="0"/>
      <w:marTop w:val="0"/>
      <w:marBottom w:val="0"/>
      <w:divBdr>
        <w:top w:val="none" w:sz="0" w:space="0" w:color="auto"/>
        <w:left w:val="none" w:sz="0" w:space="0" w:color="auto"/>
        <w:bottom w:val="none" w:sz="0" w:space="0" w:color="auto"/>
        <w:right w:val="none" w:sz="0" w:space="0" w:color="auto"/>
      </w:divBdr>
    </w:div>
    <w:div w:id="394857513">
      <w:bodyDiv w:val="1"/>
      <w:marLeft w:val="0"/>
      <w:marRight w:val="0"/>
      <w:marTop w:val="0"/>
      <w:marBottom w:val="0"/>
      <w:divBdr>
        <w:top w:val="none" w:sz="0" w:space="0" w:color="auto"/>
        <w:left w:val="none" w:sz="0" w:space="0" w:color="auto"/>
        <w:bottom w:val="none" w:sz="0" w:space="0" w:color="auto"/>
        <w:right w:val="none" w:sz="0" w:space="0" w:color="auto"/>
      </w:divBdr>
      <w:divsChild>
        <w:div w:id="1280603116">
          <w:marLeft w:val="0"/>
          <w:marRight w:val="0"/>
          <w:marTop w:val="0"/>
          <w:marBottom w:val="0"/>
          <w:divBdr>
            <w:top w:val="none" w:sz="0" w:space="0" w:color="auto"/>
            <w:left w:val="none" w:sz="0" w:space="0" w:color="auto"/>
            <w:bottom w:val="none" w:sz="0" w:space="0" w:color="auto"/>
            <w:right w:val="none" w:sz="0" w:space="0" w:color="auto"/>
          </w:divBdr>
          <w:divsChild>
            <w:div w:id="1234392802">
              <w:marLeft w:val="0"/>
              <w:marRight w:val="0"/>
              <w:marTop w:val="0"/>
              <w:marBottom w:val="0"/>
              <w:divBdr>
                <w:top w:val="none" w:sz="0" w:space="0" w:color="auto"/>
                <w:left w:val="none" w:sz="0" w:space="0" w:color="auto"/>
                <w:bottom w:val="none" w:sz="0" w:space="0" w:color="auto"/>
                <w:right w:val="none" w:sz="0" w:space="0" w:color="auto"/>
              </w:divBdr>
            </w:div>
          </w:divsChild>
        </w:div>
        <w:div w:id="1117483957">
          <w:marLeft w:val="0"/>
          <w:marRight w:val="0"/>
          <w:marTop w:val="0"/>
          <w:marBottom w:val="0"/>
          <w:divBdr>
            <w:top w:val="none" w:sz="0" w:space="0" w:color="auto"/>
            <w:left w:val="none" w:sz="0" w:space="0" w:color="auto"/>
            <w:bottom w:val="none" w:sz="0" w:space="0" w:color="auto"/>
            <w:right w:val="none" w:sz="0" w:space="0" w:color="auto"/>
          </w:divBdr>
          <w:divsChild>
            <w:div w:id="19343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9493">
      <w:bodyDiv w:val="1"/>
      <w:marLeft w:val="0"/>
      <w:marRight w:val="0"/>
      <w:marTop w:val="0"/>
      <w:marBottom w:val="0"/>
      <w:divBdr>
        <w:top w:val="none" w:sz="0" w:space="0" w:color="auto"/>
        <w:left w:val="none" w:sz="0" w:space="0" w:color="auto"/>
        <w:bottom w:val="none" w:sz="0" w:space="0" w:color="auto"/>
        <w:right w:val="none" w:sz="0" w:space="0" w:color="auto"/>
      </w:divBdr>
    </w:div>
    <w:div w:id="584997709">
      <w:bodyDiv w:val="1"/>
      <w:marLeft w:val="0"/>
      <w:marRight w:val="0"/>
      <w:marTop w:val="0"/>
      <w:marBottom w:val="0"/>
      <w:divBdr>
        <w:top w:val="none" w:sz="0" w:space="0" w:color="auto"/>
        <w:left w:val="none" w:sz="0" w:space="0" w:color="auto"/>
        <w:bottom w:val="none" w:sz="0" w:space="0" w:color="auto"/>
        <w:right w:val="none" w:sz="0" w:space="0" w:color="auto"/>
      </w:divBdr>
    </w:div>
    <w:div w:id="697389935">
      <w:bodyDiv w:val="1"/>
      <w:marLeft w:val="0"/>
      <w:marRight w:val="0"/>
      <w:marTop w:val="0"/>
      <w:marBottom w:val="0"/>
      <w:divBdr>
        <w:top w:val="none" w:sz="0" w:space="0" w:color="auto"/>
        <w:left w:val="none" w:sz="0" w:space="0" w:color="auto"/>
        <w:bottom w:val="none" w:sz="0" w:space="0" w:color="auto"/>
        <w:right w:val="none" w:sz="0" w:space="0" w:color="auto"/>
      </w:divBdr>
    </w:div>
    <w:div w:id="807746235">
      <w:bodyDiv w:val="1"/>
      <w:marLeft w:val="0"/>
      <w:marRight w:val="0"/>
      <w:marTop w:val="0"/>
      <w:marBottom w:val="0"/>
      <w:divBdr>
        <w:top w:val="none" w:sz="0" w:space="0" w:color="auto"/>
        <w:left w:val="none" w:sz="0" w:space="0" w:color="auto"/>
        <w:bottom w:val="none" w:sz="0" w:space="0" w:color="auto"/>
        <w:right w:val="none" w:sz="0" w:space="0" w:color="auto"/>
      </w:divBdr>
      <w:divsChild>
        <w:div w:id="866674487">
          <w:marLeft w:val="0"/>
          <w:marRight w:val="0"/>
          <w:marTop w:val="0"/>
          <w:marBottom w:val="0"/>
          <w:divBdr>
            <w:top w:val="none" w:sz="0" w:space="0" w:color="auto"/>
            <w:left w:val="none" w:sz="0" w:space="0" w:color="auto"/>
            <w:bottom w:val="none" w:sz="0" w:space="0" w:color="auto"/>
            <w:right w:val="none" w:sz="0" w:space="0" w:color="auto"/>
          </w:divBdr>
          <w:divsChild>
            <w:div w:id="351537457">
              <w:marLeft w:val="0"/>
              <w:marRight w:val="0"/>
              <w:marTop w:val="0"/>
              <w:marBottom w:val="0"/>
              <w:divBdr>
                <w:top w:val="none" w:sz="0" w:space="0" w:color="auto"/>
                <w:left w:val="none" w:sz="0" w:space="0" w:color="auto"/>
                <w:bottom w:val="none" w:sz="0" w:space="0" w:color="auto"/>
                <w:right w:val="none" w:sz="0" w:space="0" w:color="auto"/>
              </w:divBdr>
              <w:divsChild>
                <w:div w:id="1292247753">
                  <w:marLeft w:val="0"/>
                  <w:marRight w:val="0"/>
                  <w:marTop w:val="0"/>
                  <w:marBottom w:val="0"/>
                  <w:divBdr>
                    <w:top w:val="none" w:sz="0" w:space="0" w:color="auto"/>
                    <w:left w:val="none" w:sz="0" w:space="0" w:color="auto"/>
                    <w:bottom w:val="none" w:sz="0" w:space="0" w:color="auto"/>
                    <w:right w:val="none" w:sz="0" w:space="0" w:color="auto"/>
                  </w:divBdr>
                  <w:divsChild>
                    <w:div w:id="558831783">
                      <w:marLeft w:val="0"/>
                      <w:marRight w:val="0"/>
                      <w:marTop w:val="0"/>
                      <w:marBottom w:val="0"/>
                      <w:divBdr>
                        <w:top w:val="none" w:sz="0" w:space="0" w:color="auto"/>
                        <w:left w:val="none" w:sz="0" w:space="0" w:color="auto"/>
                        <w:bottom w:val="none" w:sz="0" w:space="0" w:color="auto"/>
                        <w:right w:val="none" w:sz="0" w:space="0" w:color="auto"/>
                      </w:divBdr>
                      <w:divsChild>
                        <w:div w:id="1238443355">
                          <w:marLeft w:val="0"/>
                          <w:marRight w:val="0"/>
                          <w:marTop w:val="0"/>
                          <w:marBottom w:val="0"/>
                          <w:divBdr>
                            <w:top w:val="none" w:sz="0" w:space="0" w:color="auto"/>
                            <w:left w:val="none" w:sz="0" w:space="0" w:color="auto"/>
                            <w:bottom w:val="none" w:sz="0" w:space="0" w:color="auto"/>
                            <w:right w:val="none" w:sz="0" w:space="0" w:color="auto"/>
                          </w:divBdr>
                          <w:divsChild>
                            <w:div w:id="1567494254">
                              <w:marLeft w:val="0"/>
                              <w:marRight w:val="0"/>
                              <w:marTop w:val="0"/>
                              <w:marBottom w:val="0"/>
                              <w:divBdr>
                                <w:top w:val="none" w:sz="0" w:space="0" w:color="auto"/>
                                <w:left w:val="none" w:sz="0" w:space="0" w:color="auto"/>
                                <w:bottom w:val="none" w:sz="0" w:space="0" w:color="auto"/>
                                <w:right w:val="none" w:sz="0" w:space="0" w:color="auto"/>
                              </w:divBdr>
                              <w:divsChild>
                                <w:div w:id="1921598765">
                                  <w:marLeft w:val="0"/>
                                  <w:marRight w:val="0"/>
                                  <w:marTop w:val="0"/>
                                  <w:marBottom w:val="0"/>
                                  <w:divBdr>
                                    <w:top w:val="none" w:sz="0" w:space="0" w:color="auto"/>
                                    <w:left w:val="none" w:sz="0" w:space="0" w:color="auto"/>
                                    <w:bottom w:val="none" w:sz="0" w:space="0" w:color="auto"/>
                                    <w:right w:val="none" w:sz="0" w:space="0" w:color="auto"/>
                                  </w:divBdr>
                                  <w:divsChild>
                                    <w:div w:id="19798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016941">
          <w:marLeft w:val="0"/>
          <w:marRight w:val="0"/>
          <w:marTop w:val="0"/>
          <w:marBottom w:val="0"/>
          <w:divBdr>
            <w:top w:val="none" w:sz="0" w:space="0" w:color="auto"/>
            <w:left w:val="none" w:sz="0" w:space="0" w:color="auto"/>
            <w:bottom w:val="none" w:sz="0" w:space="0" w:color="auto"/>
            <w:right w:val="none" w:sz="0" w:space="0" w:color="auto"/>
          </w:divBdr>
          <w:divsChild>
            <w:div w:id="1054505443">
              <w:marLeft w:val="0"/>
              <w:marRight w:val="0"/>
              <w:marTop w:val="0"/>
              <w:marBottom w:val="0"/>
              <w:divBdr>
                <w:top w:val="none" w:sz="0" w:space="0" w:color="auto"/>
                <w:left w:val="none" w:sz="0" w:space="0" w:color="auto"/>
                <w:bottom w:val="none" w:sz="0" w:space="0" w:color="auto"/>
                <w:right w:val="none" w:sz="0" w:space="0" w:color="auto"/>
              </w:divBdr>
              <w:divsChild>
                <w:div w:id="740910829">
                  <w:marLeft w:val="0"/>
                  <w:marRight w:val="0"/>
                  <w:marTop w:val="0"/>
                  <w:marBottom w:val="0"/>
                  <w:divBdr>
                    <w:top w:val="none" w:sz="0" w:space="0" w:color="auto"/>
                    <w:left w:val="none" w:sz="0" w:space="0" w:color="auto"/>
                    <w:bottom w:val="none" w:sz="0" w:space="0" w:color="auto"/>
                    <w:right w:val="none" w:sz="0" w:space="0" w:color="auto"/>
                  </w:divBdr>
                  <w:divsChild>
                    <w:div w:id="1205099437">
                      <w:marLeft w:val="0"/>
                      <w:marRight w:val="0"/>
                      <w:marTop w:val="0"/>
                      <w:marBottom w:val="0"/>
                      <w:divBdr>
                        <w:top w:val="none" w:sz="0" w:space="0" w:color="auto"/>
                        <w:left w:val="none" w:sz="0" w:space="0" w:color="auto"/>
                        <w:bottom w:val="none" w:sz="0" w:space="0" w:color="auto"/>
                        <w:right w:val="none" w:sz="0" w:space="0" w:color="auto"/>
                      </w:divBdr>
                      <w:divsChild>
                        <w:div w:id="977301657">
                          <w:marLeft w:val="0"/>
                          <w:marRight w:val="0"/>
                          <w:marTop w:val="0"/>
                          <w:marBottom w:val="0"/>
                          <w:divBdr>
                            <w:top w:val="none" w:sz="0" w:space="0" w:color="auto"/>
                            <w:left w:val="none" w:sz="0" w:space="0" w:color="auto"/>
                            <w:bottom w:val="none" w:sz="0" w:space="0" w:color="auto"/>
                            <w:right w:val="none" w:sz="0" w:space="0" w:color="auto"/>
                          </w:divBdr>
                          <w:divsChild>
                            <w:div w:id="485823240">
                              <w:marLeft w:val="0"/>
                              <w:marRight w:val="0"/>
                              <w:marTop w:val="0"/>
                              <w:marBottom w:val="0"/>
                              <w:divBdr>
                                <w:top w:val="none" w:sz="0" w:space="0" w:color="auto"/>
                                <w:left w:val="none" w:sz="0" w:space="0" w:color="auto"/>
                                <w:bottom w:val="none" w:sz="0" w:space="0" w:color="auto"/>
                                <w:right w:val="none" w:sz="0" w:space="0" w:color="auto"/>
                              </w:divBdr>
                              <w:divsChild>
                                <w:div w:id="14605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900854">
          <w:marLeft w:val="0"/>
          <w:marRight w:val="0"/>
          <w:marTop w:val="0"/>
          <w:marBottom w:val="0"/>
          <w:divBdr>
            <w:top w:val="none" w:sz="0" w:space="0" w:color="auto"/>
            <w:left w:val="none" w:sz="0" w:space="0" w:color="auto"/>
            <w:bottom w:val="none" w:sz="0" w:space="0" w:color="auto"/>
            <w:right w:val="none" w:sz="0" w:space="0" w:color="auto"/>
          </w:divBdr>
          <w:divsChild>
            <w:div w:id="1706367492">
              <w:marLeft w:val="0"/>
              <w:marRight w:val="0"/>
              <w:marTop w:val="0"/>
              <w:marBottom w:val="0"/>
              <w:divBdr>
                <w:top w:val="none" w:sz="0" w:space="0" w:color="auto"/>
                <w:left w:val="none" w:sz="0" w:space="0" w:color="auto"/>
                <w:bottom w:val="none" w:sz="0" w:space="0" w:color="auto"/>
                <w:right w:val="none" w:sz="0" w:space="0" w:color="auto"/>
              </w:divBdr>
              <w:divsChild>
                <w:div w:id="866142599">
                  <w:marLeft w:val="0"/>
                  <w:marRight w:val="0"/>
                  <w:marTop w:val="0"/>
                  <w:marBottom w:val="0"/>
                  <w:divBdr>
                    <w:top w:val="none" w:sz="0" w:space="0" w:color="auto"/>
                    <w:left w:val="none" w:sz="0" w:space="0" w:color="auto"/>
                    <w:bottom w:val="none" w:sz="0" w:space="0" w:color="auto"/>
                    <w:right w:val="none" w:sz="0" w:space="0" w:color="auto"/>
                  </w:divBdr>
                  <w:divsChild>
                    <w:div w:id="418841521">
                      <w:marLeft w:val="0"/>
                      <w:marRight w:val="0"/>
                      <w:marTop w:val="0"/>
                      <w:marBottom w:val="0"/>
                      <w:divBdr>
                        <w:top w:val="none" w:sz="0" w:space="0" w:color="auto"/>
                        <w:left w:val="none" w:sz="0" w:space="0" w:color="auto"/>
                        <w:bottom w:val="none" w:sz="0" w:space="0" w:color="auto"/>
                        <w:right w:val="none" w:sz="0" w:space="0" w:color="auto"/>
                      </w:divBdr>
                      <w:divsChild>
                        <w:div w:id="2008093011">
                          <w:marLeft w:val="0"/>
                          <w:marRight w:val="0"/>
                          <w:marTop w:val="0"/>
                          <w:marBottom w:val="0"/>
                          <w:divBdr>
                            <w:top w:val="none" w:sz="0" w:space="0" w:color="auto"/>
                            <w:left w:val="none" w:sz="0" w:space="0" w:color="auto"/>
                            <w:bottom w:val="none" w:sz="0" w:space="0" w:color="auto"/>
                            <w:right w:val="none" w:sz="0" w:space="0" w:color="auto"/>
                          </w:divBdr>
                          <w:divsChild>
                            <w:div w:id="349331352">
                              <w:marLeft w:val="0"/>
                              <w:marRight w:val="0"/>
                              <w:marTop w:val="0"/>
                              <w:marBottom w:val="0"/>
                              <w:divBdr>
                                <w:top w:val="none" w:sz="0" w:space="0" w:color="auto"/>
                                <w:left w:val="none" w:sz="0" w:space="0" w:color="auto"/>
                                <w:bottom w:val="none" w:sz="0" w:space="0" w:color="auto"/>
                                <w:right w:val="none" w:sz="0" w:space="0" w:color="auto"/>
                              </w:divBdr>
                              <w:divsChild>
                                <w:div w:id="50354279">
                                  <w:marLeft w:val="0"/>
                                  <w:marRight w:val="0"/>
                                  <w:marTop w:val="0"/>
                                  <w:marBottom w:val="0"/>
                                  <w:divBdr>
                                    <w:top w:val="none" w:sz="0" w:space="0" w:color="auto"/>
                                    <w:left w:val="none" w:sz="0" w:space="0" w:color="auto"/>
                                    <w:bottom w:val="none" w:sz="0" w:space="0" w:color="auto"/>
                                    <w:right w:val="none" w:sz="0" w:space="0" w:color="auto"/>
                                  </w:divBdr>
                                  <w:divsChild>
                                    <w:div w:id="17686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149713">
      <w:bodyDiv w:val="1"/>
      <w:marLeft w:val="0"/>
      <w:marRight w:val="0"/>
      <w:marTop w:val="0"/>
      <w:marBottom w:val="0"/>
      <w:divBdr>
        <w:top w:val="none" w:sz="0" w:space="0" w:color="auto"/>
        <w:left w:val="none" w:sz="0" w:space="0" w:color="auto"/>
        <w:bottom w:val="none" w:sz="0" w:space="0" w:color="auto"/>
        <w:right w:val="none" w:sz="0" w:space="0" w:color="auto"/>
      </w:divBdr>
      <w:divsChild>
        <w:div w:id="895702827">
          <w:marLeft w:val="0"/>
          <w:marRight w:val="0"/>
          <w:marTop w:val="0"/>
          <w:marBottom w:val="0"/>
          <w:divBdr>
            <w:top w:val="none" w:sz="0" w:space="0" w:color="auto"/>
            <w:left w:val="none" w:sz="0" w:space="0" w:color="auto"/>
            <w:bottom w:val="none" w:sz="0" w:space="0" w:color="auto"/>
            <w:right w:val="none" w:sz="0" w:space="0" w:color="auto"/>
          </w:divBdr>
          <w:divsChild>
            <w:div w:id="4604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5258">
      <w:bodyDiv w:val="1"/>
      <w:marLeft w:val="0"/>
      <w:marRight w:val="0"/>
      <w:marTop w:val="0"/>
      <w:marBottom w:val="0"/>
      <w:divBdr>
        <w:top w:val="none" w:sz="0" w:space="0" w:color="auto"/>
        <w:left w:val="none" w:sz="0" w:space="0" w:color="auto"/>
        <w:bottom w:val="none" w:sz="0" w:space="0" w:color="auto"/>
        <w:right w:val="none" w:sz="0" w:space="0" w:color="auto"/>
      </w:divBdr>
      <w:divsChild>
        <w:div w:id="967590199">
          <w:marLeft w:val="0"/>
          <w:marRight w:val="0"/>
          <w:marTop w:val="0"/>
          <w:marBottom w:val="0"/>
          <w:divBdr>
            <w:top w:val="none" w:sz="0" w:space="0" w:color="auto"/>
            <w:left w:val="none" w:sz="0" w:space="0" w:color="auto"/>
            <w:bottom w:val="none" w:sz="0" w:space="0" w:color="auto"/>
            <w:right w:val="none" w:sz="0" w:space="0" w:color="auto"/>
          </w:divBdr>
          <w:divsChild>
            <w:div w:id="986863363">
              <w:marLeft w:val="0"/>
              <w:marRight w:val="0"/>
              <w:marTop w:val="0"/>
              <w:marBottom w:val="0"/>
              <w:divBdr>
                <w:top w:val="none" w:sz="0" w:space="0" w:color="auto"/>
                <w:left w:val="none" w:sz="0" w:space="0" w:color="auto"/>
                <w:bottom w:val="none" w:sz="0" w:space="0" w:color="auto"/>
                <w:right w:val="none" w:sz="0" w:space="0" w:color="auto"/>
              </w:divBdr>
            </w:div>
          </w:divsChild>
        </w:div>
        <w:div w:id="458574117">
          <w:marLeft w:val="0"/>
          <w:marRight w:val="0"/>
          <w:marTop w:val="0"/>
          <w:marBottom w:val="0"/>
          <w:divBdr>
            <w:top w:val="none" w:sz="0" w:space="0" w:color="auto"/>
            <w:left w:val="none" w:sz="0" w:space="0" w:color="auto"/>
            <w:bottom w:val="none" w:sz="0" w:space="0" w:color="auto"/>
            <w:right w:val="none" w:sz="0" w:space="0" w:color="auto"/>
          </w:divBdr>
          <w:divsChild>
            <w:div w:id="13743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3115">
      <w:bodyDiv w:val="1"/>
      <w:marLeft w:val="0"/>
      <w:marRight w:val="0"/>
      <w:marTop w:val="0"/>
      <w:marBottom w:val="0"/>
      <w:divBdr>
        <w:top w:val="none" w:sz="0" w:space="0" w:color="auto"/>
        <w:left w:val="none" w:sz="0" w:space="0" w:color="auto"/>
        <w:bottom w:val="none" w:sz="0" w:space="0" w:color="auto"/>
        <w:right w:val="none" w:sz="0" w:space="0" w:color="auto"/>
      </w:divBdr>
    </w:div>
    <w:div w:id="1059866366">
      <w:bodyDiv w:val="1"/>
      <w:marLeft w:val="0"/>
      <w:marRight w:val="0"/>
      <w:marTop w:val="0"/>
      <w:marBottom w:val="0"/>
      <w:divBdr>
        <w:top w:val="none" w:sz="0" w:space="0" w:color="auto"/>
        <w:left w:val="none" w:sz="0" w:space="0" w:color="auto"/>
        <w:bottom w:val="none" w:sz="0" w:space="0" w:color="auto"/>
        <w:right w:val="none" w:sz="0" w:space="0" w:color="auto"/>
      </w:divBdr>
      <w:divsChild>
        <w:div w:id="830677372">
          <w:marLeft w:val="0"/>
          <w:marRight w:val="0"/>
          <w:marTop w:val="0"/>
          <w:marBottom w:val="0"/>
          <w:divBdr>
            <w:top w:val="none" w:sz="0" w:space="0" w:color="auto"/>
            <w:left w:val="none" w:sz="0" w:space="0" w:color="auto"/>
            <w:bottom w:val="none" w:sz="0" w:space="0" w:color="auto"/>
            <w:right w:val="none" w:sz="0" w:space="0" w:color="auto"/>
          </w:divBdr>
          <w:divsChild>
            <w:div w:id="700399365">
              <w:marLeft w:val="0"/>
              <w:marRight w:val="0"/>
              <w:marTop w:val="0"/>
              <w:marBottom w:val="0"/>
              <w:divBdr>
                <w:top w:val="none" w:sz="0" w:space="0" w:color="auto"/>
                <w:left w:val="none" w:sz="0" w:space="0" w:color="auto"/>
                <w:bottom w:val="none" w:sz="0" w:space="0" w:color="auto"/>
                <w:right w:val="none" w:sz="0" w:space="0" w:color="auto"/>
              </w:divBdr>
            </w:div>
          </w:divsChild>
        </w:div>
        <w:div w:id="1337882227">
          <w:marLeft w:val="0"/>
          <w:marRight w:val="0"/>
          <w:marTop w:val="0"/>
          <w:marBottom w:val="0"/>
          <w:divBdr>
            <w:top w:val="none" w:sz="0" w:space="0" w:color="auto"/>
            <w:left w:val="none" w:sz="0" w:space="0" w:color="auto"/>
            <w:bottom w:val="none" w:sz="0" w:space="0" w:color="auto"/>
            <w:right w:val="none" w:sz="0" w:space="0" w:color="auto"/>
          </w:divBdr>
          <w:divsChild>
            <w:div w:id="14167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8054">
      <w:bodyDiv w:val="1"/>
      <w:marLeft w:val="0"/>
      <w:marRight w:val="0"/>
      <w:marTop w:val="0"/>
      <w:marBottom w:val="0"/>
      <w:divBdr>
        <w:top w:val="none" w:sz="0" w:space="0" w:color="auto"/>
        <w:left w:val="none" w:sz="0" w:space="0" w:color="auto"/>
        <w:bottom w:val="none" w:sz="0" w:space="0" w:color="auto"/>
        <w:right w:val="none" w:sz="0" w:space="0" w:color="auto"/>
      </w:divBdr>
    </w:div>
    <w:div w:id="1143544511">
      <w:bodyDiv w:val="1"/>
      <w:marLeft w:val="0"/>
      <w:marRight w:val="0"/>
      <w:marTop w:val="0"/>
      <w:marBottom w:val="0"/>
      <w:divBdr>
        <w:top w:val="none" w:sz="0" w:space="0" w:color="auto"/>
        <w:left w:val="none" w:sz="0" w:space="0" w:color="auto"/>
        <w:bottom w:val="none" w:sz="0" w:space="0" w:color="auto"/>
        <w:right w:val="none" w:sz="0" w:space="0" w:color="auto"/>
      </w:divBdr>
      <w:divsChild>
        <w:div w:id="192310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12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780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769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36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1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18403">
      <w:bodyDiv w:val="1"/>
      <w:marLeft w:val="0"/>
      <w:marRight w:val="0"/>
      <w:marTop w:val="0"/>
      <w:marBottom w:val="0"/>
      <w:divBdr>
        <w:top w:val="none" w:sz="0" w:space="0" w:color="auto"/>
        <w:left w:val="none" w:sz="0" w:space="0" w:color="auto"/>
        <w:bottom w:val="none" w:sz="0" w:space="0" w:color="auto"/>
        <w:right w:val="none" w:sz="0" w:space="0" w:color="auto"/>
      </w:divBdr>
      <w:divsChild>
        <w:div w:id="205336788">
          <w:marLeft w:val="0"/>
          <w:marRight w:val="0"/>
          <w:marTop w:val="0"/>
          <w:marBottom w:val="0"/>
          <w:divBdr>
            <w:top w:val="none" w:sz="0" w:space="0" w:color="auto"/>
            <w:left w:val="none" w:sz="0" w:space="0" w:color="auto"/>
            <w:bottom w:val="none" w:sz="0" w:space="0" w:color="auto"/>
            <w:right w:val="none" w:sz="0" w:space="0" w:color="auto"/>
          </w:divBdr>
          <w:divsChild>
            <w:div w:id="4174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4243">
      <w:bodyDiv w:val="1"/>
      <w:marLeft w:val="0"/>
      <w:marRight w:val="0"/>
      <w:marTop w:val="0"/>
      <w:marBottom w:val="0"/>
      <w:divBdr>
        <w:top w:val="none" w:sz="0" w:space="0" w:color="auto"/>
        <w:left w:val="none" w:sz="0" w:space="0" w:color="auto"/>
        <w:bottom w:val="none" w:sz="0" w:space="0" w:color="auto"/>
        <w:right w:val="none" w:sz="0" w:space="0" w:color="auto"/>
      </w:divBdr>
    </w:div>
    <w:div w:id="1347100754">
      <w:bodyDiv w:val="1"/>
      <w:marLeft w:val="0"/>
      <w:marRight w:val="0"/>
      <w:marTop w:val="0"/>
      <w:marBottom w:val="0"/>
      <w:divBdr>
        <w:top w:val="none" w:sz="0" w:space="0" w:color="auto"/>
        <w:left w:val="none" w:sz="0" w:space="0" w:color="auto"/>
        <w:bottom w:val="none" w:sz="0" w:space="0" w:color="auto"/>
        <w:right w:val="none" w:sz="0" w:space="0" w:color="auto"/>
      </w:divBdr>
      <w:divsChild>
        <w:div w:id="1405566514">
          <w:marLeft w:val="0"/>
          <w:marRight w:val="0"/>
          <w:marTop w:val="0"/>
          <w:marBottom w:val="0"/>
          <w:divBdr>
            <w:top w:val="none" w:sz="0" w:space="0" w:color="auto"/>
            <w:left w:val="none" w:sz="0" w:space="0" w:color="auto"/>
            <w:bottom w:val="none" w:sz="0" w:space="0" w:color="auto"/>
            <w:right w:val="none" w:sz="0" w:space="0" w:color="auto"/>
          </w:divBdr>
          <w:divsChild>
            <w:div w:id="1300115695">
              <w:marLeft w:val="0"/>
              <w:marRight w:val="0"/>
              <w:marTop w:val="0"/>
              <w:marBottom w:val="0"/>
              <w:divBdr>
                <w:top w:val="none" w:sz="0" w:space="0" w:color="auto"/>
                <w:left w:val="none" w:sz="0" w:space="0" w:color="auto"/>
                <w:bottom w:val="none" w:sz="0" w:space="0" w:color="auto"/>
                <w:right w:val="none" w:sz="0" w:space="0" w:color="auto"/>
              </w:divBdr>
            </w:div>
          </w:divsChild>
        </w:div>
        <w:div w:id="572740713">
          <w:marLeft w:val="0"/>
          <w:marRight w:val="0"/>
          <w:marTop w:val="0"/>
          <w:marBottom w:val="0"/>
          <w:divBdr>
            <w:top w:val="none" w:sz="0" w:space="0" w:color="auto"/>
            <w:left w:val="none" w:sz="0" w:space="0" w:color="auto"/>
            <w:bottom w:val="none" w:sz="0" w:space="0" w:color="auto"/>
            <w:right w:val="none" w:sz="0" w:space="0" w:color="auto"/>
          </w:divBdr>
          <w:divsChild>
            <w:div w:id="7292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39715">
      <w:bodyDiv w:val="1"/>
      <w:marLeft w:val="0"/>
      <w:marRight w:val="0"/>
      <w:marTop w:val="0"/>
      <w:marBottom w:val="0"/>
      <w:divBdr>
        <w:top w:val="none" w:sz="0" w:space="0" w:color="auto"/>
        <w:left w:val="none" w:sz="0" w:space="0" w:color="auto"/>
        <w:bottom w:val="none" w:sz="0" w:space="0" w:color="auto"/>
        <w:right w:val="none" w:sz="0" w:space="0" w:color="auto"/>
      </w:divBdr>
    </w:div>
    <w:div w:id="1381903720">
      <w:bodyDiv w:val="1"/>
      <w:marLeft w:val="0"/>
      <w:marRight w:val="0"/>
      <w:marTop w:val="0"/>
      <w:marBottom w:val="0"/>
      <w:divBdr>
        <w:top w:val="none" w:sz="0" w:space="0" w:color="auto"/>
        <w:left w:val="none" w:sz="0" w:space="0" w:color="auto"/>
        <w:bottom w:val="none" w:sz="0" w:space="0" w:color="auto"/>
        <w:right w:val="none" w:sz="0" w:space="0" w:color="auto"/>
      </w:divBdr>
      <w:divsChild>
        <w:div w:id="1367826107">
          <w:marLeft w:val="0"/>
          <w:marRight w:val="0"/>
          <w:marTop w:val="0"/>
          <w:marBottom w:val="0"/>
          <w:divBdr>
            <w:top w:val="none" w:sz="0" w:space="0" w:color="auto"/>
            <w:left w:val="none" w:sz="0" w:space="0" w:color="auto"/>
            <w:bottom w:val="none" w:sz="0" w:space="0" w:color="auto"/>
            <w:right w:val="none" w:sz="0" w:space="0" w:color="auto"/>
          </w:divBdr>
          <w:divsChild>
            <w:div w:id="20146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72151">
      <w:bodyDiv w:val="1"/>
      <w:marLeft w:val="0"/>
      <w:marRight w:val="0"/>
      <w:marTop w:val="0"/>
      <w:marBottom w:val="0"/>
      <w:divBdr>
        <w:top w:val="none" w:sz="0" w:space="0" w:color="auto"/>
        <w:left w:val="none" w:sz="0" w:space="0" w:color="auto"/>
        <w:bottom w:val="none" w:sz="0" w:space="0" w:color="auto"/>
        <w:right w:val="none" w:sz="0" w:space="0" w:color="auto"/>
      </w:divBdr>
      <w:divsChild>
        <w:div w:id="144221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83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65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91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054940">
      <w:bodyDiv w:val="1"/>
      <w:marLeft w:val="0"/>
      <w:marRight w:val="0"/>
      <w:marTop w:val="0"/>
      <w:marBottom w:val="0"/>
      <w:divBdr>
        <w:top w:val="none" w:sz="0" w:space="0" w:color="auto"/>
        <w:left w:val="none" w:sz="0" w:space="0" w:color="auto"/>
        <w:bottom w:val="none" w:sz="0" w:space="0" w:color="auto"/>
        <w:right w:val="none" w:sz="0" w:space="0" w:color="auto"/>
      </w:divBdr>
    </w:div>
    <w:div w:id="1700546681">
      <w:bodyDiv w:val="1"/>
      <w:marLeft w:val="0"/>
      <w:marRight w:val="0"/>
      <w:marTop w:val="0"/>
      <w:marBottom w:val="0"/>
      <w:divBdr>
        <w:top w:val="none" w:sz="0" w:space="0" w:color="auto"/>
        <w:left w:val="none" w:sz="0" w:space="0" w:color="auto"/>
        <w:bottom w:val="none" w:sz="0" w:space="0" w:color="auto"/>
        <w:right w:val="none" w:sz="0" w:space="0" w:color="auto"/>
      </w:divBdr>
      <w:divsChild>
        <w:div w:id="1066875014">
          <w:marLeft w:val="0"/>
          <w:marRight w:val="0"/>
          <w:marTop w:val="0"/>
          <w:marBottom w:val="0"/>
          <w:divBdr>
            <w:top w:val="none" w:sz="0" w:space="0" w:color="auto"/>
            <w:left w:val="none" w:sz="0" w:space="0" w:color="auto"/>
            <w:bottom w:val="none" w:sz="0" w:space="0" w:color="auto"/>
            <w:right w:val="none" w:sz="0" w:space="0" w:color="auto"/>
          </w:divBdr>
          <w:divsChild>
            <w:div w:id="1066760492">
              <w:marLeft w:val="0"/>
              <w:marRight w:val="0"/>
              <w:marTop w:val="0"/>
              <w:marBottom w:val="0"/>
              <w:divBdr>
                <w:top w:val="none" w:sz="0" w:space="0" w:color="auto"/>
                <w:left w:val="none" w:sz="0" w:space="0" w:color="auto"/>
                <w:bottom w:val="none" w:sz="0" w:space="0" w:color="auto"/>
                <w:right w:val="none" w:sz="0" w:space="0" w:color="auto"/>
              </w:divBdr>
            </w:div>
          </w:divsChild>
        </w:div>
        <w:div w:id="529802035">
          <w:marLeft w:val="0"/>
          <w:marRight w:val="0"/>
          <w:marTop w:val="0"/>
          <w:marBottom w:val="0"/>
          <w:divBdr>
            <w:top w:val="none" w:sz="0" w:space="0" w:color="auto"/>
            <w:left w:val="none" w:sz="0" w:space="0" w:color="auto"/>
            <w:bottom w:val="none" w:sz="0" w:space="0" w:color="auto"/>
            <w:right w:val="none" w:sz="0" w:space="0" w:color="auto"/>
          </w:divBdr>
          <w:divsChild>
            <w:div w:id="11638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5361">
      <w:bodyDiv w:val="1"/>
      <w:marLeft w:val="0"/>
      <w:marRight w:val="0"/>
      <w:marTop w:val="0"/>
      <w:marBottom w:val="0"/>
      <w:divBdr>
        <w:top w:val="none" w:sz="0" w:space="0" w:color="auto"/>
        <w:left w:val="none" w:sz="0" w:space="0" w:color="auto"/>
        <w:bottom w:val="none" w:sz="0" w:space="0" w:color="auto"/>
        <w:right w:val="none" w:sz="0" w:space="0" w:color="auto"/>
      </w:divBdr>
    </w:div>
    <w:div w:id="1826584368">
      <w:bodyDiv w:val="1"/>
      <w:marLeft w:val="0"/>
      <w:marRight w:val="0"/>
      <w:marTop w:val="0"/>
      <w:marBottom w:val="0"/>
      <w:divBdr>
        <w:top w:val="none" w:sz="0" w:space="0" w:color="auto"/>
        <w:left w:val="none" w:sz="0" w:space="0" w:color="auto"/>
        <w:bottom w:val="none" w:sz="0" w:space="0" w:color="auto"/>
        <w:right w:val="none" w:sz="0" w:space="0" w:color="auto"/>
      </w:divBdr>
      <w:divsChild>
        <w:div w:id="881938487">
          <w:marLeft w:val="0"/>
          <w:marRight w:val="0"/>
          <w:marTop w:val="0"/>
          <w:marBottom w:val="0"/>
          <w:divBdr>
            <w:top w:val="none" w:sz="0" w:space="0" w:color="auto"/>
            <w:left w:val="none" w:sz="0" w:space="0" w:color="auto"/>
            <w:bottom w:val="none" w:sz="0" w:space="0" w:color="auto"/>
            <w:right w:val="none" w:sz="0" w:space="0" w:color="auto"/>
          </w:divBdr>
          <w:divsChild>
            <w:div w:id="2098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9717">
      <w:bodyDiv w:val="1"/>
      <w:marLeft w:val="0"/>
      <w:marRight w:val="0"/>
      <w:marTop w:val="0"/>
      <w:marBottom w:val="0"/>
      <w:divBdr>
        <w:top w:val="none" w:sz="0" w:space="0" w:color="auto"/>
        <w:left w:val="none" w:sz="0" w:space="0" w:color="auto"/>
        <w:bottom w:val="none" w:sz="0" w:space="0" w:color="auto"/>
        <w:right w:val="none" w:sz="0" w:space="0" w:color="auto"/>
      </w:divBdr>
    </w:div>
    <w:div w:id="1882012446">
      <w:bodyDiv w:val="1"/>
      <w:marLeft w:val="0"/>
      <w:marRight w:val="0"/>
      <w:marTop w:val="0"/>
      <w:marBottom w:val="0"/>
      <w:divBdr>
        <w:top w:val="none" w:sz="0" w:space="0" w:color="auto"/>
        <w:left w:val="none" w:sz="0" w:space="0" w:color="auto"/>
        <w:bottom w:val="none" w:sz="0" w:space="0" w:color="auto"/>
        <w:right w:val="none" w:sz="0" w:space="0" w:color="auto"/>
      </w:divBdr>
    </w:div>
    <w:div w:id="1905291118">
      <w:bodyDiv w:val="1"/>
      <w:marLeft w:val="0"/>
      <w:marRight w:val="0"/>
      <w:marTop w:val="0"/>
      <w:marBottom w:val="0"/>
      <w:divBdr>
        <w:top w:val="none" w:sz="0" w:space="0" w:color="auto"/>
        <w:left w:val="none" w:sz="0" w:space="0" w:color="auto"/>
        <w:bottom w:val="none" w:sz="0" w:space="0" w:color="auto"/>
        <w:right w:val="none" w:sz="0" w:space="0" w:color="auto"/>
      </w:divBdr>
      <w:divsChild>
        <w:div w:id="1372336841">
          <w:marLeft w:val="0"/>
          <w:marRight w:val="0"/>
          <w:marTop w:val="0"/>
          <w:marBottom w:val="0"/>
          <w:divBdr>
            <w:top w:val="none" w:sz="0" w:space="0" w:color="auto"/>
            <w:left w:val="none" w:sz="0" w:space="0" w:color="auto"/>
            <w:bottom w:val="none" w:sz="0" w:space="0" w:color="auto"/>
            <w:right w:val="none" w:sz="0" w:space="0" w:color="auto"/>
          </w:divBdr>
          <w:divsChild>
            <w:div w:id="742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3019">
      <w:bodyDiv w:val="1"/>
      <w:marLeft w:val="0"/>
      <w:marRight w:val="0"/>
      <w:marTop w:val="0"/>
      <w:marBottom w:val="0"/>
      <w:divBdr>
        <w:top w:val="none" w:sz="0" w:space="0" w:color="auto"/>
        <w:left w:val="none" w:sz="0" w:space="0" w:color="auto"/>
        <w:bottom w:val="none" w:sz="0" w:space="0" w:color="auto"/>
        <w:right w:val="none" w:sz="0" w:space="0" w:color="auto"/>
      </w:divBdr>
    </w:div>
    <w:div w:id="2050564088">
      <w:bodyDiv w:val="1"/>
      <w:marLeft w:val="0"/>
      <w:marRight w:val="0"/>
      <w:marTop w:val="0"/>
      <w:marBottom w:val="0"/>
      <w:divBdr>
        <w:top w:val="none" w:sz="0" w:space="0" w:color="auto"/>
        <w:left w:val="none" w:sz="0" w:space="0" w:color="auto"/>
        <w:bottom w:val="none" w:sz="0" w:space="0" w:color="auto"/>
        <w:right w:val="none" w:sz="0" w:space="0" w:color="auto"/>
      </w:divBdr>
      <w:divsChild>
        <w:div w:id="941449208">
          <w:marLeft w:val="0"/>
          <w:marRight w:val="0"/>
          <w:marTop w:val="0"/>
          <w:marBottom w:val="0"/>
          <w:divBdr>
            <w:top w:val="none" w:sz="0" w:space="0" w:color="auto"/>
            <w:left w:val="none" w:sz="0" w:space="0" w:color="auto"/>
            <w:bottom w:val="none" w:sz="0" w:space="0" w:color="auto"/>
            <w:right w:val="none" w:sz="0" w:space="0" w:color="auto"/>
          </w:divBdr>
          <w:divsChild>
            <w:div w:id="649406308">
              <w:marLeft w:val="0"/>
              <w:marRight w:val="0"/>
              <w:marTop w:val="0"/>
              <w:marBottom w:val="0"/>
              <w:divBdr>
                <w:top w:val="none" w:sz="0" w:space="0" w:color="auto"/>
                <w:left w:val="none" w:sz="0" w:space="0" w:color="auto"/>
                <w:bottom w:val="none" w:sz="0" w:space="0" w:color="auto"/>
                <w:right w:val="none" w:sz="0" w:space="0" w:color="auto"/>
              </w:divBdr>
              <w:divsChild>
                <w:div w:id="1107845915">
                  <w:marLeft w:val="0"/>
                  <w:marRight w:val="0"/>
                  <w:marTop w:val="0"/>
                  <w:marBottom w:val="0"/>
                  <w:divBdr>
                    <w:top w:val="none" w:sz="0" w:space="0" w:color="auto"/>
                    <w:left w:val="none" w:sz="0" w:space="0" w:color="auto"/>
                    <w:bottom w:val="none" w:sz="0" w:space="0" w:color="auto"/>
                    <w:right w:val="none" w:sz="0" w:space="0" w:color="auto"/>
                  </w:divBdr>
                  <w:divsChild>
                    <w:div w:id="613557496">
                      <w:marLeft w:val="0"/>
                      <w:marRight w:val="0"/>
                      <w:marTop w:val="0"/>
                      <w:marBottom w:val="0"/>
                      <w:divBdr>
                        <w:top w:val="none" w:sz="0" w:space="0" w:color="auto"/>
                        <w:left w:val="none" w:sz="0" w:space="0" w:color="auto"/>
                        <w:bottom w:val="none" w:sz="0" w:space="0" w:color="auto"/>
                        <w:right w:val="none" w:sz="0" w:space="0" w:color="auto"/>
                      </w:divBdr>
                      <w:divsChild>
                        <w:div w:id="1014191384">
                          <w:marLeft w:val="0"/>
                          <w:marRight w:val="0"/>
                          <w:marTop w:val="0"/>
                          <w:marBottom w:val="0"/>
                          <w:divBdr>
                            <w:top w:val="none" w:sz="0" w:space="0" w:color="auto"/>
                            <w:left w:val="none" w:sz="0" w:space="0" w:color="auto"/>
                            <w:bottom w:val="none" w:sz="0" w:space="0" w:color="auto"/>
                            <w:right w:val="none" w:sz="0" w:space="0" w:color="auto"/>
                          </w:divBdr>
                          <w:divsChild>
                            <w:div w:id="389497202">
                              <w:marLeft w:val="0"/>
                              <w:marRight w:val="0"/>
                              <w:marTop w:val="0"/>
                              <w:marBottom w:val="0"/>
                              <w:divBdr>
                                <w:top w:val="none" w:sz="0" w:space="0" w:color="auto"/>
                                <w:left w:val="none" w:sz="0" w:space="0" w:color="auto"/>
                                <w:bottom w:val="none" w:sz="0" w:space="0" w:color="auto"/>
                                <w:right w:val="none" w:sz="0" w:space="0" w:color="auto"/>
                              </w:divBdr>
                              <w:divsChild>
                                <w:div w:id="1335063701">
                                  <w:marLeft w:val="0"/>
                                  <w:marRight w:val="0"/>
                                  <w:marTop w:val="0"/>
                                  <w:marBottom w:val="0"/>
                                  <w:divBdr>
                                    <w:top w:val="none" w:sz="0" w:space="0" w:color="auto"/>
                                    <w:left w:val="none" w:sz="0" w:space="0" w:color="auto"/>
                                    <w:bottom w:val="none" w:sz="0" w:space="0" w:color="auto"/>
                                    <w:right w:val="none" w:sz="0" w:space="0" w:color="auto"/>
                                  </w:divBdr>
                                  <w:divsChild>
                                    <w:div w:id="1835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03457">
          <w:marLeft w:val="0"/>
          <w:marRight w:val="0"/>
          <w:marTop w:val="0"/>
          <w:marBottom w:val="0"/>
          <w:divBdr>
            <w:top w:val="none" w:sz="0" w:space="0" w:color="auto"/>
            <w:left w:val="none" w:sz="0" w:space="0" w:color="auto"/>
            <w:bottom w:val="none" w:sz="0" w:space="0" w:color="auto"/>
            <w:right w:val="none" w:sz="0" w:space="0" w:color="auto"/>
          </w:divBdr>
          <w:divsChild>
            <w:div w:id="1807046612">
              <w:marLeft w:val="0"/>
              <w:marRight w:val="0"/>
              <w:marTop w:val="0"/>
              <w:marBottom w:val="0"/>
              <w:divBdr>
                <w:top w:val="none" w:sz="0" w:space="0" w:color="auto"/>
                <w:left w:val="none" w:sz="0" w:space="0" w:color="auto"/>
                <w:bottom w:val="none" w:sz="0" w:space="0" w:color="auto"/>
                <w:right w:val="none" w:sz="0" w:space="0" w:color="auto"/>
              </w:divBdr>
              <w:divsChild>
                <w:div w:id="474223193">
                  <w:marLeft w:val="0"/>
                  <w:marRight w:val="0"/>
                  <w:marTop w:val="0"/>
                  <w:marBottom w:val="0"/>
                  <w:divBdr>
                    <w:top w:val="none" w:sz="0" w:space="0" w:color="auto"/>
                    <w:left w:val="none" w:sz="0" w:space="0" w:color="auto"/>
                    <w:bottom w:val="none" w:sz="0" w:space="0" w:color="auto"/>
                    <w:right w:val="none" w:sz="0" w:space="0" w:color="auto"/>
                  </w:divBdr>
                  <w:divsChild>
                    <w:div w:id="1944797963">
                      <w:marLeft w:val="0"/>
                      <w:marRight w:val="0"/>
                      <w:marTop w:val="0"/>
                      <w:marBottom w:val="0"/>
                      <w:divBdr>
                        <w:top w:val="none" w:sz="0" w:space="0" w:color="auto"/>
                        <w:left w:val="none" w:sz="0" w:space="0" w:color="auto"/>
                        <w:bottom w:val="none" w:sz="0" w:space="0" w:color="auto"/>
                        <w:right w:val="none" w:sz="0" w:space="0" w:color="auto"/>
                      </w:divBdr>
                      <w:divsChild>
                        <w:div w:id="1767190114">
                          <w:marLeft w:val="0"/>
                          <w:marRight w:val="0"/>
                          <w:marTop w:val="0"/>
                          <w:marBottom w:val="0"/>
                          <w:divBdr>
                            <w:top w:val="none" w:sz="0" w:space="0" w:color="auto"/>
                            <w:left w:val="none" w:sz="0" w:space="0" w:color="auto"/>
                            <w:bottom w:val="none" w:sz="0" w:space="0" w:color="auto"/>
                            <w:right w:val="none" w:sz="0" w:space="0" w:color="auto"/>
                          </w:divBdr>
                          <w:divsChild>
                            <w:div w:id="1427531085">
                              <w:marLeft w:val="0"/>
                              <w:marRight w:val="0"/>
                              <w:marTop w:val="0"/>
                              <w:marBottom w:val="0"/>
                              <w:divBdr>
                                <w:top w:val="none" w:sz="0" w:space="0" w:color="auto"/>
                                <w:left w:val="none" w:sz="0" w:space="0" w:color="auto"/>
                                <w:bottom w:val="none" w:sz="0" w:space="0" w:color="auto"/>
                                <w:right w:val="none" w:sz="0" w:space="0" w:color="auto"/>
                              </w:divBdr>
                              <w:divsChild>
                                <w:div w:id="13625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033400">
          <w:marLeft w:val="0"/>
          <w:marRight w:val="0"/>
          <w:marTop w:val="0"/>
          <w:marBottom w:val="0"/>
          <w:divBdr>
            <w:top w:val="none" w:sz="0" w:space="0" w:color="auto"/>
            <w:left w:val="none" w:sz="0" w:space="0" w:color="auto"/>
            <w:bottom w:val="none" w:sz="0" w:space="0" w:color="auto"/>
            <w:right w:val="none" w:sz="0" w:space="0" w:color="auto"/>
          </w:divBdr>
          <w:divsChild>
            <w:div w:id="1977833008">
              <w:marLeft w:val="0"/>
              <w:marRight w:val="0"/>
              <w:marTop w:val="0"/>
              <w:marBottom w:val="0"/>
              <w:divBdr>
                <w:top w:val="none" w:sz="0" w:space="0" w:color="auto"/>
                <w:left w:val="none" w:sz="0" w:space="0" w:color="auto"/>
                <w:bottom w:val="none" w:sz="0" w:space="0" w:color="auto"/>
                <w:right w:val="none" w:sz="0" w:space="0" w:color="auto"/>
              </w:divBdr>
              <w:divsChild>
                <w:div w:id="1525824042">
                  <w:marLeft w:val="0"/>
                  <w:marRight w:val="0"/>
                  <w:marTop w:val="0"/>
                  <w:marBottom w:val="0"/>
                  <w:divBdr>
                    <w:top w:val="none" w:sz="0" w:space="0" w:color="auto"/>
                    <w:left w:val="none" w:sz="0" w:space="0" w:color="auto"/>
                    <w:bottom w:val="none" w:sz="0" w:space="0" w:color="auto"/>
                    <w:right w:val="none" w:sz="0" w:space="0" w:color="auto"/>
                  </w:divBdr>
                  <w:divsChild>
                    <w:div w:id="617757996">
                      <w:marLeft w:val="0"/>
                      <w:marRight w:val="0"/>
                      <w:marTop w:val="0"/>
                      <w:marBottom w:val="0"/>
                      <w:divBdr>
                        <w:top w:val="none" w:sz="0" w:space="0" w:color="auto"/>
                        <w:left w:val="none" w:sz="0" w:space="0" w:color="auto"/>
                        <w:bottom w:val="none" w:sz="0" w:space="0" w:color="auto"/>
                        <w:right w:val="none" w:sz="0" w:space="0" w:color="auto"/>
                      </w:divBdr>
                      <w:divsChild>
                        <w:div w:id="1362782933">
                          <w:marLeft w:val="0"/>
                          <w:marRight w:val="0"/>
                          <w:marTop w:val="0"/>
                          <w:marBottom w:val="0"/>
                          <w:divBdr>
                            <w:top w:val="none" w:sz="0" w:space="0" w:color="auto"/>
                            <w:left w:val="none" w:sz="0" w:space="0" w:color="auto"/>
                            <w:bottom w:val="none" w:sz="0" w:space="0" w:color="auto"/>
                            <w:right w:val="none" w:sz="0" w:space="0" w:color="auto"/>
                          </w:divBdr>
                          <w:divsChild>
                            <w:div w:id="917134852">
                              <w:marLeft w:val="0"/>
                              <w:marRight w:val="0"/>
                              <w:marTop w:val="0"/>
                              <w:marBottom w:val="0"/>
                              <w:divBdr>
                                <w:top w:val="none" w:sz="0" w:space="0" w:color="auto"/>
                                <w:left w:val="none" w:sz="0" w:space="0" w:color="auto"/>
                                <w:bottom w:val="none" w:sz="0" w:space="0" w:color="auto"/>
                                <w:right w:val="none" w:sz="0" w:space="0" w:color="auto"/>
                              </w:divBdr>
                              <w:divsChild>
                                <w:div w:id="158080514">
                                  <w:marLeft w:val="0"/>
                                  <w:marRight w:val="0"/>
                                  <w:marTop w:val="0"/>
                                  <w:marBottom w:val="0"/>
                                  <w:divBdr>
                                    <w:top w:val="none" w:sz="0" w:space="0" w:color="auto"/>
                                    <w:left w:val="none" w:sz="0" w:space="0" w:color="auto"/>
                                    <w:bottom w:val="none" w:sz="0" w:space="0" w:color="auto"/>
                                    <w:right w:val="none" w:sz="0" w:space="0" w:color="auto"/>
                                  </w:divBdr>
                                  <w:divsChild>
                                    <w:div w:id="377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1573</TotalTime>
  <Pages>29</Pages>
  <Words>4596</Words>
  <Characters>29279</Characters>
  <Application>Microsoft Office Word</Application>
  <DocSecurity>0</DocSecurity>
  <Lines>1009</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Tewari</dc:creator>
  <cp:keywords/>
  <dc:description/>
  <cp:lastModifiedBy>Prashant Tewari</cp:lastModifiedBy>
  <cp:revision>20</cp:revision>
  <dcterms:created xsi:type="dcterms:W3CDTF">2025-10-31T00:07:00Z</dcterms:created>
  <dcterms:modified xsi:type="dcterms:W3CDTF">2025-11-06T15:41:00Z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2025-10-31T01:04:15Z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c1adae11-f6b8-4cc8-a936-ac44c2e31d5d</vt:lpwstr>
  </property>
  <property fmtid="{D5CDD505-2E9C-101B-9397-08002B2CF9AE}" pid="7" name="MSIP_Label_defa4170-0d19-0005-0004-bc88714345d2_ActionId">
    <vt:lpwstr>76c13539-e07d-4f79-8325-0982f8e1bf52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