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33C"/>
          <w:sz w:val="52"/>
        </w:rPr>
        <w:t>Townsend VOTW App V1</w:t>
        <w:br/>
      </w:r>
      <w:r>
        <w:rPr>
          <w:color w:val="505050"/>
          <w:sz w:val="32"/>
        </w:rPr>
        <w:t>Page-by-page wireframe blueprint starter</w:t>
      </w:r>
    </w:p>
    <w:p>
      <w:pPr>
        <w:jc w:val="center"/>
      </w:pPr>
      <w:r>
        <w:rPr>
          <w:color w:val="646464"/>
          <w:sz w:val="22"/>
        </w:rPr>
        <w:t>Prepared for planning and internal reaction</w:t>
        <w:br/>
        <w:t>Based on Townsend View of the World - February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</w:rPr>
              <w:t>What this document is</w:t>
            </w:r>
          </w:p>
        </w:tc>
        <w:tc>
          <w:tcPr>
            <w:tcW w:type="dxa" w:w="5040"/>
            <w:vAlign w:val="center"/>
          </w:tcPr>
          <w:p>
            <w:r>
              <w:t>A starter blueprint showing exactly what to build first, how each page should be laid out, and which visuals should be rebuilt versus embedded.</w:t>
            </w:r>
          </w:p>
        </w:tc>
      </w:tr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</w:rPr>
              <w:t>What it is not</w:t>
            </w:r>
          </w:p>
        </w:tc>
        <w:tc>
          <w:tcPr>
            <w:tcW w:type="dxa" w:w="5040"/>
            <w:vAlign w:val="center"/>
          </w:tcPr>
          <w:p>
            <w:r>
              <w:t>Not a final design file and not code. It is the product/UX spec that should guide the first Streamlit build.</w:t>
            </w:r>
          </w:p>
        </w:tc>
      </w:tr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</w:rPr>
              <w:t>Recommended first build set</w:t>
            </w:r>
          </w:p>
        </w:tc>
        <w:tc>
          <w:tcPr>
            <w:tcW w:type="dxa" w:w="5040"/>
            <w:vAlign w:val="center"/>
          </w:tcPr>
          <w:p>
            <w:r>
              <w:t>Macro, RE Cycle, Capital Market Themes, Global Heat Map, and one detailed sector page such as U.S. Data Centers.</w:t>
            </w:r>
          </w:p>
        </w:tc>
      </w:tr>
    </w:tbl>
    <w:p>
      <w:r>
        <w:br w:type="page"/>
      </w:r>
    </w:p>
    <w:p>
      <w:pPr>
        <w:pStyle w:val="Heading1"/>
      </w:pPr>
      <w:r>
        <w:t>1. Standard Insight Page Template</w:t>
      </w:r>
    </w:p>
    <w:p>
      <w:r>
        <w:t>Use this as the default layout for nearly every VOTW content page. The goal is to separate judgment, evidence, and action so sophisticated investors can move quickly.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A. Page header</w:t>
            </w:r>
          </w:p>
        </w:tc>
        <w:tc>
          <w:tcPr>
            <w:tcW w:type="dxa" w:w="5040"/>
            <w:vAlign w:val="center"/>
          </w:tcPr>
          <w:p>
            <w:r>
              <w:t>Page title; one-line Townsend takeaway; metadata row with edition, region, sector, and source slide references.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B. Summary strip</w:t>
            </w:r>
          </w:p>
        </w:tc>
        <w:tc>
          <w:tcPr>
            <w:tcW w:type="dxa" w:w="5040"/>
            <w:vAlign w:val="center"/>
          </w:tcPr>
          <w:p>
            <w:r>
              <w:t>Three concise cards only: View, Why now, Key risk.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C. Main content zone</w:t>
            </w:r>
          </w:p>
        </w:tc>
        <w:tc>
          <w:tcPr>
            <w:tcW w:type="dxa" w:w="5040"/>
            <w:vAlign w:val="center"/>
          </w:tcPr>
          <w:p>
            <w:r>
              <w:t>Two-column layout. Left 60-65% for charts / tables / heat maps. Right 35-40% for commentary blocks and key bullets.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D. 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implications; Related pages; Source slide reference.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Design rule</w:t>
            </w:r>
          </w:p>
        </w:tc>
        <w:tc>
          <w:tcPr>
            <w:tcW w:type="dxa" w:w="5040"/>
            <w:vAlign w:val="center"/>
          </w:tcPr>
          <w:p>
            <w:r>
              <w:t>Every page should answer: What is the view? Why now? What supports it? What could go wrong? What should the investor do with it?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rule</w:t>
            </w:r>
          </w:p>
        </w:tc>
        <w:tc>
          <w:tcPr>
            <w:tcW w:type="dxa" w:w="5040"/>
            <w:vAlign w:val="center"/>
          </w:tcPr>
          <w:p>
            <w:r>
              <w:t>Rebuild analytical charts natively where possible. Embed only a small number of infographic-style pages where layout itself carries meaning.</w:t>
            </w:r>
          </w:p>
        </w:tc>
      </w:tr>
    </w:tbl>
    <w:p>
      <w:pPr>
        <w:pStyle w:val="Heading1"/>
      </w:pPr>
      <w:r>
        <w:t>2. What to build first</w:t>
      </w:r>
    </w:p>
    <w:p>
      <w:r>
        <w:t>Do not start with all 25+ pages. Start with five pages that define the system, then react to them:</w:t>
      </w:r>
    </w:p>
    <w:p>
      <w:pPr>
        <w:pStyle w:val="ListBullet"/>
      </w:pPr>
      <w:r>
        <w:t>Macro</w:t>
      </w:r>
    </w:p>
    <w:p>
      <w:pPr>
        <w:pStyle w:val="ListBullet"/>
      </w:pPr>
      <w:r>
        <w:t>RE Cycle</w:t>
      </w:r>
    </w:p>
    <w:p>
      <w:pPr>
        <w:pStyle w:val="ListBullet"/>
      </w:pPr>
      <w:r>
        <w:t>Capital Market Themes</w:t>
      </w:r>
    </w:p>
    <w:p>
      <w:pPr>
        <w:pStyle w:val="ListBullet"/>
      </w:pPr>
      <w:r>
        <w:t>RE Global Region / Sector Heat Map</w:t>
      </w:r>
    </w:p>
    <w:p>
      <w:pPr>
        <w:pStyle w:val="ListBullet"/>
      </w:pPr>
      <w:r>
        <w:t>U.S. Data Centers (as the test case for the detailed sector-page template)</w:t>
      </w:r>
    </w:p>
    <w:p>
      <w:pPr>
        <w:pStyle w:val="Heading1"/>
      </w:pPr>
      <w:r>
        <w:t>3. Page spec - Macro</w:t>
      </w:r>
    </w:p>
    <w:p>
      <w:r>
        <w:t>Source slides: VOTW pp.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6E7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040"/>
            <w:shd w:fill="B4C6E7"/>
          </w:tcPr>
          <w:p>
            <w:r>
              <w:rPr>
                <w:b/>
              </w:rPr>
              <w:t>What goes here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Page header</w:t>
            </w:r>
          </w:p>
        </w:tc>
        <w:tc>
          <w:tcPr>
            <w:tcW w:type="dxa" w:w="5040"/>
            <w:vAlign w:val="center"/>
          </w:tcPr>
          <w:p>
            <w:r>
              <w:t>Title: Macro. Takeaway: Lower rates, moderating inflation, and favorable yield spreads support improving real estate conditions. Metadata: Feb 2026 | Global | Source pp. 4-5.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Summary strip</w:t>
            </w:r>
          </w:p>
        </w:tc>
        <w:tc>
          <w:tcPr>
            <w:tcW w:type="dxa" w:w="5040"/>
            <w:vAlign w:val="center"/>
          </w:tcPr>
          <w:p>
            <w:r>
              <w:t>View: Supportive macro backdrop. Why now: Falling borrowing costs and still-positive growth improve valuation support. Key risk: Rate path could stay higher for longer.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left</w:t>
            </w:r>
          </w:p>
        </w:tc>
        <w:tc>
          <w:tcPr>
            <w:tcW w:type="dxa" w:w="5040"/>
            <w:vAlign w:val="center"/>
          </w:tcPr>
          <w:p>
            <w:r>
              <w:t>Rebuild the following as native visuals: GDP forecast chart/table; high-yield / BBB yield chart; 10-year government bond vs average cap rate spread; Pan-European performance vs income/spread chart.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right</w:t>
            </w:r>
          </w:p>
        </w:tc>
        <w:tc>
          <w:tcPr>
            <w:tcW w:type="dxa" w:w="5040"/>
            <w:vAlign w:val="center"/>
          </w:tcPr>
          <w:p>
            <w:r>
              <w:t>Commentary blocks: What we are seeing; Why it matters for real estate; What we are watching. Keep each block short and analytical.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implications: supportive for repricing and selective deployment. Related pages: RE Cycle, Capital Market Themes, Global Heat Map. Source: Townsend VOTW Feb 2026 pp. 4-5.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call</w:t>
            </w:r>
          </w:p>
        </w:tc>
        <w:tc>
          <w:tcPr>
            <w:tcW w:type="dxa" w:w="5040"/>
            <w:vAlign w:val="center"/>
          </w:tcPr>
          <w:p>
            <w:r>
              <w:t>Rebuild, do not embed the full slides as the default view.</w:t>
            </w:r>
          </w:p>
        </w:tc>
      </w:tr>
    </w:tbl>
    <w:p>
      <w:pPr>
        <w:pStyle w:val="Heading1"/>
      </w:pPr>
      <w:r>
        <w:t>4. Page spec - RE Cycle</w:t>
      </w:r>
    </w:p>
    <w:p>
      <w:r>
        <w:t>Source slides: VOTW pp. 6 and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6E7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040"/>
            <w:shd w:fill="B4C6E7"/>
          </w:tcPr>
          <w:p>
            <w:r>
              <w:rPr>
                <w:b/>
              </w:rPr>
              <w:t>What goes here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Page header</w:t>
            </w:r>
          </w:p>
        </w:tc>
        <w:tc>
          <w:tcPr>
            <w:tcW w:type="dxa" w:w="5040"/>
            <w:vAlign w:val="center"/>
          </w:tcPr>
          <w:p>
            <w:r>
              <w:t>Title: RE Cycle. Takeaway: Private real estate appears to be entering the early stages of a new return cycle. Metadata: Feb 2026 | Global | Source pp. 6, 8.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Summary strip</w:t>
            </w:r>
          </w:p>
        </w:tc>
        <w:tc>
          <w:tcPr>
            <w:tcW w:type="dxa" w:w="5040"/>
            <w:vAlign w:val="center"/>
          </w:tcPr>
          <w:p>
            <w:r>
              <w:t>View: Early recovery. Why now: Stabilizing values, improving forward returns, and falling supply support the turn. Key risk: Delayed transaction recovery or weaker demand could slow the cycle.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left</w:t>
            </w:r>
          </w:p>
        </w:tc>
        <w:tc>
          <w:tcPr>
            <w:tcW w:type="dxa" w:w="5040"/>
            <w:vAlign w:val="center"/>
          </w:tcPr>
          <w:p>
            <w:r>
              <w:t>Rebuild: NPI/rate-cut cycle chart; Pan-European price index; 5-year unlevered IRR forecasts; 5-year CAGR forecasts; completions vs prior peak/supply chart.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right</w:t>
            </w:r>
          </w:p>
        </w:tc>
        <w:tc>
          <w:tcPr>
            <w:tcW w:type="dxa" w:w="5040"/>
            <w:vAlign w:val="center"/>
          </w:tcPr>
          <w:p>
            <w:r>
              <w:t>Commentary blocks: What confirms the turn; Which sectors benefit first; What could delay it.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implications: focus on sectors and geographies with improving fundamentals and low new supply. Related pages: Macro, Sector Outlook pages, Global Heat Map. Source pp. 6, 8.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call</w:t>
            </w:r>
          </w:p>
        </w:tc>
        <w:tc>
          <w:tcPr>
            <w:tcW w:type="dxa" w:w="5040"/>
            <w:vAlign w:val="center"/>
          </w:tcPr>
          <w:p>
            <w:r>
              <w:t>Rebuild as a dashboard page, not as two reproduced slides.</w:t>
            </w:r>
          </w:p>
        </w:tc>
      </w:tr>
    </w:tbl>
    <w:p>
      <w:pPr>
        <w:pStyle w:val="Heading1"/>
      </w:pPr>
      <w:r>
        <w:t>5. Page spec - Capital Market Themes</w:t>
      </w:r>
    </w:p>
    <w:p>
      <w:r>
        <w:t>Source slides: VOTW pp. 11-12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6E7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040"/>
            <w:shd w:fill="B4C6E7"/>
          </w:tcPr>
          <w:p>
            <w:r>
              <w:rPr>
                <w:b/>
              </w:rPr>
              <w:t>What goes here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Page header</w:t>
            </w:r>
          </w:p>
        </w:tc>
        <w:tc>
          <w:tcPr>
            <w:tcW w:type="dxa" w:w="5040"/>
            <w:vAlign w:val="center"/>
          </w:tcPr>
          <w:p>
            <w:r>
              <w:t>Title: Capital Market Themes. Takeaway: Capital scarcity and muted transactions create an attractive entry window, especially through secondaries and repriced assets. Metadata: Feb 2026 | Global | Source pp. 11-12.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Summary strip</w:t>
            </w:r>
          </w:p>
        </w:tc>
        <w:tc>
          <w:tcPr>
            <w:tcW w:type="dxa" w:w="5040"/>
            <w:vAlign w:val="center"/>
          </w:tcPr>
          <w:p>
            <w:r>
              <w:t>View: Opportunity-rich dislocation. Why now: Fundraising is weak and liquidity needs are creating better pricing. Key risk: Recovery in capital availability could compress opportunity faster than expected.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left</w:t>
            </w:r>
          </w:p>
        </w:tc>
        <w:tc>
          <w:tcPr>
            <w:tcW w:type="dxa" w:w="5040"/>
            <w:vAlign w:val="center"/>
          </w:tcPr>
          <w:p>
            <w:r>
              <w:t>Use two tabs. Tab 1 rebuilds transaction volume and fundraising charts. Tab 2 rebuilds the execution ladder and representative cap-rate comparison.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right</w:t>
            </w:r>
          </w:p>
        </w:tc>
        <w:tc>
          <w:tcPr>
            <w:tcW w:type="dxa" w:w="5040"/>
            <w:vAlign w:val="center"/>
          </w:tcPr>
          <w:p>
            <w:r>
              <w:t>Commentary blocks: What is broken in the market; Why secondaries are attractive; Where Townsend would be selective.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implications: prioritize the best access routes, not just the best sectors. Related pages: Macro, Global Heat Map, regional market condition pages. Source pp. 11-12.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call</w:t>
            </w:r>
          </w:p>
        </w:tc>
        <w:tc>
          <w:tcPr>
            <w:tcW w:type="dxa" w:w="5040"/>
            <w:vAlign w:val="center"/>
          </w:tcPr>
          <w:p>
            <w:r>
              <w:t>Hybrid. Rebuild the analytical visuals; allow an optional original-slide pop-up for page 12 if useful.</w:t>
            </w:r>
          </w:p>
        </w:tc>
      </w:tr>
    </w:tbl>
    <w:p>
      <w:pPr>
        <w:pStyle w:val="Heading1"/>
      </w:pPr>
      <w:r>
        <w:t>6. Page spec - Global Region / Sector Heat Map</w:t>
      </w:r>
    </w:p>
    <w:p>
      <w:r>
        <w:t>Source slide: VOTW p.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6E7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040"/>
            <w:shd w:fill="B4C6E7"/>
          </w:tcPr>
          <w:p>
            <w:r>
              <w:rPr>
                <w:b/>
              </w:rPr>
              <w:t>What goes here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Page header</w:t>
            </w:r>
          </w:p>
        </w:tc>
        <w:tc>
          <w:tcPr>
            <w:tcW w:type="dxa" w:w="5040"/>
            <w:vAlign w:val="center"/>
          </w:tcPr>
          <w:p>
            <w:r>
              <w:t>Title: RE Global Region / Sector Heat Map. Takeaway: Townsend preference varies sharply by region and sector, and this page should act as the fastest route into the rest of the app. Metadata: Feb 2026 | Global | Source p. 13.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Summary strip</w:t>
            </w:r>
          </w:p>
        </w:tc>
        <w:tc>
          <w:tcPr>
            <w:tcW w:type="dxa" w:w="5040"/>
            <w:vAlign w:val="center"/>
          </w:tcPr>
          <w:p>
            <w:r>
              <w:t>View: Mixed but opportunity-rich. Why now: The cycle has turned unevenly, making relative selection critical. Key risk: Users may misread this as static if no detail drilldown is provided.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left</w:t>
            </w:r>
          </w:p>
        </w:tc>
        <w:tc>
          <w:tcPr>
            <w:tcW w:type="dxa" w:w="5040"/>
            <w:vAlign w:val="center"/>
          </w:tcPr>
          <w:p>
            <w:r>
              <w:t>Rebuild a full interactive matrix with rows for sectors and columns for regions/countries. Add filters for positive / neutral / cautious and for primary vs alternative sectors.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right</w:t>
            </w:r>
          </w:p>
        </w:tc>
        <w:tc>
          <w:tcPr>
            <w:tcW w:type="dxa" w:w="5040"/>
            <w:vAlign w:val="center"/>
          </w:tcPr>
          <w:p>
            <w:r>
              <w:t>Detail panel on click: stance, short rationale, linked region page, linked sector page, and later a link to forecast comparator output.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implications: use this page to move from top-down view to specific markets. Related pages: US, Europe, APAC, sector detail pages. Source p. 13.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call</w:t>
            </w:r>
          </w:p>
        </w:tc>
        <w:tc>
          <w:tcPr>
            <w:tcW w:type="dxa" w:w="5040"/>
            <w:vAlign w:val="center"/>
          </w:tcPr>
          <w:p>
            <w:r>
              <w:t>Rebuild only. This should be a flagship app page, not an embedded image.</w:t>
            </w:r>
          </w:p>
        </w:tc>
      </w:tr>
    </w:tbl>
    <w:p>
      <w:pPr>
        <w:pStyle w:val="Heading1"/>
      </w:pPr>
      <w:r>
        <w:t>7. Page spec - U.S. Data Centers (test sector page)</w:t>
      </w:r>
    </w:p>
    <w:p>
      <w:r>
        <w:t>Source slide: VOTW p.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4C6E7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5040"/>
            <w:shd w:fill="B4C6E7"/>
          </w:tcPr>
          <w:p>
            <w:r>
              <w:rPr>
                <w:b/>
              </w:rPr>
              <w:t>What goes here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Page header</w:t>
            </w:r>
          </w:p>
        </w:tc>
        <w:tc>
          <w:tcPr>
            <w:tcW w:type="dxa" w:w="5040"/>
            <w:vAlign w:val="center"/>
          </w:tcPr>
          <w:p>
            <w:r>
              <w:t>Title: U.S. Data Centers. Takeaway: A conviction theme driven by hyperscaler demand, tight vacancy, and development-led opportunity. Metadata: Feb 2026 | U.S. | Data Centers | Source p. 19.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Summary strip</w:t>
            </w:r>
          </w:p>
        </w:tc>
        <w:tc>
          <w:tcPr>
            <w:tcW w:type="dxa" w:w="5040"/>
            <w:vAlign w:val="center"/>
          </w:tcPr>
          <w:p>
            <w:r>
              <w:t>View: High-conviction overweight. Why now: AI-led demand and preleasing continue to outpace supply. Key risk: Power constraints and development execution remain bottlenecks.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left</w:t>
            </w:r>
          </w:p>
        </w:tc>
        <w:tc>
          <w:tcPr>
            <w:tcW w:type="dxa" w:w="5040"/>
            <w:vAlign w:val="center"/>
          </w:tcPr>
          <w:p>
            <w:r>
              <w:t>Rebuild two visuals: capacity / pipeline by market and vacancy trend or supply-demand imbalance chart.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Main content - right</w:t>
            </w:r>
          </w:p>
        </w:tc>
        <w:tc>
          <w:tcPr>
            <w:tcW w:type="dxa" w:w="5040"/>
            <w:vAlign w:val="center"/>
          </w:tcPr>
          <w:p>
            <w:r>
              <w:t>Commentary blocks: What we are seeing; Why it matters; What we are watching. Keep language tight and investment-focused.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Bottom strip</w:t>
            </w:r>
          </w:p>
        </w:tc>
        <w:tc>
          <w:tcPr>
            <w:tcW w:type="dxa" w:w="5040"/>
            <w:vAlign w:val="center"/>
          </w:tcPr>
          <w:p>
            <w:r>
              <w:t>Investment implications: prefer development-led exposure and selective operating partners. Related pages: U.S. Sector Outlook, RE Investment Themes, Global Heat Map. Source p. 19.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Build call</w:t>
            </w:r>
          </w:p>
        </w:tc>
        <w:tc>
          <w:tcPr>
            <w:tcW w:type="dxa" w:w="5040"/>
            <w:vAlign w:val="center"/>
          </w:tcPr>
          <w:p>
            <w:r>
              <w:t>Rebuild. This page should become the reusable model for most regional sector pages.</w:t>
            </w:r>
          </w:p>
        </w:tc>
      </w:tr>
    </w:tbl>
    <w:p>
      <w:pPr>
        <w:pStyle w:val="Heading1"/>
      </w:pPr>
      <w:r>
        <w:t>8. Immediate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4C6E7"/>
          </w:tcPr>
          <w:p>
            <w:r>
              <w:rPr>
                <w:b/>
              </w:rPr>
              <w:t>This week</w:t>
            </w:r>
          </w:p>
        </w:tc>
        <w:tc>
          <w:tcPr>
            <w:tcW w:type="dxa" w:w="3360"/>
            <w:shd w:fill="B4C6E7"/>
          </w:tcPr>
          <w:p>
            <w:r>
              <w:rPr>
                <w:b/>
              </w:rPr>
              <w:t>What to produce</w:t>
            </w:r>
          </w:p>
        </w:tc>
        <w:tc>
          <w:tcPr>
            <w:tcW w:type="dxa" w:w="3360"/>
            <w:shd w:fill="B4C6E7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Approve the Standard Insight Page template and the five starter page specs in this document.</w:t>
            </w:r>
          </w:p>
        </w:tc>
        <w:tc>
          <w:tcPr>
            <w:tcW w:type="dxa" w:w="3360"/>
            <w:vAlign w:val="center"/>
          </w:tcPr>
          <w:p>
            <w:r>
              <w:t>This locks the page anatomy before coding.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Build only the app shell plus these five pages.</w:t>
            </w:r>
          </w:p>
        </w:tc>
        <w:tc>
          <w:tcPr>
            <w:tcW w:type="dxa" w:w="3360"/>
            <w:vAlign w:val="center"/>
          </w:tcPr>
          <w:p>
            <w:r>
              <w:t>This gives you a reviewable first product instead of an abstract plan.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React to navigation, density, tone, and chart treatment.</w:t>
            </w:r>
          </w:p>
        </w:tc>
        <w:tc>
          <w:tcPr>
            <w:tcW w:type="dxa" w:w="3360"/>
            <w:vAlign w:val="center"/>
          </w:tcPr>
          <w:p>
            <w:r>
              <w:t>Those are the highest-value design decisions at this stage.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Then expand page coverage to U.S. Market Condition and the three regional Sector Outlook pages.</w:t>
            </w:r>
          </w:p>
        </w:tc>
        <w:tc>
          <w:tcPr>
            <w:tcW w:type="dxa" w:w="3360"/>
            <w:vAlign w:val="center"/>
          </w:tcPr>
          <w:p>
            <w:r>
              <w:t>That is the most logical next build layer.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3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3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