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85F"/>
          <w:sz w:val="48"/>
        </w:rPr>
        <w:t>Townsend VOTW App V1</w:t>
      </w:r>
    </w:p>
    <w:p>
      <w:pPr>
        <w:jc w:val="center"/>
      </w:pPr>
      <w:r>
        <w:rPr>
          <w:color w:val="5B7998"/>
          <w:sz w:val="22"/>
        </w:rPr>
        <w:t>Full Wireframe Blueprint and Build Specification</w:t>
        <w:br/>
        <w:t>Based on Townsend View of the World - February 2026</w:t>
      </w:r>
    </w:p>
    <w:tbl>
      <w:tblPr>
        <w:tblW w:type="auto" w:w="0"/>
        <w:jc w:val="center"/>
        <w:tblLayout w:type="fixed"/>
        <w:tblLook w:firstColumn="1" w:firstRow="1" w:lastColumn="0" w:lastRow="0" w:noHBand="0" w:noVBand="1" w:val="04A0"/>
      </w:tblPr>
      <w:tblGrid>
        <w:gridCol w:w="10080"/>
      </w:tblGrid>
      <w:tr>
        <w:tc>
          <w:tcPr>
            <w:tcW w:type="dxa" w:w="9216"/>
            <w:shd w:fill="F4F7FB"/>
            <w:tcMar>
              <w:top w:w="120" w:type="dxa"/>
              <w:start w:w="120" w:type="dxa"/>
              <w:bottom w:w="120" w:type="dxa"/>
              <w:end w:w="120" w:type="dxa"/>
            </w:tcMar>
          </w:tcPr>
          <w:p>
            <w:r>
              <w:rPr>
                <w:b/>
                <w:color w:val="12385F"/>
                <w:sz w:val="21"/>
              </w:rPr>
              <w:t>What this document is</w:t>
            </w:r>
          </w:p>
          <w:p>
            <w:pPr>
              <w:pStyle w:val="ListBullet"/>
            </w:pPr>
            <w:r>
              <w:rPr>
                <w:color w:val="242F3D"/>
                <w:sz w:val="19"/>
              </w:rPr>
              <w:t>A build-ready wireframe blueprint for every V1 app section and page.</w:t>
            </w:r>
          </w:p>
          <w:p>
            <w:pPr>
              <w:pStyle w:val="ListBullet"/>
            </w:pPr>
            <w:r>
              <w:rPr>
                <w:color w:val="242F3D"/>
                <w:sz w:val="19"/>
              </w:rPr>
              <w:t>A unified design spec: page anatomy, interactions, rebuild vs. embed decisions, and page-by-page content treatment.</w:t>
            </w:r>
          </w:p>
          <w:p>
            <w:pPr>
              <w:pStyle w:val="ListBullet"/>
            </w:pPr>
            <w:r>
              <w:rPr>
                <w:color w:val="242F3D"/>
                <w:sz w:val="19"/>
              </w:rPr>
              <w:t>A practical planning document for product, design, and engineering rather than a code specification.</w:t>
            </w:r>
          </w:p>
        </w:tc>
      </w:tr>
    </w:tbl>
    <w:p/>
    <w:tbl>
      <w:tblPr>
        <w:tblW w:type="auto" w:w="0"/>
        <w:jc w:val="center"/>
        <w:tblLayout w:type="fixed"/>
        <w:tblLook w:firstColumn="1" w:firstRow="1" w:lastColumn="0" w:lastRow="0" w:noHBand="0" w:noVBand="1" w:val="04A0"/>
      </w:tblPr>
      <w:tblGrid>
        <w:gridCol w:w="10080"/>
      </w:tblGrid>
      <w:tr>
        <w:tc>
          <w:tcPr>
            <w:tcW w:type="dxa" w:w="9216"/>
            <w:shd w:fill="F4F7FB"/>
            <w:tcMar>
              <w:top w:w="120" w:type="dxa"/>
              <w:start w:w="120" w:type="dxa"/>
              <w:bottom w:w="120" w:type="dxa"/>
              <w:end w:w="120" w:type="dxa"/>
            </w:tcMar>
          </w:tcPr>
          <w:p>
            <w:r>
              <w:rPr>
                <w:b/>
                <w:color w:val="12385F"/>
                <w:sz w:val="21"/>
              </w:rPr>
              <w:t>Recommended V1 design principle</w:t>
            </w:r>
          </w:p>
          <w:p>
            <w:pPr>
              <w:pStyle w:val="ListBullet"/>
            </w:pPr>
            <w:r>
              <w:rPr>
                <w:color w:val="242F3D"/>
                <w:sz w:val="19"/>
              </w:rPr>
              <w:t>Treat the PDF as the editorial source and the app as a reusable component system.</w:t>
            </w:r>
          </w:p>
          <w:p>
            <w:pPr>
              <w:pStyle w:val="ListBullet"/>
            </w:pPr>
            <w:r>
              <w:rPr>
                <w:color w:val="242F3D"/>
                <w:sz w:val="19"/>
              </w:rPr>
              <w:t>Use one institutional page pattern almost everywhere: header, summary strip, evidence left, interpretation right, action strip at bottom.</w:t>
            </w:r>
          </w:p>
          <w:p>
            <w:pPr>
              <w:pStyle w:val="ListBullet"/>
            </w:pPr>
            <w:r>
              <w:rPr>
                <w:color w:val="242F3D"/>
                <w:sz w:val="19"/>
              </w:rPr>
              <w:t>Rebuild analytical charts and tables natively wherever interaction, comparison, or future reuse matters.</w:t>
            </w:r>
          </w:p>
        </w:tc>
      </w:tr>
    </w:tbl>
    <w:p/>
    <w:p>
      <w:r>
        <w:br w:type="page"/>
      </w:r>
    </w:p>
    <w:p>
      <w:pPr>
        <w:spacing w:before="200" w:after="80"/>
      </w:pPr>
      <w:r>
        <w:rPr>
          <w:b/>
          <w:color w:val="12385F"/>
          <w:sz w:val="32"/>
        </w:rPr>
        <w:t>1. Build approach at a glance</w:t>
      </w:r>
    </w:p>
    <w:p>
      <w:pPr>
        <w:pStyle w:val="ListBullet"/>
        <w:spacing w:after="40"/>
      </w:pPr>
      <w:r>
        <w:rPr>
          <w:color w:val="242F3D"/>
          <w:sz w:val="20"/>
        </w:rPr>
        <w:t>Use a single institutional page pattern for nearly all content pages so the product feels like one research platform rather than a collection of slide screenshots.</w:t>
      </w:r>
    </w:p>
    <w:p>
      <w:pPr>
        <w:pStyle w:val="ListBullet"/>
        <w:spacing w:after="40"/>
      </w:pPr>
      <w:r>
        <w:rPr>
          <w:color w:val="242F3D"/>
          <w:sz w:val="20"/>
        </w:rPr>
        <w:t>Define only five reusable layout blocks in V1: landing splash, contents dashboard, standard insight page, stance/theme cards page, and heat map matrix page.</w:t>
      </w:r>
    </w:p>
    <w:p>
      <w:pPr>
        <w:pStyle w:val="ListBullet"/>
        <w:spacing w:after="40"/>
      </w:pPr>
      <w:r>
        <w:rPr>
          <w:color w:val="242F3D"/>
          <w:sz w:val="20"/>
        </w:rPr>
        <w:t>Rebuild almost all analytical visuals from the PDF as native Streamlit/Snowflake components; embed only a few pages where the original layout is the content.</w:t>
      </w:r>
    </w:p>
    <w:p>
      <w:pPr>
        <w:pStyle w:val="ListBullet"/>
        <w:spacing w:after="40"/>
      </w:pPr>
      <w:r>
        <w:rPr>
          <w:color w:val="242F3D"/>
          <w:sz w:val="20"/>
        </w:rPr>
        <w:t>Keep the app architecture shallow and intuitive: Contents -&gt; Section page -&gt; Detail page.</w:t>
      </w:r>
    </w:p>
    <w:p>
      <w:pPr>
        <w:spacing w:before="200" w:after="80"/>
      </w:pPr>
      <w:r>
        <w:rPr>
          <w:b/>
          <w:color w:val="12385F"/>
          <w:sz w:val="32"/>
        </w:rPr>
        <w:t>2. Standard page anatomy</w:t>
      </w:r>
    </w:p>
    <w:p>
      <w:pPr>
        <w:spacing w:after="40"/>
      </w:pPr>
      <w:r>
        <w:rPr>
          <w:color w:val="242F3D"/>
          <w:sz w:val="20"/>
        </w:rPr>
        <w:t>Nearly every content page should use the same anatomy below. This becomes the master template for macro, cycle, capital markets, market conditions, and most sector pages.</w:t>
      </w:r>
    </w:p>
    <w:tbl>
      <w:tblPr>
        <w:tblW w:type="auto" w:w="0"/>
        <w:jc w:val="center"/>
        <w:tblLayout w:type="fixed"/>
        <w:tblLook w:firstColumn="1" w:firstRow="1" w:lastColumn="0" w:lastRow="0" w:noHBand="0" w:noVBand="1" w:val="04A0"/>
      </w:tblPr>
      <w:tblGrid>
        <w:gridCol w:w="10080"/>
      </w:tblGrid>
      <w:tr>
        <w:tc>
          <w:tcPr>
            <w:tcW w:type="dxa" w:w="9216"/>
            <w:shd w:fill="F4F7FB"/>
            <w:tcMar>
              <w:top w:w="120" w:type="dxa"/>
              <w:start w:w="120" w:type="dxa"/>
              <w:bottom w:w="120" w:type="dxa"/>
              <w:end w:w="120" w:type="dxa"/>
            </w:tcMar>
          </w:tcPr>
          <w:p>
            <w:r>
              <w:rPr>
                <w:b/>
                <w:color w:val="12385F"/>
                <w:sz w:val="21"/>
              </w:rPr>
              <w:t>VOTW Standard Insight Page</w:t>
            </w:r>
          </w:p>
          <w:p>
            <w:pPr>
              <w:pStyle w:val="ListBullet"/>
            </w:pPr>
            <w:r>
              <w:rPr>
                <w:color w:val="242F3D"/>
                <w:sz w:val="19"/>
              </w:rPr>
              <w:t>Page header: page title, one-line Townsend takeaway, small metadata row (edition, region, sector, source slide reference).</w:t>
            </w:r>
          </w:p>
          <w:p>
            <w:pPr>
              <w:pStyle w:val="ListBullet"/>
            </w:pPr>
            <w:r>
              <w:rPr>
                <w:color w:val="242F3D"/>
                <w:sz w:val="19"/>
              </w:rPr>
              <w:t>Summary strip: three concise cards only - View, Why now, Key risk.</w:t>
            </w:r>
          </w:p>
          <w:p>
            <w:pPr>
              <w:pStyle w:val="ListBullet"/>
            </w:pPr>
            <w:r>
              <w:rPr>
                <w:color w:val="242F3D"/>
                <w:sz w:val="19"/>
              </w:rPr>
              <w:t>Main content zone: left 60-65% for evidence; right 35-40% for interpretation.</w:t>
            </w:r>
          </w:p>
          <w:p>
            <w:pPr>
              <w:pStyle w:val="ListBullet"/>
            </w:pPr>
            <w:r>
              <w:rPr>
                <w:color w:val="242F3D"/>
                <w:sz w:val="19"/>
              </w:rPr>
              <w:t>Bottom strip: investment implications, related pages, source slide reference.</w:t>
            </w:r>
          </w:p>
        </w:tc>
      </w:tr>
    </w:tbl>
    <w:p/>
    <w:p>
      <w:pPr>
        <w:spacing w:before="200" w:after="80"/>
      </w:pPr>
      <w:r>
        <w:rPr>
          <w:b/>
          <w:color w:val="12385F"/>
          <w:sz w:val="32"/>
        </w:rPr>
        <w:t>3. Rebuild vs. embed rules</w:t>
      </w:r>
    </w:p>
    <w:p>
      <w:pPr>
        <w:pStyle w:val="ListBullet"/>
        <w:spacing w:after="40"/>
      </w:pPr>
      <w:r>
        <w:rPr>
          <w:color w:val="242F3D"/>
          <w:sz w:val="20"/>
        </w:rPr>
        <w:t>Rebuild when the source visual is a standard chart, table, or matrix and would benefit from hover, filtering, comparison, or future edition-over-edition reuse.</w:t>
      </w:r>
    </w:p>
    <w:p>
      <w:pPr>
        <w:pStyle w:val="ListBullet"/>
        <w:spacing w:after="40"/>
      </w:pPr>
      <w:r>
        <w:rPr>
          <w:color w:val="242F3D"/>
          <w:sz w:val="20"/>
        </w:rPr>
        <w:t>Embed when the page is mostly an editorial/information design treatment whose layout itself carries meaning and where interaction adds little value.</w:t>
      </w:r>
    </w:p>
    <w:p>
      <w:pPr>
        <w:pStyle w:val="ListBullet"/>
        <w:spacing w:after="40"/>
      </w:pPr>
      <w:r>
        <w:rPr>
          <w:color w:val="242F3D"/>
          <w:sz w:val="20"/>
        </w:rPr>
        <w:t>Use a hybrid approach when the app should rebuild the primary evidence but preserve a small optional “view original slide” drawer or modal for reference.</w:t>
      </w:r>
    </w:p>
    <w:p>
      <w:pPr>
        <w:spacing w:before="200" w:after="80"/>
      </w:pPr>
      <w:r>
        <w:rPr>
          <w:b/>
          <w:color w:val="12385F"/>
          <w:sz w:val="32"/>
        </w:rPr>
        <w:t>4. Reusable layout blocks for engineering</w:t>
      </w:r>
    </w:p>
    <w:tbl>
      <w:tblPr>
        <w:tblW w:type="auto" w:w="0"/>
        <w:jc w:val="center"/>
        <w:tblLayout w:type="fixed"/>
        <w:tblLook w:firstColumn="1" w:firstRow="1" w:lastColumn="0" w:lastRow="0" w:noHBand="0" w:noVBand="1" w:val="04A0"/>
      </w:tblPr>
      <w:tblGrid>
        <w:gridCol w:w="5040"/>
        <w:gridCol w:w="5040"/>
      </w:tblGrid>
      <w:tr>
        <w:tc>
          <w:tcPr>
            <w:tcW w:type="dxa" w:w="3024"/>
            <w:shd w:fill="12385F"/>
            <w:tcMar>
              <w:top w:w="80" w:type="dxa"/>
              <w:start w:w="110" w:type="dxa"/>
              <w:bottom w:w="80" w:type="dxa"/>
              <w:end w:w="110" w:type="dxa"/>
            </w:tcMar>
            <w:vAlign w:val="center"/>
          </w:tcPr>
          <w:p>
            <w:pPr>
              <w:jc w:val="left"/>
            </w:pPr>
            <w:r>
              <w:rPr>
                <w:b/>
                <w:color w:val="FFFFFF"/>
                <w:sz w:val="19"/>
              </w:rPr>
              <w:t>Layout block</w:t>
            </w:r>
          </w:p>
        </w:tc>
        <w:tc>
          <w:tcPr>
            <w:tcW w:type="dxa" w:w="6048"/>
            <w:shd w:fill="12385F"/>
            <w:tcMar>
              <w:top w:w="80" w:type="dxa"/>
              <w:start w:w="110" w:type="dxa"/>
              <w:bottom w:w="80" w:type="dxa"/>
              <w:end w:w="110" w:type="dxa"/>
            </w:tcMar>
            <w:vAlign w:val="center"/>
          </w:tcPr>
          <w:p>
            <w:pPr>
              <w:jc w:val="left"/>
            </w:pPr>
            <w:r>
              <w:rPr>
                <w:b/>
                <w:color w:val="FFFFFF"/>
                <w:sz w:val="19"/>
              </w:rPr>
              <w:t>Use</w:t>
            </w:r>
          </w:p>
        </w:tc>
      </w:tr>
      <w:tr>
        <w:tc>
          <w:tcPr>
            <w:tcW w:type="dxa" w:w="3024"/>
            <w:shd w:fill="EAF0F7"/>
            <w:tcMar>
              <w:top w:w="80" w:type="dxa"/>
              <w:start w:w="110" w:type="dxa"/>
              <w:bottom w:w="80" w:type="dxa"/>
              <w:end w:w="110" w:type="dxa"/>
            </w:tcMar>
            <w:vAlign w:val="center"/>
          </w:tcPr>
          <w:p>
            <w:pPr>
              <w:jc w:val="left"/>
            </w:pPr>
            <w:r>
              <w:rPr>
                <w:b/>
                <w:color w:val="12385F"/>
                <w:sz w:val="19"/>
              </w:rPr>
              <w:t>LB-1 Landing splash</w:t>
            </w:r>
          </w:p>
        </w:tc>
        <w:tc>
          <w:tcPr>
            <w:tcW w:type="dxa" w:w="6048"/>
            <w:tcMar>
              <w:top w:w="80" w:type="dxa"/>
              <w:start w:w="110" w:type="dxa"/>
              <w:bottom w:w="80" w:type="dxa"/>
              <w:end w:w="110" w:type="dxa"/>
            </w:tcMar>
            <w:vAlign w:val="center"/>
          </w:tcPr>
          <w:p>
            <w:pPr>
              <w:jc w:val="left"/>
            </w:pPr>
            <w:r>
              <w:rPr>
                <w:b w:val="0"/>
                <w:color w:val="000000"/>
                <w:sz w:val="19"/>
              </w:rPr>
              <w:t>Full-screen branded opening state with timed transition to Contents.</w:t>
            </w:r>
          </w:p>
        </w:tc>
      </w:tr>
      <w:tr>
        <w:tc>
          <w:tcPr>
            <w:tcW w:type="dxa" w:w="3024"/>
            <w:shd w:fill="EAF0F7"/>
            <w:tcMar>
              <w:top w:w="80" w:type="dxa"/>
              <w:start w:w="110" w:type="dxa"/>
              <w:bottom w:w="80" w:type="dxa"/>
              <w:end w:w="110" w:type="dxa"/>
            </w:tcMar>
            <w:vAlign w:val="center"/>
          </w:tcPr>
          <w:p>
            <w:pPr>
              <w:jc w:val="left"/>
            </w:pPr>
            <w:r>
              <w:rPr>
                <w:b/>
                <w:color w:val="12385F"/>
                <w:sz w:val="19"/>
              </w:rPr>
              <w:t>LB-2 Contents dashboard</w:t>
            </w:r>
          </w:p>
        </w:tc>
        <w:tc>
          <w:tcPr>
            <w:tcW w:type="dxa" w:w="6048"/>
            <w:tcMar>
              <w:top w:w="80" w:type="dxa"/>
              <w:start w:w="110" w:type="dxa"/>
              <w:bottom w:w="80" w:type="dxa"/>
              <w:end w:w="110" w:type="dxa"/>
            </w:tcMar>
            <w:vAlign w:val="center"/>
          </w:tcPr>
          <w:p>
            <w:pPr>
              <w:jc w:val="left"/>
            </w:pPr>
            <w:r>
              <w:rPr>
                <w:b w:val="0"/>
                <w:color w:val="000000"/>
                <w:sz w:val="19"/>
              </w:rPr>
              <w:t>Grid of large navigation cards with section summaries and subsection counts.</w:t>
            </w:r>
          </w:p>
        </w:tc>
      </w:tr>
      <w:tr>
        <w:tc>
          <w:tcPr>
            <w:tcW w:type="dxa" w:w="3024"/>
            <w:shd w:fill="EAF0F7"/>
            <w:tcMar>
              <w:top w:w="80" w:type="dxa"/>
              <w:start w:w="110" w:type="dxa"/>
              <w:bottom w:w="80" w:type="dxa"/>
              <w:end w:w="110" w:type="dxa"/>
            </w:tcMar>
            <w:vAlign w:val="center"/>
          </w:tcPr>
          <w:p>
            <w:pPr>
              <w:jc w:val="left"/>
            </w:pPr>
            <w:r>
              <w:rPr>
                <w:b/>
                <w:color w:val="12385F"/>
                <w:sz w:val="19"/>
              </w:rPr>
              <w:t>LB-3 Standard insight page</w:t>
            </w:r>
          </w:p>
        </w:tc>
        <w:tc>
          <w:tcPr>
            <w:tcW w:type="dxa" w:w="6048"/>
            <w:tcMar>
              <w:top w:w="80" w:type="dxa"/>
              <w:start w:w="110" w:type="dxa"/>
              <w:bottom w:w="80" w:type="dxa"/>
              <w:end w:w="110" w:type="dxa"/>
            </w:tcMar>
            <w:vAlign w:val="center"/>
          </w:tcPr>
          <w:p>
            <w:pPr>
              <w:jc w:val="left"/>
            </w:pPr>
            <w:r>
              <w:rPr>
                <w:b w:val="0"/>
                <w:color w:val="000000"/>
                <w:sz w:val="19"/>
              </w:rPr>
              <w:t>Header + summary strip + evidence/interpretation two-column layout + bottom action strip.</w:t>
            </w:r>
          </w:p>
        </w:tc>
      </w:tr>
      <w:tr>
        <w:tc>
          <w:tcPr>
            <w:tcW w:type="dxa" w:w="3024"/>
            <w:shd w:fill="EAF0F7"/>
            <w:tcMar>
              <w:top w:w="80" w:type="dxa"/>
              <w:start w:w="110" w:type="dxa"/>
              <w:bottom w:w="80" w:type="dxa"/>
              <w:end w:w="110" w:type="dxa"/>
            </w:tcMar>
            <w:vAlign w:val="center"/>
          </w:tcPr>
          <w:p>
            <w:pPr>
              <w:jc w:val="left"/>
            </w:pPr>
            <w:r>
              <w:rPr>
                <w:b/>
                <w:color w:val="12385F"/>
                <w:sz w:val="19"/>
              </w:rPr>
              <w:t>LB-4 Cards page</w:t>
            </w:r>
          </w:p>
        </w:tc>
        <w:tc>
          <w:tcPr>
            <w:tcW w:type="dxa" w:w="6048"/>
            <w:tcMar>
              <w:top w:w="80" w:type="dxa"/>
              <w:start w:w="110" w:type="dxa"/>
              <w:bottom w:w="80" w:type="dxa"/>
              <w:end w:w="110" w:type="dxa"/>
            </w:tcMar>
            <w:vAlign w:val="center"/>
          </w:tcPr>
          <w:p>
            <w:pPr>
              <w:jc w:val="left"/>
            </w:pPr>
            <w:r>
              <w:rPr>
                <w:b w:val="0"/>
                <w:color w:val="000000"/>
                <w:sz w:val="19"/>
              </w:rPr>
              <w:t>Structured stance/theme cards with optional detail drawer or toggle.</w:t>
            </w:r>
          </w:p>
        </w:tc>
      </w:tr>
      <w:tr>
        <w:tc>
          <w:tcPr>
            <w:tcW w:type="dxa" w:w="3024"/>
            <w:shd w:fill="EAF0F7"/>
            <w:tcMar>
              <w:top w:w="80" w:type="dxa"/>
              <w:start w:w="110" w:type="dxa"/>
              <w:bottom w:w="80" w:type="dxa"/>
              <w:end w:w="110" w:type="dxa"/>
            </w:tcMar>
            <w:vAlign w:val="center"/>
          </w:tcPr>
          <w:p>
            <w:pPr>
              <w:jc w:val="left"/>
            </w:pPr>
            <w:r>
              <w:rPr>
                <w:b/>
                <w:color w:val="12385F"/>
                <w:sz w:val="19"/>
              </w:rPr>
              <w:t>LB-5 Heat map matrix</w:t>
            </w:r>
          </w:p>
        </w:tc>
        <w:tc>
          <w:tcPr>
            <w:tcW w:type="dxa" w:w="6048"/>
            <w:tcMar>
              <w:top w:w="80" w:type="dxa"/>
              <w:start w:w="110" w:type="dxa"/>
              <w:bottom w:w="80" w:type="dxa"/>
              <w:end w:w="110" w:type="dxa"/>
            </w:tcMar>
            <w:vAlign w:val="center"/>
          </w:tcPr>
          <w:p>
            <w:pPr>
              <w:jc w:val="left"/>
            </w:pPr>
            <w:r>
              <w:rPr>
                <w:b w:val="0"/>
                <w:color w:val="000000"/>
                <w:sz w:val="19"/>
              </w:rPr>
              <w:t>Full-width interactive matrix with filters and click-through side panel.</w:t>
            </w:r>
          </w:p>
        </w:tc>
      </w:tr>
    </w:tbl>
    <w:p>
      <w:r>
        <w:br w:type="page"/>
      </w:r>
    </w:p>
    <w:p>
      <w:pPr>
        <w:spacing w:before="200" w:after="80"/>
      </w:pPr>
      <w:r>
        <w:rPr>
          <w:b/>
          <w:color w:val="12385F"/>
          <w:sz w:val="32"/>
        </w:rPr>
        <w:t>5. Page inventory and priorities</w:t>
      </w:r>
    </w:p>
    <w:tbl>
      <w:tblPr>
        <w:tblW w:type="auto" w:w="0"/>
        <w:jc w:val="center"/>
        <w:tblLayout w:type="fixed"/>
        <w:tblLook w:firstColumn="1" w:firstRow="1" w:lastColumn="0" w:lastRow="0" w:noHBand="0" w:noVBand="1" w:val="04A0"/>
      </w:tblPr>
      <w:tblGrid>
        <w:gridCol w:w="3360"/>
        <w:gridCol w:w="3360"/>
        <w:gridCol w:w="3360"/>
      </w:tblGrid>
      <w:tr>
        <w:tc>
          <w:tcPr>
            <w:tcW w:type="dxa" w:w="4608"/>
            <w:shd w:fill="12385F"/>
            <w:tcMar>
              <w:top w:w="80" w:type="dxa"/>
              <w:start w:w="110" w:type="dxa"/>
              <w:bottom w:w="80" w:type="dxa"/>
              <w:end w:w="110" w:type="dxa"/>
            </w:tcMar>
            <w:vAlign w:val="center"/>
          </w:tcPr>
          <w:p>
            <w:pPr>
              <w:jc w:val="left"/>
            </w:pPr>
            <w:r>
              <w:rPr>
                <w:b/>
                <w:color w:val="FFFFFF"/>
                <w:sz w:val="19"/>
              </w:rPr>
              <w:t>App page</w:t>
            </w:r>
          </w:p>
        </w:tc>
        <w:tc>
          <w:tcPr>
            <w:tcW w:type="dxa" w:w="3024"/>
            <w:shd w:fill="12385F"/>
            <w:tcMar>
              <w:top w:w="80" w:type="dxa"/>
              <w:start w:w="110" w:type="dxa"/>
              <w:bottom w:w="80" w:type="dxa"/>
              <w:end w:w="110" w:type="dxa"/>
            </w:tcMar>
            <w:vAlign w:val="center"/>
          </w:tcPr>
          <w:p>
            <w:pPr>
              <w:jc w:val="left"/>
            </w:pPr>
            <w:r>
              <w:rPr>
                <w:b/>
                <w:color w:val="FFFFFF"/>
                <w:sz w:val="19"/>
              </w:rPr>
              <w:t>Source PDF page(s)</w:t>
            </w:r>
          </w:p>
        </w:tc>
        <w:tc>
          <w:tcPr>
            <w:tcW w:type="dxa" w:w="1152"/>
            <w:shd w:fill="12385F"/>
            <w:tcMar>
              <w:top w:w="80" w:type="dxa"/>
              <w:start w:w="110" w:type="dxa"/>
              <w:bottom w:w="80" w:type="dxa"/>
              <w:end w:w="110" w:type="dxa"/>
            </w:tcMar>
            <w:vAlign w:val="center"/>
          </w:tcPr>
          <w:p>
            <w:pPr>
              <w:jc w:val="left"/>
            </w:pPr>
            <w:r>
              <w:rPr>
                <w:b/>
                <w:color w:val="FFFFFF"/>
                <w:sz w:val="19"/>
              </w:rPr>
              <w:t>Priority</w:t>
            </w:r>
          </w:p>
        </w:tc>
      </w:tr>
      <w:tr>
        <w:tc>
          <w:tcPr>
            <w:tcW w:type="dxa" w:w="4608"/>
            <w:tcMar>
              <w:top w:w="80" w:type="dxa"/>
              <w:start w:w="110" w:type="dxa"/>
              <w:bottom w:w="80" w:type="dxa"/>
              <w:end w:w="110" w:type="dxa"/>
            </w:tcMar>
            <w:vAlign w:val="center"/>
          </w:tcPr>
          <w:p>
            <w:pPr>
              <w:jc w:val="left"/>
            </w:pPr>
            <w:r>
              <w:rPr>
                <w:b w:val="0"/>
                <w:color w:val="000000"/>
                <w:sz w:val="19"/>
              </w:rPr>
              <w:t>Landing page</w:t>
            </w:r>
          </w:p>
        </w:tc>
        <w:tc>
          <w:tcPr>
            <w:tcW w:type="dxa" w:w="3024"/>
            <w:tcMar>
              <w:top w:w="80" w:type="dxa"/>
              <w:start w:w="110" w:type="dxa"/>
              <w:bottom w:w="80" w:type="dxa"/>
              <w:end w:w="110" w:type="dxa"/>
            </w:tcMar>
            <w:vAlign w:val="center"/>
          </w:tcPr>
          <w:p>
            <w:pPr>
              <w:jc w:val="left"/>
            </w:pPr>
            <w:r>
              <w:rPr>
                <w:b w:val="0"/>
                <w:color w:val="000000"/>
                <w:sz w:val="19"/>
              </w:rPr>
              <w:t>Cover / p.1</w:t>
            </w:r>
          </w:p>
        </w:tc>
        <w:tc>
          <w:tcPr>
            <w:tcW w:type="dxa" w:w="1152"/>
            <w:tcMar>
              <w:top w:w="80" w:type="dxa"/>
              <w:start w:w="110" w:type="dxa"/>
              <w:bottom w:w="80" w:type="dxa"/>
              <w:end w:w="110" w:type="dxa"/>
            </w:tcMar>
            <w:vAlign w:val="center"/>
          </w:tcPr>
          <w:p>
            <w:pPr>
              <w:jc w:val="center"/>
            </w:pPr>
            <w:r>
              <w:rPr>
                <w:b w:val="0"/>
                <w:color w:val="000000"/>
                <w:sz w:val="19"/>
              </w:rPr>
              <w:t>P1</w:t>
            </w:r>
          </w:p>
        </w:tc>
      </w:tr>
      <w:tr>
        <w:tc>
          <w:tcPr>
            <w:tcW w:type="dxa" w:w="4608"/>
            <w:tcMar>
              <w:top w:w="80" w:type="dxa"/>
              <w:start w:w="110" w:type="dxa"/>
              <w:bottom w:w="80" w:type="dxa"/>
              <w:end w:w="110" w:type="dxa"/>
            </w:tcMar>
            <w:vAlign w:val="center"/>
          </w:tcPr>
          <w:p>
            <w:pPr>
              <w:jc w:val="left"/>
            </w:pPr>
            <w:r>
              <w:rPr>
                <w:b w:val="0"/>
                <w:color w:val="000000"/>
                <w:sz w:val="19"/>
              </w:rPr>
              <w:t>Contents page</w:t>
            </w:r>
          </w:p>
        </w:tc>
        <w:tc>
          <w:tcPr>
            <w:tcW w:type="dxa" w:w="3024"/>
            <w:tcMar>
              <w:top w:w="80" w:type="dxa"/>
              <w:start w:w="110" w:type="dxa"/>
              <w:bottom w:w="80" w:type="dxa"/>
              <w:end w:w="110" w:type="dxa"/>
            </w:tcMar>
            <w:vAlign w:val="center"/>
          </w:tcPr>
          <w:p>
            <w:pPr>
              <w:jc w:val="left"/>
            </w:pPr>
            <w:r>
              <w:rPr>
                <w:b w:val="0"/>
                <w:color w:val="000000"/>
                <w:sz w:val="19"/>
              </w:rPr>
              <w:t>Agenda / p.2 + custom regrouping</w:t>
            </w:r>
          </w:p>
        </w:tc>
        <w:tc>
          <w:tcPr>
            <w:tcW w:type="dxa" w:w="1152"/>
            <w:tcMar>
              <w:top w:w="80" w:type="dxa"/>
              <w:start w:w="110" w:type="dxa"/>
              <w:bottom w:w="80" w:type="dxa"/>
              <w:end w:w="110" w:type="dxa"/>
            </w:tcMar>
            <w:vAlign w:val="center"/>
          </w:tcPr>
          <w:p>
            <w:pPr>
              <w:jc w:val="center"/>
            </w:pPr>
            <w:r>
              <w:rPr>
                <w:b w:val="0"/>
                <w:color w:val="000000"/>
                <w:sz w:val="19"/>
              </w:rPr>
              <w:t>P1</w:t>
            </w:r>
          </w:p>
        </w:tc>
      </w:tr>
      <w:tr>
        <w:tc>
          <w:tcPr>
            <w:tcW w:type="dxa" w:w="4608"/>
            <w:tcMar>
              <w:top w:w="80" w:type="dxa"/>
              <w:start w:w="110" w:type="dxa"/>
              <w:bottom w:w="80" w:type="dxa"/>
              <w:end w:w="110" w:type="dxa"/>
            </w:tcMar>
            <w:vAlign w:val="center"/>
          </w:tcPr>
          <w:p>
            <w:pPr>
              <w:jc w:val="left"/>
            </w:pPr>
            <w:r>
              <w:rPr>
                <w:b w:val="0"/>
                <w:color w:val="000000"/>
                <w:sz w:val="19"/>
              </w:rPr>
              <w:t>Macro</w:t>
            </w:r>
          </w:p>
        </w:tc>
        <w:tc>
          <w:tcPr>
            <w:tcW w:type="dxa" w:w="3024"/>
            <w:tcMar>
              <w:top w:w="80" w:type="dxa"/>
              <w:start w:w="110" w:type="dxa"/>
              <w:bottom w:w="80" w:type="dxa"/>
              <w:end w:w="110" w:type="dxa"/>
            </w:tcMar>
            <w:vAlign w:val="center"/>
          </w:tcPr>
          <w:p>
            <w:pPr>
              <w:jc w:val="left"/>
            </w:pPr>
            <w:r>
              <w:rPr>
                <w:b w:val="0"/>
                <w:color w:val="000000"/>
                <w:sz w:val="19"/>
              </w:rPr>
              <w:t>pp.4-5</w:t>
            </w:r>
          </w:p>
        </w:tc>
        <w:tc>
          <w:tcPr>
            <w:tcW w:type="dxa" w:w="1152"/>
            <w:tcMar>
              <w:top w:w="80" w:type="dxa"/>
              <w:start w:w="110" w:type="dxa"/>
              <w:bottom w:w="80" w:type="dxa"/>
              <w:end w:w="110" w:type="dxa"/>
            </w:tcMar>
            <w:vAlign w:val="center"/>
          </w:tcPr>
          <w:p>
            <w:pPr>
              <w:jc w:val="center"/>
            </w:pPr>
            <w:r>
              <w:rPr>
                <w:b w:val="0"/>
                <w:color w:val="000000"/>
                <w:sz w:val="19"/>
              </w:rPr>
              <w:t>P1</w:t>
            </w:r>
          </w:p>
        </w:tc>
      </w:tr>
      <w:tr>
        <w:tc>
          <w:tcPr>
            <w:tcW w:type="dxa" w:w="4608"/>
            <w:tcMar>
              <w:top w:w="80" w:type="dxa"/>
              <w:start w:w="110" w:type="dxa"/>
              <w:bottom w:w="80" w:type="dxa"/>
              <w:end w:w="110" w:type="dxa"/>
            </w:tcMar>
            <w:vAlign w:val="center"/>
          </w:tcPr>
          <w:p>
            <w:pPr>
              <w:jc w:val="left"/>
            </w:pPr>
            <w:r>
              <w:rPr>
                <w:b w:val="0"/>
                <w:color w:val="000000"/>
                <w:sz w:val="19"/>
              </w:rPr>
              <w:t>RE Cycle</w:t>
            </w:r>
          </w:p>
        </w:tc>
        <w:tc>
          <w:tcPr>
            <w:tcW w:type="dxa" w:w="3024"/>
            <w:tcMar>
              <w:top w:w="80" w:type="dxa"/>
              <w:start w:w="110" w:type="dxa"/>
              <w:bottom w:w="80" w:type="dxa"/>
              <w:end w:w="110" w:type="dxa"/>
            </w:tcMar>
            <w:vAlign w:val="center"/>
          </w:tcPr>
          <w:p>
            <w:pPr>
              <w:jc w:val="left"/>
            </w:pPr>
            <w:r>
              <w:rPr>
                <w:b w:val="0"/>
                <w:color w:val="000000"/>
                <w:sz w:val="19"/>
              </w:rPr>
              <w:t>pp.6 &amp; 8</w:t>
            </w:r>
          </w:p>
        </w:tc>
        <w:tc>
          <w:tcPr>
            <w:tcW w:type="dxa" w:w="1152"/>
            <w:tcMar>
              <w:top w:w="80" w:type="dxa"/>
              <w:start w:w="110" w:type="dxa"/>
              <w:bottom w:w="80" w:type="dxa"/>
              <w:end w:w="110" w:type="dxa"/>
            </w:tcMar>
            <w:vAlign w:val="center"/>
          </w:tcPr>
          <w:p>
            <w:pPr>
              <w:jc w:val="center"/>
            </w:pPr>
            <w:r>
              <w:rPr>
                <w:b w:val="0"/>
                <w:color w:val="000000"/>
                <w:sz w:val="19"/>
              </w:rPr>
              <w:t>P1</w:t>
            </w:r>
          </w:p>
        </w:tc>
      </w:tr>
      <w:tr>
        <w:tc>
          <w:tcPr>
            <w:tcW w:type="dxa" w:w="4608"/>
            <w:tcMar>
              <w:top w:w="80" w:type="dxa"/>
              <w:start w:w="110" w:type="dxa"/>
              <w:bottom w:w="80" w:type="dxa"/>
              <w:end w:w="110" w:type="dxa"/>
            </w:tcMar>
            <w:vAlign w:val="center"/>
          </w:tcPr>
          <w:p>
            <w:pPr>
              <w:jc w:val="left"/>
            </w:pPr>
            <w:r>
              <w:rPr>
                <w:b w:val="0"/>
                <w:color w:val="000000"/>
                <w:sz w:val="19"/>
              </w:rPr>
              <w:t>RE Investment Themes</w:t>
            </w:r>
          </w:p>
        </w:tc>
        <w:tc>
          <w:tcPr>
            <w:tcW w:type="dxa" w:w="3024"/>
            <w:tcMar>
              <w:top w:w="80" w:type="dxa"/>
              <w:start w:w="110" w:type="dxa"/>
              <w:bottom w:w="80" w:type="dxa"/>
              <w:end w:w="110" w:type="dxa"/>
            </w:tcMar>
            <w:vAlign w:val="center"/>
          </w:tcPr>
          <w:p>
            <w:pPr>
              <w:jc w:val="left"/>
            </w:pPr>
            <w:r>
              <w:rPr>
                <w:b w:val="0"/>
                <w:color w:val="000000"/>
                <w:sz w:val="19"/>
              </w:rPr>
              <w:t>p.9</w:t>
            </w:r>
          </w:p>
        </w:tc>
        <w:tc>
          <w:tcPr>
            <w:tcW w:type="dxa" w:w="1152"/>
            <w:tcMar>
              <w:top w:w="80" w:type="dxa"/>
              <w:start w:w="110" w:type="dxa"/>
              <w:bottom w:w="80" w:type="dxa"/>
              <w:end w:w="110" w:type="dxa"/>
            </w:tcMar>
            <w:vAlign w:val="center"/>
          </w:tcPr>
          <w:p>
            <w:pPr>
              <w:jc w:val="center"/>
            </w:pPr>
            <w:r>
              <w:rPr>
                <w:b w:val="0"/>
                <w:color w:val="000000"/>
                <w:sz w:val="19"/>
              </w:rPr>
              <w:t>P1</w:t>
            </w:r>
          </w:p>
        </w:tc>
      </w:tr>
      <w:tr>
        <w:tc>
          <w:tcPr>
            <w:tcW w:type="dxa" w:w="4608"/>
            <w:tcMar>
              <w:top w:w="80" w:type="dxa"/>
              <w:start w:w="110" w:type="dxa"/>
              <w:bottom w:w="80" w:type="dxa"/>
              <w:end w:w="110" w:type="dxa"/>
            </w:tcMar>
            <w:vAlign w:val="center"/>
          </w:tcPr>
          <w:p>
            <w:pPr>
              <w:jc w:val="left"/>
            </w:pPr>
            <w:r>
              <w:rPr>
                <w:b w:val="0"/>
                <w:color w:val="000000"/>
                <w:sz w:val="19"/>
              </w:rPr>
              <w:t>Capital Market Themes</w:t>
            </w:r>
          </w:p>
        </w:tc>
        <w:tc>
          <w:tcPr>
            <w:tcW w:type="dxa" w:w="3024"/>
            <w:tcMar>
              <w:top w:w="80" w:type="dxa"/>
              <w:start w:w="110" w:type="dxa"/>
              <w:bottom w:w="80" w:type="dxa"/>
              <w:end w:w="110" w:type="dxa"/>
            </w:tcMar>
            <w:vAlign w:val="center"/>
          </w:tcPr>
          <w:p>
            <w:pPr>
              <w:jc w:val="left"/>
            </w:pPr>
            <w:r>
              <w:rPr>
                <w:b w:val="0"/>
                <w:color w:val="000000"/>
                <w:sz w:val="19"/>
              </w:rPr>
              <w:t>pp.11-12</w:t>
            </w:r>
          </w:p>
        </w:tc>
        <w:tc>
          <w:tcPr>
            <w:tcW w:type="dxa" w:w="1152"/>
            <w:tcMar>
              <w:top w:w="80" w:type="dxa"/>
              <w:start w:w="110" w:type="dxa"/>
              <w:bottom w:w="80" w:type="dxa"/>
              <w:end w:w="110" w:type="dxa"/>
            </w:tcMar>
            <w:vAlign w:val="center"/>
          </w:tcPr>
          <w:p>
            <w:pPr>
              <w:jc w:val="center"/>
            </w:pPr>
            <w:r>
              <w:rPr>
                <w:b w:val="0"/>
                <w:color w:val="000000"/>
                <w:sz w:val="19"/>
              </w:rPr>
              <w:t>P1</w:t>
            </w:r>
          </w:p>
        </w:tc>
      </w:tr>
      <w:tr>
        <w:tc>
          <w:tcPr>
            <w:tcW w:type="dxa" w:w="4608"/>
            <w:tcMar>
              <w:top w:w="80" w:type="dxa"/>
              <w:start w:w="110" w:type="dxa"/>
              <w:bottom w:w="80" w:type="dxa"/>
              <w:end w:w="110" w:type="dxa"/>
            </w:tcMar>
            <w:vAlign w:val="center"/>
          </w:tcPr>
          <w:p>
            <w:pPr>
              <w:jc w:val="left"/>
            </w:pPr>
            <w:r>
              <w:rPr>
                <w:b w:val="0"/>
                <w:color w:val="000000"/>
                <w:sz w:val="19"/>
              </w:rPr>
              <w:t>RE Global Region/Sector Heat Map</w:t>
            </w:r>
          </w:p>
        </w:tc>
        <w:tc>
          <w:tcPr>
            <w:tcW w:type="dxa" w:w="3024"/>
            <w:tcMar>
              <w:top w:w="80" w:type="dxa"/>
              <w:start w:w="110" w:type="dxa"/>
              <w:bottom w:w="80" w:type="dxa"/>
              <w:end w:w="110" w:type="dxa"/>
            </w:tcMar>
            <w:vAlign w:val="center"/>
          </w:tcPr>
          <w:p>
            <w:pPr>
              <w:jc w:val="left"/>
            </w:pPr>
            <w:r>
              <w:rPr>
                <w:b w:val="0"/>
                <w:color w:val="000000"/>
                <w:sz w:val="19"/>
              </w:rPr>
              <w:t>p.13</w:t>
            </w:r>
          </w:p>
        </w:tc>
        <w:tc>
          <w:tcPr>
            <w:tcW w:type="dxa" w:w="1152"/>
            <w:tcMar>
              <w:top w:w="80" w:type="dxa"/>
              <w:start w:w="110" w:type="dxa"/>
              <w:bottom w:w="80" w:type="dxa"/>
              <w:end w:w="110" w:type="dxa"/>
            </w:tcMar>
            <w:vAlign w:val="center"/>
          </w:tcPr>
          <w:p>
            <w:pPr>
              <w:jc w:val="center"/>
            </w:pPr>
            <w:r>
              <w:rPr>
                <w:b w:val="0"/>
                <w:color w:val="000000"/>
                <w:sz w:val="19"/>
              </w:rPr>
              <w:t>P1</w:t>
            </w:r>
          </w:p>
        </w:tc>
      </w:tr>
      <w:tr>
        <w:tc>
          <w:tcPr>
            <w:tcW w:type="dxa" w:w="4608"/>
            <w:tcMar>
              <w:top w:w="80" w:type="dxa"/>
              <w:start w:w="110" w:type="dxa"/>
              <w:bottom w:w="80" w:type="dxa"/>
              <w:end w:w="110" w:type="dxa"/>
            </w:tcMar>
            <w:vAlign w:val="center"/>
          </w:tcPr>
          <w:p>
            <w:pPr>
              <w:jc w:val="left"/>
            </w:pPr>
            <w:r>
              <w:rPr>
                <w:b w:val="0"/>
                <w:color w:val="000000"/>
                <w:sz w:val="19"/>
              </w:rPr>
              <w:t>U.S. Market Condition</w:t>
            </w:r>
          </w:p>
        </w:tc>
        <w:tc>
          <w:tcPr>
            <w:tcW w:type="dxa" w:w="3024"/>
            <w:tcMar>
              <w:top w:w="80" w:type="dxa"/>
              <w:start w:w="110" w:type="dxa"/>
              <w:bottom w:w="80" w:type="dxa"/>
              <w:end w:w="110" w:type="dxa"/>
            </w:tcMar>
            <w:vAlign w:val="center"/>
          </w:tcPr>
          <w:p>
            <w:pPr>
              <w:jc w:val="left"/>
            </w:pPr>
            <w:r>
              <w:rPr>
                <w:b w:val="0"/>
                <w:color w:val="000000"/>
                <w:sz w:val="19"/>
              </w:rPr>
              <w:t>p.15</w:t>
            </w:r>
          </w:p>
        </w:tc>
        <w:tc>
          <w:tcPr>
            <w:tcW w:type="dxa" w:w="1152"/>
            <w:tcMar>
              <w:top w:w="80" w:type="dxa"/>
              <w:start w:w="110" w:type="dxa"/>
              <w:bottom w:w="80" w:type="dxa"/>
              <w:end w:w="110" w:type="dxa"/>
            </w:tcMar>
            <w:vAlign w:val="center"/>
          </w:tcPr>
          <w:p>
            <w:pPr>
              <w:jc w:val="center"/>
            </w:pPr>
            <w:r>
              <w:rPr>
                <w:b w:val="0"/>
                <w:color w:val="000000"/>
                <w:sz w:val="19"/>
              </w:rPr>
              <w:t>P1</w:t>
            </w:r>
          </w:p>
        </w:tc>
      </w:tr>
      <w:tr>
        <w:tc>
          <w:tcPr>
            <w:tcW w:type="dxa" w:w="4608"/>
            <w:tcMar>
              <w:top w:w="80" w:type="dxa"/>
              <w:start w:w="110" w:type="dxa"/>
              <w:bottom w:w="80" w:type="dxa"/>
              <w:end w:w="110" w:type="dxa"/>
            </w:tcMar>
            <w:vAlign w:val="center"/>
          </w:tcPr>
          <w:p>
            <w:pPr>
              <w:jc w:val="left"/>
            </w:pPr>
            <w:r>
              <w:rPr>
                <w:b w:val="0"/>
                <w:color w:val="000000"/>
                <w:sz w:val="19"/>
              </w:rPr>
              <w:t>U.S. Sector Outlook</w:t>
            </w:r>
          </w:p>
        </w:tc>
        <w:tc>
          <w:tcPr>
            <w:tcW w:type="dxa" w:w="3024"/>
            <w:tcMar>
              <w:top w:w="80" w:type="dxa"/>
              <w:start w:w="110" w:type="dxa"/>
              <w:bottom w:w="80" w:type="dxa"/>
              <w:end w:w="110" w:type="dxa"/>
            </w:tcMar>
            <w:vAlign w:val="center"/>
          </w:tcPr>
          <w:p>
            <w:pPr>
              <w:jc w:val="left"/>
            </w:pPr>
            <w:r>
              <w:rPr>
                <w:b w:val="0"/>
                <w:color w:val="000000"/>
                <w:sz w:val="19"/>
              </w:rPr>
              <w:t>pp.16-17</w:t>
            </w:r>
          </w:p>
        </w:tc>
        <w:tc>
          <w:tcPr>
            <w:tcW w:type="dxa" w:w="1152"/>
            <w:tcMar>
              <w:top w:w="80" w:type="dxa"/>
              <w:start w:w="110" w:type="dxa"/>
              <w:bottom w:w="80" w:type="dxa"/>
              <w:end w:w="110" w:type="dxa"/>
            </w:tcMar>
            <w:vAlign w:val="center"/>
          </w:tcPr>
          <w:p>
            <w:pPr>
              <w:jc w:val="center"/>
            </w:pPr>
            <w:r>
              <w:rPr>
                <w:b w:val="0"/>
                <w:color w:val="000000"/>
                <w:sz w:val="19"/>
              </w:rPr>
              <w:t>P1</w:t>
            </w:r>
          </w:p>
        </w:tc>
      </w:tr>
      <w:tr>
        <w:tc>
          <w:tcPr>
            <w:tcW w:type="dxa" w:w="4608"/>
            <w:tcMar>
              <w:top w:w="80" w:type="dxa"/>
              <w:start w:w="110" w:type="dxa"/>
              <w:bottom w:w="80" w:type="dxa"/>
              <w:end w:w="110" w:type="dxa"/>
            </w:tcMar>
            <w:vAlign w:val="center"/>
          </w:tcPr>
          <w:p>
            <w:pPr>
              <w:jc w:val="left"/>
            </w:pPr>
            <w:r>
              <w:rPr>
                <w:b w:val="0"/>
                <w:color w:val="000000"/>
                <w:sz w:val="19"/>
              </w:rPr>
              <w:t>U.S. Industrial</w:t>
            </w:r>
          </w:p>
        </w:tc>
        <w:tc>
          <w:tcPr>
            <w:tcW w:type="dxa" w:w="3024"/>
            <w:tcMar>
              <w:top w:w="80" w:type="dxa"/>
              <w:start w:w="110" w:type="dxa"/>
              <w:bottom w:w="80" w:type="dxa"/>
              <w:end w:w="110" w:type="dxa"/>
            </w:tcMar>
            <w:vAlign w:val="center"/>
          </w:tcPr>
          <w:p>
            <w:pPr>
              <w:jc w:val="left"/>
            </w:pPr>
            <w:r>
              <w:rPr>
                <w:b w:val="0"/>
                <w:color w:val="000000"/>
                <w:sz w:val="19"/>
              </w:rPr>
              <w:t>p.18</w:t>
            </w:r>
          </w:p>
        </w:tc>
        <w:tc>
          <w:tcPr>
            <w:tcW w:type="dxa" w:w="1152"/>
            <w:tcMar>
              <w:top w:w="80" w:type="dxa"/>
              <w:start w:w="110" w:type="dxa"/>
              <w:bottom w:w="80" w:type="dxa"/>
              <w:end w:w="110" w:type="dxa"/>
            </w:tcMar>
            <w:vAlign w:val="center"/>
          </w:tcPr>
          <w:p>
            <w:pPr>
              <w:jc w:val="center"/>
            </w:pPr>
            <w:r>
              <w:rPr>
                <w:b w:val="0"/>
                <w:color w:val="000000"/>
                <w:sz w:val="19"/>
              </w:rPr>
              <w:t>P2</w:t>
            </w:r>
          </w:p>
        </w:tc>
      </w:tr>
      <w:tr>
        <w:tc>
          <w:tcPr>
            <w:tcW w:type="dxa" w:w="4608"/>
            <w:tcMar>
              <w:top w:w="80" w:type="dxa"/>
              <w:start w:w="110" w:type="dxa"/>
              <w:bottom w:w="80" w:type="dxa"/>
              <w:end w:w="110" w:type="dxa"/>
            </w:tcMar>
            <w:vAlign w:val="center"/>
          </w:tcPr>
          <w:p>
            <w:pPr>
              <w:jc w:val="left"/>
            </w:pPr>
            <w:r>
              <w:rPr>
                <w:b w:val="0"/>
                <w:color w:val="000000"/>
                <w:sz w:val="19"/>
              </w:rPr>
              <w:t>U.S. Data Centers</w:t>
            </w:r>
          </w:p>
        </w:tc>
        <w:tc>
          <w:tcPr>
            <w:tcW w:type="dxa" w:w="3024"/>
            <w:tcMar>
              <w:top w:w="80" w:type="dxa"/>
              <w:start w:w="110" w:type="dxa"/>
              <w:bottom w:w="80" w:type="dxa"/>
              <w:end w:w="110" w:type="dxa"/>
            </w:tcMar>
            <w:vAlign w:val="center"/>
          </w:tcPr>
          <w:p>
            <w:pPr>
              <w:jc w:val="left"/>
            </w:pPr>
            <w:r>
              <w:rPr>
                <w:b w:val="0"/>
                <w:color w:val="000000"/>
                <w:sz w:val="19"/>
              </w:rPr>
              <w:t>p.19</w:t>
            </w:r>
          </w:p>
        </w:tc>
        <w:tc>
          <w:tcPr>
            <w:tcW w:type="dxa" w:w="1152"/>
            <w:tcMar>
              <w:top w:w="80" w:type="dxa"/>
              <w:start w:w="110" w:type="dxa"/>
              <w:bottom w:w="80" w:type="dxa"/>
              <w:end w:w="110" w:type="dxa"/>
            </w:tcMar>
            <w:vAlign w:val="center"/>
          </w:tcPr>
          <w:p>
            <w:pPr>
              <w:jc w:val="center"/>
            </w:pPr>
            <w:r>
              <w:rPr>
                <w:b w:val="0"/>
                <w:color w:val="000000"/>
                <w:sz w:val="19"/>
              </w:rPr>
              <w:t>P1</w:t>
            </w:r>
          </w:p>
        </w:tc>
      </w:tr>
      <w:tr>
        <w:tc>
          <w:tcPr>
            <w:tcW w:type="dxa" w:w="4608"/>
            <w:tcMar>
              <w:top w:w="80" w:type="dxa"/>
              <w:start w:w="110" w:type="dxa"/>
              <w:bottom w:w="80" w:type="dxa"/>
              <w:end w:w="110" w:type="dxa"/>
            </w:tcMar>
            <w:vAlign w:val="center"/>
          </w:tcPr>
          <w:p>
            <w:pPr>
              <w:jc w:val="left"/>
            </w:pPr>
            <w:r>
              <w:rPr>
                <w:b w:val="0"/>
                <w:color w:val="000000"/>
                <w:sz w:val="19"/>
              </w:rPr>
              <w:t>U.S. Senior Housing</w:t>
            </w:r>
          </w:p>
        </w:tc>
        <w:tc>
          <w:tcPr>
            <w:tcW w:type="dxa" w:w="3024"/>
            <w:tcMar>
              <w:top w:w="80" w:type="dxa"/>
              <w:start w:w="110" w:type="dxa"/>
              <w:bottom w:w="80" w:type="dxa"/>
              <w:end w:w="110" w:type="dxa"/>
            </w:tcMar>
            <w:vAlign w:val="center"/>
          </w:tcPr>
          <w:p>
            <w:pPr>
              <w:jc w:val="left"/>
            </w:pPr>
            <w:r>
              <w:rPr>
                <w:b w:val="0"/>
                <w:color w:val="000000"/>
                <w:sz w:val="19"/>
              </w:rPr>
              <w:t>p.20</w:t>
            </w:r>
          </w:p>
        </w:tc>
        <w:tc>
          <w:tcPr>
            <w:tcW w:type="dxa" w:w="1152"/>
            <w:tcMar>
              <w:top w:w="80" w:type="dxa"/>
              <w:start w:w="110" w:type="dxa"/>
              <w:bottom w:w="80" w:type="dxa"/>
              <w:end w:w="110" w:type="dxa"/>
            </w:tcMar>
            <w:vAlign w:val="center"/>
          </w:tcPr>
          <w:p>
            <w:pPr>
              <w:jc w:val="center"/>
            </w:pPr>
            <w:r>
              <w:rPr>
                <w:b w:val="0"/>
                <w:color w:val="000000"/>
                <w:sz w:val="19"/>
              </w:rPr>
              <w:t>P2</w:t>
            </w:r>
          </w:p>
        </w:tc>
      </w:tr>
      <w:tr>
        <w:tc>
          <w:tcPr>
            <w:tcW w:type="dxa" w:w="4608"/>
            <w:tcMar>
              <w:top w:w="80" w:type="dxa"/>
              <w:start w:w="110" w:type="dxa"/>
              <w:bottom w:w="80" w:type="dxa"/>
              <w:end w:w="110" w:type="dxa"/>
            </w:tcMar>
            <w:vAlign w:val="center"/>
          </w:tcPr>
          <w:p>
            <w:pPr>
              <w:jc w:val="left"/>
            </w:pPr>
            <w:r>
              <w:rPr>
                <w:b w:val="0"/>
                <w:color w:val="000000"/>
                <w:sz w:val="19"/>
              </w:rPr>
              <w:t>U.S. Triple Net</w:t>
            </w:r>
          </w:p>
        </w:tc>
        <w:tc>
          <w:tcPr>
            <w:tcW w:type="dxa" w:w="3024"/>
            <w:tcMar>
              <w:top w:w="80" w:type="dxa"/>
              <w:start w:w="110" w:type="dxa"/>
              <w:bottom w:w="80" w:type="dxa"/>
              <w:end w:w="110" w:type="dxa"/>
            </w:tcMar>
            <w:vAlign w:val="center"/>
          </w:tcPr>
          <w:p>
            <w:pPr>
              <w:jc w:val="left"/>
            </w:pPr>
            <w:r>
              <w:rPr>
                <w:b w:val="0"/>
                <w:color w:val="000000"/>
                <w:sz w:val="19"/>
              </w:rPr>
              <w:t>p.21</w:t>
            </w:r>
          </w:p>
        </w:tc>
        <w:tc>
          <w:tcPr>
            <w:tcW w:type="dxa" w:w="1152"/>
            <w:tcMar>
              <w:top w:w="80" w:type="dxa"/>
              <w:start w:w="110" w:type="dxa"/>
              <w:bottom w:w="80" w:type="dxa"/>
              <w:end w:w="110" w:type="dxa"/>
            </w:tcMar>
            <w:vAlign w:val="center"/>
          </w:tcPr>
          <w:p>
            <w:pPr>
              <w:jc w:val="center"/>
            </w:pPr>
            <w:r>
              <w:rPr>
                <w:b w:val="0"/>
                <w:color w:val="000000"/>
                <w:sz w:val="19"/>
              </w:rPr>
              <w:t>P2</w:t>
            </w:r>
          </w:p>
        </w:tc>
      </w:tr>
      <w:tr>
        <w:tc>
          <w:tcPr>
            <w:tcW w:type="dxa" w:w="4608"/>
            <w:tcMar>
              <w:top w:w="80" w:type="dxa"/>
              <w:start w:w="110" w:type="dxa"/>
              <w:bottom w:w="80" w:type="dxa"/>
              <w:end w:w="110" w:type="dxa"/>
            </w:tcMar>
            <w:vAlign w:val="center"/>
          </w:tcPr>
          <w:p>
            <w:pPr>
              <w:jc w:val="left"/>
            </w:pPr>
            <w:r>
              <w:rPr>
                <w:b w:val="0"/>
                <w:color w:val="000000"/>
                <w:sz w:val="19"/>
              </w:rPr>
              <w:t>U.S. Retail</w:t>
            </w:r>
          </w:p>
        </w:tc>
        <w:tc>
          <w:tcPr>
            <w:tcW w:type="dxa" w:w="3024"/>
            <w:tcMar>
              <w:top w:w="80" w:type="dxa"/>
              <w:start w:w="110" w:type="dxa"/>
              <w:bottom w:w="80" w:type="dxa"/>
              <w:end w:w="110" w:type="dxa"/>
            </w:tcMar>
            <w:vAlign w:val="center"/>
          </w:tcPr>
          <w:p>
            <w:pPr>
              <w:jc w:val="left"/>
            </w:pPr>
            <w:r>
              <w:rPr>
                <w:b w:val="0"/>
                <w:color w:val="000000"/>
                <w:sz w:val="19"/>
              </w:rPr>
              <w:t>p.22</w:t>
            </w:r>
          </w:p>
        </w:tc>
        <w:tc>
          <w:tcPr>
            <w:tcW w:type="dxa" w:w="1152"/>
            <w:tcMar>
              <w:top w:w="80" w:type="dxa"/>
              <w:start w:w="110" w:type="dxa"/>
              <w:bottom w:w="80" w:type="dxa"/>
              <w:end w:w="110" w:type="dxa"/>
            </w:tcMar>
            <w:vAlign w:val="center"/>
          </w:tcPr>
          <w:p>
            <w:pPr>
              <w:jc w:val="center"/>
            </w:pPr>
            <w:r>
              <w:rPr>
                <w:b w:val="0"/>
                <w:color w:val="000000"/>
                <w:sz w:val="19"/>
              </w:rPr>
              <w:t>P2</w:t>
            </w:r>
          </w:p>
        </w:tc>
      </w:tr>
      <w:tr>
        <w:tc>
          <w:tcPr>
            <w:tcW w:type="dxa" w:w="4608"/>
            <w:tcMar>
              <w:top w:w="80" w:type="dxa"/>
              <w:start w:w="110" w:type="dxa"/>
              <w:bottom w:w="80" w:type="dxa"/>
              <w:end w:w="110" w:type="dxa"/>
            </w:tcMar>
            <w:vAlign w:val="center"/>
          </w:tcPr>
          <w:p>
            <w:pPr>
              <w:jc w:val="left"/>
            </w:pPr>
            <w:r>
              <w:rPr>
                <w:b w:val="0"/>
                <w:color w:val="000000"/>
                <w:sz w:val="19"/>
              </w:rPr>
              <w:t>U.S. Office</w:t>
            </w:r>
          </w:p>
        </w:tc>
        <w:tc>
          <w:tcPr>
            <w:tcW w:type="dxa" w:w="3024"/>
            <w:tcMar>
              <w:top w:w="80" w:type="dxa"/>
              <w:start w:w="110" w:type="dxa"/>
              <w:bottom w:w="80" w:type="dxa"/>
              <w:end w:w="110" w:type="dxa"/>
            </w:tcMar>
            <w:vAlign w:val="center"/>
          </w:tcPr>
          <w:p>
            <w:pPr>
              <w:jc w:val="left"/>
            </w:pPr>
            <w:r>
              <w:rPr>
                <w:b w:val="0"/>
                <w:color w:val="000000"/>
                <w:sz w:val="19"/>
              </w:rPr>
              <w:t>p.23</w:t>
            </w:r>
          </w:p>
        </w:tc>
        <w:tc>
          <w:tcPr>
            <w:tcW w:type="dxa" w:w="1152"/>
            <w:tcMar>
              <w:top w:w="80" w:type="dxa"/>
              <w:start w:w="110" w:type="dxa"/>
              <w:bottom w:w="80" w:type="dxa"/>
              <w:end w:w="110" w:type="dxa"/>
            </w:tcMar>
            <w:vAlign w:val="center"/>
          </w:tcPr>
          <w:p>
            <w:pPr>
              <w:jc w:val="center"/>
            </w:pPr>
            <w:r>
              <w:rPr>
                <w:b w:val="0"/>
                <w:color w:val="000000"/>
                <w:sz w:val="19"/>
              </w:rPr>
              <w:t>P2</w:t>
            </w:r>
          </w:p>
        </w:tc>
      </w:tr>
      <w:tr>
        <w:tc>
          <w:tcPr>
            <w:tcW w:type="dxa" w:w="4608"/>
            <w:tcMar>
              <w:top w:w="80" w:type="dxa"/>
              <w:start w:w="110" w:type="dxa"/>
              <w:bottom w:w="80" w:type="dxa"/>
              <w:end w:w="110" w:type="dxa"/>
            </w:tcMar>
            <w:vAlign w:val="center"/>
          </w:tcPr>
          <w:p>
            <w:pPr>
              <w:jc w:val="left"/>
            </w:pPr>
            <w:r>
              <w:rPr>
                <w:b w:val="0"/>
                <w:color w:val="000000"/>
                <w:sz w:val="19"/>
              </w:rPr>
              <w:t>U.S. Cold Storage</w:t>
            </w:r>
          </w:p>
        </w:tc>
        <w:tc>
          <w:tcPr>
            <w:tcW w:type="dxa" w:w="3024"/>
            <w:tcMar>
              <w:top w:w="80" w:type="dxa"/>
              <w:start w:w="110" w:type="dxa"/>
              <w:bottom w:w="80" w:type="dxa"/>
              <w:end w:w="110" w:type="dxa"/>
            </w:tcMar>
            <w:vAlign w:val="center"/>
          </w:tcPr>
          <w:p>
            <w:pPr>
              <w:jc w:val="left"/>
            </w:pPr>
            <w:r>
              <w:rPr>
                <w:b w:val="0"/>
                <w:color w:val="000000"/>
                <w:sz w:val="19"/>
              </w:rPr>
              <w:t>p.24</w:t>
            </w:r>
          </w:p>
        </w:tc>
        <w:tc>
          <w:tcPr>
            <w:tcW w:type="dxa" w:w="1152"/>
            <w:tcMar>
              <w:top w:w="80" w:type="dxa"/>
              <w:start w:w="110" w:type="dxa"/>
              <w:bottom w:w="80" w:type="dxa"/>
              <w:end w:w="110" w:type="dxa"/>
            </w:tcMar>
            <w:vAlign w:val="center"/>
          </w:tcPr>
          <w:p>
            <w:pPr>
              <w:jc w:val="center"/>
            </w:pPr>
            <w:r>
              <w:rPr>
                <w:b w:val="0"/>
                <w:color w:val="000000"/>
                <w:sz w:val="19"/>
              </w:rPr>
              <w:t>P3</w:t>
            </w:r>
          </w:p>
        </w:tc>
      </w:tr>
      <w:tr>
        <w:tc>
          <w:tcPr>
            <w:tcW w:type="dxa" w:w="4608"/>
            <w:tcMar>
              <w:top w:w="80" w:type="dxa"/>
              <w:start w:w="110" w:type="dxa"/>
              <w:bottom w:w="80" w:type="dxa"/>
              <w:end w:w="110" w:type="dxa"/>
            </w:tcMar>
            <w:vAlign w:val="center"/>
          </w:tcPr>
          <w:p>
            <w:pPr>
              <w:jc w:val="left"/>
            </w:pPr>
            <w:r>
              <w:rPr>
                <w:b w:val="0"/>
                <w:color w:val="000000"/>
                <w:sz w:val="19"/>
              </w:rPr>
              <w:t>U.S. Residential</w:t>
            </w:r>
          </w:p>
        </w:tc>
        <w:tc>
          <w:tcPr>
            <w:tcW w:type="dxa" w:w="3024"/>
            <w:tcMar>
              <w:top w:w="80" w:type="dxa"/>
              <w:start w:w="110" w:type="dxa"/>
              <w:bottom w:w="80" w:type="dxa"/>
              <w:end w:w="110" w:type="dxa"/>
            </w:tcMar>
            <w:vAlign w:val="center"/>
          </w:tcPr>
          <w:p>
            <w:pPr>
              <w:jc w:val="left"/>
            </w:pPr>
            <w:r>
              <w:rPr>
                <w:b w:val="0"/>
                <w:color w:val="000000"/>
                <w:sz w:val="19"/>
              </w:rPr>
              <w:t>p.25</w:t>
            </w:r>
          </w:p>
        </w:tc>
        <w:tc>
          <w:tcPr>
            <w:tcW w:type="dxa" w:w="1152"/>
            <w:tcMar>
              <w:top w:w="80" w:type="dxa"/>
              <w:start w:w="110" w:type="dxa"/>
              <w:bottom w:w="80" w:type="dxa"/>
              <w:end w:w="110" w:type="dxa"/>
            </w:tcMar>
            <w:vAlign w:val="center"/>
          </w:tcPr>
          <w:p>
            <w:pPr>
              <w:jc w:val="center"/>
            </w:pPr>
            <w:r>
              <w:rPr>
                <w:b w:val="0"/>
                <w:color w:val="000000"/>
                <w:sz w:val="19"/>
              </w:rPr>
              <w:t>P2</w:t>
            </w:r>
          </w:p>
        </w:tc>
      </w:tr>
      <w:tr>
        <w:tc>
          <w:tcPr>
            <w:tcW w:type="dxa" w:w="4608"/>
            <w:tcMar>
              <w:top w:w="80" w:type="dxa"/>
              <w:start w:w="110" w:type="dxa"/>
              <w:bottom w:w="80" w:type="dxa"/>
              <w:end w:w="110" w:type="dxa"/>
            </w:tcMar>
            <w:vAlign w:val="center"/>
          </w:tcPr>
          <w:p>
            <w:pPr>
              <w:jc w:val="left"/>
            </w:pPr>
            <w:r>
              <w:rPr>
                <w:b w:val="0"/>
                <w:color w:val="000000"/>
                <w:sz w:val="19"/>
              </w:rPr>
              <w:t>U.S. SFR / political risk</w:t>
            </w:r>
          </w:p>
        </w:tc>
        <w:tc>
          <w:tcPr>
            <w:tcW w:type="dxa" w:w="3024"/>
            <w:tcMar>
              <w:top w:w="80" w:type="dxa"/>
              <w:start w:w="110" w:type="dxa"/>
              <w:bottom w:w="80" w:type="dxa"/>
              <w:end w:w="110" w:type="dxa"/>
            </w:tcMar>
            <w:vAlign w:val="center"/>
          </w:tcPr>
          <w:p>
            <w:pPr>
              <w:jc w:val="left"/>
            </w:pPr>
            <w:r>
              <w:rPr>
                <w:b w:val="0"/>
                <w:color w:val="000000"/>
                <w:sz w:val="19"/>
              </w:rPr>
              <w:t>p.26</w:t>
            </w:r>
          </w:p>
        </w:tc>
        <w:tc>
          <w:tcPr>
            <w:tcW w:type="dxa" w:w="1152"/>
            <w:tcMar>
              <w:top w:w="80" w:type="dxa"/>
              <w:start w:w="110" w:type="dxa"/>
              <w:bottom w:w="80" w:type="dxa"/>
              <w:end w:w="110" w:type="dxa"/>
            </w:tcMar>
            <w:vAlign w:val="center"/>
          </w:tcPr>
          <w:p>
            <w:pPr>
              <w:jc w:val="center"/>
            </w:pPr>
            <w:r>
              <w:rPr>
                <w:b w:val="0"/>
                <w:color w:val="000000"/>
                <w:sz w:val="19"/>
              </w:rPr>
              <w:t>P3</w:t>
            </w:r>
          </w:p>
        </w:tc>
      </w:tr>
      <w:tr>
        <w:tc>
          <w:tcPr>
            <w:tcW w:type="dxa" w:w="4608"/>
            <w:tcMar>
              <w:top w:w="80" w:type="dxa"/>
              <w:start w:w="110" w:type="dxa"/>
              <w:bottom w:w="80" w:type="dxa"/>
              <w:end w:w="110" w:type="dxa"/>
            </w:tcMar>
            <w:vAlign w:val="center"/>
          </w:tcPr>
          <w:p>
            <w:pPr>
              <w:jc w:val="left"/>
            </w:pPr>
            <w:r>
              <w:rPr>
                <w:b w:val="0"/>
                <w:color w:val="000000"/>
                <w:sz w:val="19"/>
              </w:rPr>
              <w:t>Europe Market Condition</w:t>
            </w:r>
          </w:p>
        </w:tc>
        <w:tc>
          <w:tcPr>
            <w:tcW w:type="dxa" w:w="3024"/>
            <w:tcMar>
              <w:top w:w="80" w:type="dxa"/>
              <w:start w:w="110" w:type="dxa"/>
              <w:bottom w:w="80" w:type="dxa"/>
              <w:end w:w="110" w:type="dxa"/>
            </w:tcMar>
            <w:vAlign w:val="center"/>
          </w:tcPr>
          <w:p>
            <w:pPr>
              <w:jc w:val="left"/>
            </w:pPr>
            <w:r>
              <w:rPr>
                <w:b w:val="0"/>
                <w:color w:val="000000"/>
                <w:sz w:val="19"/>
              </w:rPr>
              <w:t>pp.28-29</w:t>
            </w:r>
          </w:p>
        </w:tc>
        <w:tc>
          <w:tcPr>
            <w:tcW w:type="dxa" w:w="1152"/>
            <w:tcMar>
              <w:top w:w="80" w:type="dxa"/>
              <w:start w:w="110" w:type="dxa"/>
              <w:bottom w:w="80" w:type="dxa"/>
              <w:end w:w="110" w:type="dxa"/>
            </w:tcMar>
            <w:vAlign w:val="center"/>
          </w:tcPr>
          <w:p>
            <w:pPr>
              <w:jc w:val="center"/>
            </w:pPr>
            <w:r>
              <w:rPr>
                <w:b w:val="0"/>
                <w:color w:val="000000"/>
                <w:sz w:val="19"/>
              </w:rPr>
              <w:t>P1</w:t>
            </w:r>
          </w:p>
        </w:tc>
      </w:tr>
      <w:tr>
        <w:tc>
          <w:tcPr>
            <w:tcW w:type="dxa" w:w="4608"/>
            <w:tcMar>
              <w:top w:w="80" w:type="dxa"/>
              <w:start w:w="110" w:type="dxa"/>
              <w:bottom w:w="80" w:type="dxa"/>
              <w:end w:w="110" w:type="dxa"/>
            </w:tcMar>
            <w:vAlign w:val="center"/>
          </w:tcPr>
          <w:p>
            <w:pPr>
              <w:jc w:val="left"/>
            </w:pPr>
            <w:r>
              <w:rPr>
                <w:b w:val="0"/>
                <w:color w:val="000000"/>
                <w:sz w:val="19"/>
              </w:rPr>
              <w:t>Europe Sector Outlook</w:t>
            </w:r>
          </w:p>
        </w:tc>
        <w:tc>
          <w:tcPr>
            <w:tcW w:type="dxa" w:w="3024"/>
            <w:tcMar>
              <w:top w:w="80" w:type="dxa"/>
              <w:start w:w="110" w:type="dxa"/>
              <w:bottom w:w="80" w:type="dxa"/>
              <w:end w:w="110" w:type="dxa"/>
            </w:tcMar>
            <w:vAlign w:val="center"/>
          </w:tcPr>
          <w:p>
            <w:pPr>
              <w:jc w:val="left"/>
            </w:pPr>
            <w:r>
              <w:rPr>
                <w:b w:val="0"/>
                <w:color w:val="000000"/>
                <w:sz w:val="19"/>
              </w:rPr>
              <w:t>pp.30-31</w:t>
            </w:r>
          </w:p>
        </w:tc>
        <w:tc>
          <w:tcPr>
            <w:tcW w:type="dxa" w:w="1152"/>
            <w:tcMar>
              <w:top w:w="80" w:type="dxa"/>
              <w:start w:w="110" w:type="dxa"/>
              <w:bottom w:w="80" w:type="dxa"/>
              <w:end w:w="110" w:type="dxa"/>
            </w:tcMar>
            <w:vAlign w:val="center"/>
          </w:tcPr>
          <w:p>
            <w:pPr>
              <w:jc w:val="center"/>
            </w:pPr>
            <w:r>
              <w:rPr>
                <w:b w:val="0"/>
                <w:color w:val="000000"/>
                <w:sz w:val="19"/>
              </w:rPr>
              <w:t>P1</w:t>
            </w:r>
          </w:p>
        </w:tc>
      </w:tr>
      <w:tr>
        <w:tc>
          <w:tcPr>
            <w:tcW w:type="dxa" w:w="4608"/>
            <w:tcMar>
              <w:top w:w="80" w:type="dxa"/>
              <w:start w:w="110" w:type="dxa"/>
              <w:bottom w:w="80" w:type="dxa"/>
              <w:end w:w="110" w:type="dxa"/>
            </w:tcMar>
            <w:vAlign w:val="center"/>
          </w:tcPr>
          <w:p>
            <w:pPr>
              <w:jc w:val="left"/>
            </w:pPr>
            <w:r>
              <w:rPr>
                <w:b w:val="0"/>
                <w:color w:val="000000"/>
                <w:sz w:val="19"/>
              </w:rPr>
              <w:t>Europe Residential</w:t>
            </w:r>
          </w:p>
        </w:tc>
        <w:tc>
          <w:tcPr>
            <w:tcW w:type="dxa" w:w="3024"/>
            <w:tcMar>
              <w:top w:w="80" w:type="dxa"/>
              <w:start w:w="110" w:type="dxa"/>
              <w:bottom w:w="80" w:type="dxa"/>
              <w:end w:w="110" w:type="dxa"/>
            </w:tcMar>
            <w:vAlign w:val="center"/>
          </w:tcPr>
          <w:p>
            <w:pPr>
              <w:jc w:val="left"/>
            </w:pPr>
            <w:r>
              <w:rPr>
                <w:b w:val="0"/>
                <w:color w:val="000000"/>
                <w:sz w:val="19"/>
              </w:rPr>
              <w:t>p.32</w:t>
            </w:r>
          </w:p>
        </w:tc>
        <w:tc>
          <w:tcPr>
            <w:tcW w:type="dxa" w:w="1152"/>
            <w:tcMar>
              <w:top w:w="80" w:type="dxa"/>
              <w:start w:w="110" w:type="dxa"/>
              <w:bottom w:w="80" w:type="dxa"/>
              <w:end w:w="110" w:type="dxa"/>
            </w:tcMar>
            <w:vAlign w:val="center"/>
          </w:tcPr>
          <w:p>
            <w:pPr>
              <w:jc w:val="center"/>
            </w:pPr>
            <w:r>
              <w:rPr>
                <w:b w:val="0"/>
                <w:color w:val="000000"/>
                <w:sz w:val="19"/>
              </w:rPr>
              <w:t>P2</w:t>
            </w:r>
          </w:p>
        </w:tc>
      </w:tr>
      <w:tr>
        <w:tc>
          <w:tcPr>
            <w:tcW w:type="dxa" w:w="4608"/>
            <w:tcMar>
              <w:top w:w="80" w:type="dxa"/>
              <w:start w:w="110" w:type="dxa"/>
              <w:bottom w:w="80" w:type="dxa"/>
              <w:end w:w="110" w:type="dxa"/>
            </w:tcMar>
            <w:vAlign w:val="center"/>
          </w:tcPr>
          <w:p>
            <w:pPr>
              <w:jc w:val="left"/>
            </w:pPr>
            <w:r>
              <w:rPr>
                <w:b w:val="0"/>
                <w:color w:val="000000"/>
                <w:sz w:val="19"/>
              </w:rPr>
              <w:t>Europe Industrial</w:t>
            </w:r>
          </w:p>
        </w:tc>
        <w:tc>
          <w:tcPr>
            <w:tcW w:type="dxa" w:w="3024"/>
            <w:tcMar>
              <w:top w:w="80" w:type="dxa"/>
              <w:start w:w="110" w:type="dxa"/>
              <w:bottom w:w="80" w:type="dxa"/>
              <w:end w:w="110" w:type="dxa"/>
            </w:tcMar>
            <w:vAlign w:val="center"/>
          </w:tcPr>
          <w:p>
            <w:pPr>
              <w:jc w:val="left"/>
            </w:pPr>
            <w:r>
              <w:rPr>
                <w:b w:val="0"/>
                <w:color w:val="000000"/>
                <w:sz w:val="19"/>
              </w:rPr>
              <w:t>p.33</w:t>
            </w:r>
          </w:p>
        </w:tc>
        <w:tc>
          <w:tcPr>
            <w:tcW w:type="dxa" w:w="1152"/>
            <w:tcMar>
              <w:top w:w="80" w:type="dxa"/>
              <w:start w:w="110" w:type="dxa"/>
              <w:bottom w:w="80" w:type="dxa"/>
              <w:end w:w="110" w:type="dxa"/>
            </w:tcMar>
            <w:vAlign w:val="center"/>
          </w:tcPr>
          <w:p>
            <w:pPr>
              <w:jc w:val="center"/>
            </w:pPr>
            <w:r>
              <w:rPr>
                <w:b w:val="0"/>
                <w:color w:val="000000"/>
                <w:sz w:val="19"/>
              </w:rPr>
              <w:t>P2</w:t>
            </w:r>
          </w:p>
        </w:tc>
      </w:tr>
      <w:tr>
        <w:tc>
          <w:tcPr>
            <w:tcW w:type="dxa" w:w="4608"/>
            <w:tcMar>
              <w:top w:w="80" w:type="dxa"/>
              <w:start w:w="110" w:type="dxa"/>
              <w:bottom w:w="80" w:type="dxa"/>
              <w:end w:w="110" w:type="dxa"/>
            </w:tcMar>
            <w:vAlign w:val="center"/>
          </w:tcPr>
          <w:p>
            <w:pPr>
              <w:jc w:val="left"/>
            </w:pPr>
            <w:r>
              <w:rPr>
                <w:b w:val="0"/>
                <w:color w:val="000000"/>
                <w:sz w:val="19"/>
              </w:rPr>
              <w:t>Europe Data Centers</w:t>
            </w:r>
          </w:p>
        </w:tc>
        <w:tc>
          <w:tcPr>
            <w:tcW w:type="dxa" w:w="3024"/>
            <w:tcMar>
              <w:top w:w="80" w:type="dxa"/>
              <w:start w:w="110" w:type="dxa"/>
              <w:bottom w:w="80" w:type="dxa"/>
              <w:end w:w="110" w:type="dxa"/>
            </w:tcMar>
            <w:vAlign w:val="center"/>
          </w:tcPr>
          <w:p>
            <w:pPr>
              <w:jc w:val="left"/>
            </w:pPr>
            <w:r>
              <w:rPr>
                <w:b w:val="0"/>
                <w:color w:val="000000"/>
                <w:sz w:val="19"/>
              </w:rPr>
              <w:t>p.34</w:t>
            </w:r>
          </w:p>
        </w:tc>
        <w:tc>
          <w:tcPr>
            <w:tcW w:type="dxa" w:w="1152"/>
            <w:tcMar>
              <w:top w:w="80" w:type="dxa"/>
              <w:start w:w="110" w:type="dxa"/>
              <w:bottom w:w="80" w:type="dxa"/>
              <w:end w:w="110" w:type="dxa"/>
            </w:tcMar>
            <w:vAlign w:val="center"/>
          </w:tcPr>
          <w:p>
            <w:pPr>
              <w:jc w:val="center"/>
            </w:pPr>
            <w:r>
              <w:rPr>
                <w:b w:val="0"/>
                <w:color w:val="000000"/>
                <w:sz w:val="19"/>
              </w:rPr>
              <w:t>P1</w:t>
            </w:r>
          </w:p>
        </w:tc>
      </w:tr>
      <w:tr>
        <w:tc>
          <w:tcPr>
            <w:tcW w:type="dxa" w:w="4608"/>
            <w:tcMar>
              <w:top w:w="80" w:type="dxa"/>
              <w:start w:w="110" w:type="dxa"/>
              <w:bottom w:w="80" w:type="dxa"/>
              <w:end w:w="110" w:type="dxa"/>
            </w:tcMar>
            <w:vAlign w:val="center"/>
          </w:tcPr>
          <w:p>
            <w:pPr>
              <w:jc w:val="left"/>
            </w:pPr>
            <w:r>
              <w:rPr>
                <w:b w:val="0"/>
                <w:color w:val="000000"/>
                <w:sz w:val="19"/>
              </w:rPr>
              <w:t>Europe Retail &amp; Office</w:t>
            </w:r>
          </w:p>
        </w:tc>
        <w:tc>
          <w:tcPr>
            <w:tcW w:type="dxa" w:w="3024"/>
            <w:tcMar>
              <w:top w:w="80" w:type="dxa"/>
              <w:start w:w="110" w:type="dxa"/>
              <w:bottom w:w="80" w:type="dxa"/>
              <w:end w:w="110" w:type="dxa"/>
            </w:tcMar>
            <w:vAlign w:val="center"/>
          </w:tcPr>
          <w:p>
            <w:pPr>
              <w:jc w:val="left"/>
            </w:pPr>
            <w:r>
              <w:rPr>
                <w:b w:val="0"/>
                <w:color w:val="000000"/>
                <w:sz w:val="19"/>
              </w:rPr>
              <w:t>p.35</w:t>
            </w:r>
          </w:p>
        </w:tc>
        <w:tc>
          <w:tcPr>
            <w:tcW w:type="dxa" w:w="1152"/>
            <w:tcMar>
              <w:top w:w="80" w:type="dxa"/>
              <w:start w:w="110" w:type="dxa"/>
              <w:bottom w:w="80" w:type="dxa"/>
              <w:end w:w="110" w:type="dxa"/>
            </w:tcMar>
            <w:vAlign w:val="center"/>
          </w:tcPr>
          <w:p>
            <w:pPr>
              <w:jc w:val="center"/>
            </w:pPr>
            <w:r>
              <w:rPr>
                <w:b w:val="0"/>
                <w:color w:val="000000"/>
                <w:sz w:val="19"/>
              </w:rPr>
              <w:t>P2</w:t>
            </w:r>
          </w:p>
        </w:tc>
      </w:tr>
      <w:tr>
        <w:tc>
          <w:tcPr>
            <w:tcW w:type="dxa" w:w="4608"/>
            <w:tcMar>
              <w:top w:w="80" w:type="dxa"/>
              <w:start w:w="110" w:type="dxa"/>
              <w:bottom w:w="80" w:type="dxa"/>
              <w:end w:w="110" w:type="dxa"/>
            </w:tcMar>
            <w:vAlign w:val="center"/>
          </w:tcPr>
          <w:p>
            <w:pPr>
              <w:jc w:val="left"/>
            </w:pPr>
            <w:r>
              <w:rPr>
                <w:b w:val="0"/>
                <w:color w:val="000000"/>
                <w:sz w:val="19"/>
              </w:rPr>
              <w:t>APAC Market Condition</w:t>
            </w:r>
          </w:p>
        </w:tc>
        <w:tc>
          <w:tcPr>
            <w:tcW w:type="dxa" w:w="3024"/>
            <w:tcMar>
              <w:top w:w="80" w:type="dxa"/>
              <w:start w:w="110" w:type="dxa"/>
              <w:bottom w:w="80" w:type="dxa"/>
              <w:end w:w="110" w:type="dxa"/>
            </w:tcMar>
            <w:vAlign w:val="center"/>
          </w:tcPr>
          <w:p>
            <w:pPr>
              <w:jc w:val="left"/>
            </w:pPr>
            <w:r>
              <w:rPr>
                <w:b w:val="0"/>
                <w:color w:val="000000"/>
                <w:sz w:val="19"/>
              </w:rPr>
              <w:t>pp.37-38</w:t>
            </w:r>
          </w:p>
        </w:tc>
        <w:tc>
          <w:tcPr>
            <w:tcW w:type="dxa" w:w="1152"/>
            <w:tcMar>
              <w:top w:w="80" w:type="dxa"/>
              <w:start w:w="110" w:type="dxa"/>
              <w:bottom w:w="80" w:type="dxa"/>
              <w:end w:w="110" w:type="dxa"/>
            </w:tcMar>
            <w:vAlign w:val="center"/>
          </w:tcPr>
          <w:p>
            <w:pPr>
              <w:jc w:val="center"/>
            </w:pPr>
            <w:r>
              <w:rPr>
                <w:b w:val="0"/>
                <w:color w:val="000000"/>
                <w:sz w:val="19"/>
              </w:rPr>
              <w:t>P1</w:t>
            </w:r>
          </w:p>
        </w:tc>
      </w:tr>
      <w:tr>
        <w:tc>
          <w:tcPr>
            <w:tcW w:type="dxa" w:w="4608"/>
            <w:tcMar>
              <w:top w:w="80" w:type="dxa"/>
              <w:start w:w="110" w:type="dxa"/>
              <w:bottom w:w="80" w:type="dxa"/>
              <w:end w:w="110" w:type="dxa"/>
            </w:tcMar>
            <w:vAlign w:val="center"/>
          </w:tcPr>
          <w:p>
            <w:pPr>
              <w:jc w:val="left"/>
            </w:pPr>
            <w:r>
              <w:rPr>
                <w:b w:val="0"/>
                <w:color w:val="000000"/>
                <w:sz w:val="19"/>
              </w:rPr>
              <w:t>APAC Sector Outlook</w:t>
            </w:r>
          </w:p>
        </w:tc>
        <w:tc>
          <w:tcPr>
            <w:tcW w:type="dxa" w:w="3024"/>
            <w:tcMar>
              <w:top w:w="80" w:type="dxa"/>
              <w:start w:w="110" w:type="dxa"/>
              <w:bottom w:w="80" w:type="dxa"/>
              <w:end w:w="110" w:type="dxa"/>
            </w:tcMar>
            <w:vAlign w:val="center"/>
          </w:tcPr>
          <w:p>
            <w:pPr>
              <w:jc w:val="left"/>
            </w:pPr>
            <w:r>
              <w:rPr>
                <w:b w:val="0"/>
                <w:color w:val="000000"/>
                <w:sz w:val="19"/>
              </w:rPr>
              <w:t>p.39</w:t>
            </w:r>
          </w:p>
        </w:tc>
        <w:tc>
          <w:tcPr>
            <w:tcW w:type="dxa" w:w="1152"/>
            <w:tcMar>
              <w:top w:w="80" w:type="dxa"/>
              <w:start w:w="110" w:type="dxa"/>
              <w:bottom w:w="80" w:type="dxa"/>
              <w:end w:w="110" w:type="dxa"/>
            </w:tcMar>
            <w:vAlign w:val="center"/>
          </w:tcPr>
          <w:p>
            <w:pPr>
              <w:jc w:val="center"/>
            </w:pPr>
            <w:r>
              <w:rPr>
                <w:b w:val="0"/>
                <w:color w:val="000000"/>
                <w:sz w:val="19"/>
              </w:rPr>
              <w:t>P1</w:t>
            </w:r>
          </w:p>
        </w:tc>
      </w:tr>
      <w:tr>
        <w:tc>
          <w:tcPr>
            <w:tcW w:type="dxa" w:w="4608"/>
            <w:tcMar>
              <w:top w:w="80" w:type="dxa"/>
              <w:start w:w="110" w:type="dxa"/>
              <w:bottom w:w="80" w:type="dxa"/>
              <w:end w:w="110" w:type="dxa"/>
            </w:tcMar>
            <w:vAlign w:val="center"/>
          </w:tcPr>
          <w:p>
            <w:pPr>
              <w:jc w:val="left"/>
            </w:pPr>
            <w:r>
              <w:rPr>
                <w:b w:val="0"/>
                <w:color w:val="000000"/>
                <w:sz w:val="19"/>
              </w:rPr>
              <w:t>APAC Industrial / Logistics</w:t>
            </w:r>
          </w:p>
        </w:tc>
        <w:tc>
          <w:tcPr>
            <w:tcW w:type="dxa" w:w="3024"/>
            <w:tcMar>
              <w:top w:w="80" w:type="dxa"/>
              <w:start w:w="110" w:type="dxa"/>
              <w:bottom w:w="80" w:type="dxa"/>
              <w:end w:w="110" w:type="dxa"/>
            </w:tcMar>
            <w:vAlign w:val="center"/>
          </w:tcPr>
          <w:p>
            <w:pPr>
              <w:jc w:val="left"/>
            </w:pPr>
            <w:r>
              <w:rPr>
                <w:b w:val="0"/>
                <w:color w:val="000000"/>
                <w:sz w:val="19"/>
              </w:rPr>
              <w:t>p.40</w:t>
            </w:r>
          </w:p>
        </w:tc>
        <w:tc>
          <w:tcPr>
            <w:tcW w:type="dxa" w:w="1152"/>
            <w:tcMar>
              <w:top w:w="80" w:type="dxa"/>
              <w:start w:w="110" w:type="dxa"/>
              <w:bottom w:w="80" w:type="dxa"/>
              <w:end w:w="110" w:type="dxa"/>
            </w:tcMar>
            <w:vAlign w:val="center"/>
          </w:tcPr>
          <w:p>
            <w:pPr>
              <w:jc w:val="center"/>
            </w:pPr>
            <w:r>
              <w:rPr>
                <w:b w:val="0"/>
                <w:color w:val="000000"/>
                <w:sz w:val="19"/>
              </w:rPr>
              <w:t>P2</w:t>
            </w:r>
          </w:p>
        </w:tc>
      </w:tr>
      <w:tr>
        <w:tc>
          <w:tcPr>
            <w:tcW w:type="dxa" w:w="4608"/>
            <w:tcMar>
              <w:top w:w="80" w:type="dxa"/>
              <w:start w:w="110" w:type="dxa"/>
              <w:bottom w:w="80" w:type="dxa"/>
              <w:end w:w="110" w:type="dxa"/>
            </w:tcMar>
            <w:vAlign w:val="center"/>
          </w:tcPr>
          <w:p>
            <w:pPr>
              <w:jc w:val="left"/>
            </w:pPr>
            <w:r>
              <w:rPr>
                <w:b w:val="0"/>
                <w:color w:val="000000"/>
                <w:sz w:val="19"/>
              </w:rPr>
              <w:t>APAC Retail</w:t>
            </w:r>
          </w:p>
        </w:tc>
        <w:tc>
          <w:tcPr>
            <w:tcW w:type="dxa" w:w="3024"/>
            <w:tcMar>
              <w:top w:w="80" w:type="dxa"/>
              <w:start w:w="110" w:type="dxa"/>
              <w:bottom w:w="80" w:type="dxa"/>
              <w:end w:w="110" w:type="dxa"/>
            </w:tcMar>
            <w:vAlign w:val="center"/>
          </w:tcPr>
          <w:p>
            <w:pPr>
              <w:jc w:val="left"/>
            </w:pPr>
            <w:r>
              <w:rPr>
                <w:b w:val="0"/>
                <w:color w:val="000000"/>
                <w:sz w:val="19"/>
              </w:rPr>
              <w:t>p.41</w:t>
            </w:r>
          </w:p>
        </w:tc>
        <w:tc>
          <w:tcPr>
            <w:tcW w:type="dxa" w:w="1152"/>
            <w:tcMar>
              <w:top w:w="80" w:type="dxa"/>
              <w:start w:w="110" w:type="dxa"/>
              <w:bottom w:w="80" w:type="dxa"/>
              <w:end w:w="110" w:type="dxa"/>
            </w:tcMar>
            <w:vAlign w:val="center"/>
          </w:tcPr>
          <w:p>
            <w:pPr>
              <w:jc w:val="center"/>
            </w:pPr>
            <w:r>
              <w:rPr>
                <w:b w:val="0"/>
                <w:color w:val="000000"/>
                <w:sz w:val="19"/>
              </w:rPr>
              <w:t>P2</w:t>
            </w:r>
          </w:p>
        </w:tc>
      </w:tr>
      <w:tr>
        <w:tc>
          <w:tcPr>
            <w:tcW w:type="dxa" w:w="4608"/>
            <w:tcMar>
              <w:top w:w="80" w:type="dxa"/>
              <w:start w:w="110" w:type="dxa"/>
              <w:bottom w:w="80" w:type="dxa"/>
              <w:end w:w="110" w:type="dxa"/>
            </w:tcMar>
            <w:vAlign w:val="center"/>
          </w:tcPr>
          <w:p>
            <w:pPr>
              <w:jc w:val="left"/>
            </w:pPr>
            <w:r>
              <w:rPr>
                <w:b w:val="0"/>
                <w:color w:val="000000"/>
                <w:sz w:val="19"/>
              </w:rPr>
              <w:t>APAC Residential / Living</w:t>
            </w:r>
          </w:p>
        </w:tc>
        <w:tc>
          <w:tcPr>
            <w:tcW w:type="dxa" w:w="3024"/>
            <w:tcMar>
              <w:top w:w="80" w:type="dxa"/>
              <w:start w:w="110" w:type="dxa"/>
              <w:bottom w:w="80" w:type="dxa"/>
              <w:end w:w="110" w:type="dxa"/>
            </w:tcMar>
            <w:vAlign w:val="center"/>
          </w:tcPr>
          <w:p>
            <w:pPr>
              <w:jc w:val="left"/>
            </w:pPr>
            <w:r>
              <w:rPr>
                <w:b w:val="0"/>
                <w:color w:val="000000"/>
                <w:sz w:val="19"/>
              </w:rPr>
              <w:t>p.42</w:t>
            </w:r>
          </w:p>
        </w:tc>
        <w:tc>
          <w:tcPr>
            <w:tcW w:type="dxa" w:w="1152"/>
            <w:tcMar>
              <w:top w:w="80" w:type="dxa"/>
              <w:start w:w="110" w:type="dxa"/>
              <w:bottom w:w="80" w:type="dxa"/>
              <w:end w:w="110" w:type="dxa"/>
            </w:tcMar>
            <w:vAlign w:val="center"/>
          </w:tcPr>
          <w:p>
            <w:pPr>
              <w:jc w:val="center"/>
            </w:pPr>
            <w:r>
              <w:rPr>
                <w:b w:val="0"/>
                <w:color w:val="000000"/>
                <w:sz w:val="19"/>
              </w:rPr>
              <w:t>P2</w:t>
            </w:r>
          </w:p>
        </w:tc>
      </w:tr>
      <w:tr>
        <w:tc>
          <w:tcPr>
            <w:tcW w:type="dxa" w:w="4608"/>
            <w:tcMar>
              <w:top w:w="80" w:type="dxa"/>
              <w:start w:w="110" w:type="dxa"/>
              <w:bottom w:w="80" w:type="dxa"/>
              <w:end w:w="110" w:type="dxa"/>
            </w:tcMar>
            <w:vAlign w:val="center"/>
          </w:tcPr>
          <w:p>
            <w:pPr>
              <w:jc w:val="left"/>
            </w:pPr>
            <w:r>
              <w:rPr>
                <w:b w:val="0"/>
                <w:color w:val="000000"/>
                <w:sz w:val="19"/>
              </w:rPr>
              <w:t>APAC Healthcare</w:t>
            </w:r>
          </w:p>
        </w:tc>
        <w:tc>
          <w:tcPr>
            <w:tcW w:type="dxa" w:w="3024"/>
            <w:tcMar>
              <w:top w:w="80" w:type="dxa"/>
              <w:start w:w="110" w:type="dxa"/>
              <w:bottom w:w="80" w:type="dxa"/>
              <w:end w:w="110" w:type="dxa"/>
            </w:tcMar>
            <w:vAlign w:val="center"/>
          </w:tcPr>
          <w:p>
            <w:pPr>
              <w:jc w:val="left"/>
            </w:pPr>
            <w:r>
              <w:rPr>
                <w:b w:val="0"/>
                <w:color w:val="000000"/>
                <w:sz w:val="19"/>
              </w:rPr>
              <w:t>p.43</w:t>
            </w:r>
          </w:p>
        </w:tc>
        <w:tc>
          <w:tcPr>
            <w:tcW w:type="dxa" w:w="1152"/>
            <w:tcMar>
              <w:top w:w="80" w:type="dxa"/>
              <w:start w:w="110" w:type="dxa"/>
              <w:bottom w:w="80" w:type="dxa"/>
              <w:end w:w="110" w:type="dxa"/>
            </w:tcMar>
            <w:vAlign w:val="center"/>
          </w:tcPr>
          <w:p>
            <w:pPr>
              <w:jc w:val="center"/>
            </w:pPr>
            <w:r>
              <w:rPr>
                <w:b w:val="0"/>
                <w:color w:val="000000"/>
                <w:sz w:val="19"/>
              </w:rPr>
              <w:t>P3</w:t>
            </w:r>
          </w:p>
        </w:tc>
      </w:tr>
      <w:tr>
        <w:tc>
          <w:tcPr>
            <w:tcW w:type="dxa" w:w="4608"/>
            <w:tcMar>
              <w:top w:w="80" w:type="dxa"/>
              <w:start w:w="110" w:type="dxa"/>
              <w:bottom w:w="80" w:type="dxa"/>
              <w:end w:w="110" w:type="dxa"/>
            </w:tcMar>
            <w:vAlign w:val="center"/>
          </w:tcPr>
          <w:p>
            <w:pPr>
              <w:jc w:val="left"/>
            </w:pPr>
            <w:r>
              <w:rPr>
                <w:b w:val="0"/>
                <w:color w:val="000000"/>
                <w:sz w:val="19"/>
              </w:rPr>
              <w:t>APAC Office</w:t>
            </w:r>
          </w:p>
        </w:tc>
        <w:tc>
          <w:tcPr>
            <w:tcW w:type="dxa" w:w="3024"/>
            <w:tcMar>
              <w:top w:w="80" w:type="dxa"/>
              <w:start w:w="110" w:type="dxa"/>
              <w:bottom w:w="80" w:type="dxa"/>
              <w:end w:w="110" w:type="dxa"/>
            </w:tcMar>
            <w:vAlign w:val="center"/>
          </w:tcPr>
          <w:p>
            <w:pPr>
              <w:jc w:val="left"/>
            </w:pPr>
            <w:r>
              <w:rPr>
                <w:b w:val="0"/>
                <w:color w:val="000000"/>
                <w:sz w:val="19"/>
              </w:rPr>
              <w:t>p.44</w:t>
            </w:r>
          </w:p>
        </w:tc>
        <w:tc>
          <w:tcPr>
            <w:tcW w:type="dxa" w:w="1152"/>
            <w:tcMar>
              <w:top w:w="80" w:type="dxa"/>
              <w:start w:w="110" w:type="dxa"/>
              <w:bottom w:w="80" w:type="dxa"/>
              <w:end w:w="110" w:type="dxa"/>
            </w:tcMar>
            <w:vAlign w:val="center"/>
          </w:tcPr>
          <w:p>
            <w:pPr>
              <w:jc w:val="center"/>
            </w:pPr>
            <w:r>
              <w:rPr>
                <w:b w:val="0"/>
                <w:color w:val="000000"/>
                <w:sz w:val="19"/>
              </w:rPr>
              <w:t>P2</w:t>
            </w:r>
          </w:p>
        </w:tc>
      </w:tr>
    </w:tbl>
    <w:p>
      <w:r>
        <w:br w:type="page"/>
      </w:r>
    </w:p>
    <w:p>
      <w:pPr>
        <w:spacing w:before="200" w:after="80"/>
      </w:pPr>
      <w:r>
        <w:rPr>
          <w:b/>
          <w:color w:val="12385F"/>
          <w:sz w:val="32"/>
        </w:rPr>
        <w:t>6. Global shell wireframes</w:t>
      </w:r>
    </w:p>
    <w:p>
      <w:pPr>
        <w:spacing w:before="200" w:after="80"/>
      </w:pPr>
      <w:r>
        <w:rPr>
          <w:b/>
          <w:color w:val="12385F"/>
          <w:sz w:val="32"/>
        </w:rPr>
        <w:t>Landing page</w:t>
      </w:r>
    </w:p>
    <w:p>
      <w:pPr>
        <w:spacing w:after="120"/>
      </w:pPr>
      <w:r>
        <w:rPr>
          <w:color w:val="5B7998"/>
          <w:sz w:val="18"/>
        </w:rPr>
        <w:t>Source PDF page(s): Cover inspiration from p.1   |   Layout block: LB-1 Landing splash   |   Priority: P1</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Orient the user immediately and establish the premium Townsend research tone before entering the application.</w:t>
            </w:r>
          </w:p>
        </w:tc>
        <w:tc>
          <w:tcPr>
            <w:tcW w:type="dxa" w:w="4536"/>
            <w:tcMar>
              <w:top w:w="80" w:type="dxa"/>
              <w:start w:w="110" w:type="dxa"/>
              <w:bottom w:w="80" w:type="dxa"/>
              <w:end w:w="110" w:type="dxa"/>
            </w:tcMar>
            <w:shd w:fill="EAF0F7"/>
          </w:tcPr>
          <w:p>
            <w:r>
              <w:rPr>
                <w:b/>
                <w:color w:val="12385F"/>
                <w:sz w:val="19"/>
              </w:rPr>
              <w:t>One-line Townsend takeaway</w:t>
            </w:r>
          </w:p>
          <w:p>
            <w:r>
              <w:rPr>
                <w:sz w:val="19"/>
              </w:rPr>
              <w:t>Elegant, restrained branded splash that fades into the app after roughly 3-4 seconds.</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Townsend VOTW is a premium, recurring institutional market-views product.</w:t>
            </w:r>
          </w:p>
          <w:p>
            <w:pPr>
              <w:pStyle w:val="ListBullet"/>
            </w:pPr>
            <w:r>
              <w:rPr>
                <w:b/>
                <w:sz w:val="18"/>
              </w:rPr>
              <w:t xml:space="preserve">Why now: </w:t>
            </w:r>
            <w:r>
              <w:rPr>
                <w:sz w:val="18"/>
              </w:rPr>
              <w:t>The opening should set tone, not deliver content.</w:t>
            </w:r>
          </w:p>
          <w:p>
            <w:pPr>
              <w:pStyle w:val="ListBullet"/>
            </w:pPr>
            <w:r>
              <w:rPr>
                <w:b/>
                <w:sz w:val="18"/>
              </w:rPr>
              <w:t xml:space="preserve">Key risk: </w:t>
            </w:r>
            <w:r>
              <w:rPr>
                <w:sz w:val="18"/>
              </w:rPr>
              <w:t>Over-design or excess animation can make the product feel promotional rather than institutional.</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Auto-advance after 3-4 seconds; also allow click to skip.</w:t>
            </w:r>
          </w:p>
          <w:p>
            <w:pPr>
              <w:pStyle w:val="ListBullet"/>
            </w:pPr>
            <w:r>
              <w:rPr>
                <w:sz w:val="18"/>
              </w:rPr>
              <w:t>Visual approach: Rebuild. Use the PDF cover only as style inspiration; do not present the cover as a static embedded slide</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No analytical charts on this page.</w:t>
            </w:r>
          </w:p>
          <w:p>
            <w:pPr>
              <w:pStyle w:val="ListBullet"/>
            </w:pPr>
            <w:r>
              <w:rPr>
                <w:color w:val="242F3D"/>
                <w:sz w:val="18"/>
              </w:rPr>
              <w:t>Full-screen dark background, Townsend mark, title, edition date.</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No right-side commentary. This is a pure brand/orientation page.</w:t>
            </w:r>
          </w:p>
          <w:p>
            <w:pPr>
              <w:pStyle w:val="ListBullet"/>
            </w:pPr>
            <w:r>
              <w:rPr>
                <w:color w:val="242F3D"/>
                <w:sz w:val="18"/>
              </w:rPr>
              <w:t>Keep motion subtle: fade or slight scale only.</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No bottom strip required.</w:t>
            </w:r>
          </w:p>
          <w:p>
            <w:pPr>
              <w:pStyle w:val="ListBullet"/>
            </w:pPr>
            <w:r>
              <w:rPr>
                <w:color w:val="242F3D"/>
                <w:sz w:val="18"/>
              </w:rPr>
              <w:t>Auto-transition to Contents after timer or immediate click-to-enter.</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Use the PDF cover only as style inspiration; do not present the cover as a static embedded slide.</w:t>
            </w:r>
          </w:p>
        </w:tc>
      </w:tr>
    </w:tbl>
    <w:p/>
    <w:p>
      <w:pPr>
        <w:spacing w:before="200" w:after="80"/>
      </w:pPr>
      <w:r>
        <w:rPr>
          <w:b/>
          <w:color w:val="12385F"/>
          <w:sz w:val="32"/>
        </w:rPr>
        <w:t>Contents page</w:t>
      </w:r>
    </w:p>
    <w:p>
      <w:pPr>
        <w:spacing w:after="120"/>
      </w:pPr>
      <w:r>
        <w:rPr>
          <w:color w:val="5B7998"/>
          <w:sz w:val="18"/>
        </w:rPr>
        <w:t>Source PDF page(s): Agenda on p.2 + regrouped V1 page architecture   |   Layout block: LB-2 Contents dashboard   |   Priority: P1</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See the entire V1 structure at once and enter any major section in one click.</w:t>
            </w:r>
          </w:p>
        </w:tc>
        <w:tc>
          <w:tcPr>
            <w:tcW w:type="dxa" w:w="4536"/>
            <w:tcMar>
              <w:top w:w="80" w:type="dxa"/>
              <w:start w:w="110" w:type="dxa"/>
              <w:bottom w:w="80" w:type="dxa"/>
              <w:end w:w="110" w:type="dxa"/>
            </w:tcMar>
            <w:shd w:fill="EAF0F7"/>
          </w:tcPr>
          <w:p>
            <w:r>
              <w:rPr>
                <w:b/>
                <w:color w:val="12385F"/>
                <w:sz w:val="19"/>
              </w:rPr>
              <w:t>One-line Townsend takeaway</w:t>
            </w:r>
          </w:p>
          <w:p>
            <w:r>
              <w:rPr>
                <w:sz w:val="19"/>
              </w:rPr>
              <w:t>Modern navigation dashboard with eight section cards, not a literal embedded agenda slide.</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The app is organized as a concise research workspace: Macro, RE Cycle, Themes, Capital Markets, Heat Map, US, Europe, APAC.</w:t>
            </w:r>
          </w:p>
          <w:p>
            <w:pPr>
              <w:pStyle w:val="ListBullet"/>
            </w:pPr>
            <w:r>
              <w:rPr>
                <w:b/>
                <w:sz w:val="18"/>
              </w:rPr>
              <w:t xml:space="preserve">Why now: </w:t>
            </w:r>
            <w:r>
              <w:rPr>
                <w:sz w:val="18"/>
              </w:rPr>
              <w:t>Institutional users need fast orientation and clear pathways rather than linear slide progression.</w:t>
            </w:r>
          </w:p>
          <w:p>
            <w:pPr>
              <w:pStyle w:val="ListBullet"/>
            </w:pPr>
            <w:r>
              <w:rPr>
                <w:b/>
                <w:sz w:val="18"/>
              </w:rPr>
              <w:t xml:space="preserve">Key risk: </w:t>
            </w:r>
            <w:r>
              <w:rPr>
                <w:sz w:val="18"/>
              </w:rPr>
              <w:t>If contents become too text-heavy, the page loses its utility as a navigation hub.</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Card click routes to section landing page or first page in section.</w:t>
            </w:r>
          </w:p>
          <w:p>
            <w:pPr>
              <w:pStyle w:val="ListBullet"/>
            </w:pPr>
            <w:r>
              <w:rPr>
                <w:sz w:val="18"/>
              </w:rPr>
              <w:t>Visual approach: Rebuild completely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Grid of 8 navigation cards with section title, one-line summary, and subsection count.</w:t>
            </w:r>
          </w:p>
          <w:p>
            <w:pPr>
              <w:pStyle w:val="ListBullet"/>
            </w:pPr>
            <w:r>
              <w:rPr>
                <w:color w:val="242F3D"/>
                <w:sz w:val="18"/>
              </w:rPr>
              <w:t>Optional thin horizontal progress indicator showing P1 pages ready vs. upcoming detail pages.</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Minimal commentary panel: “How to use this app” with 3 bullets max.</w:t>
            </w:r>
          </w:p>
          <w:p>
            <w:pPr>
              <w:pStyle w:val="ListBullet"/>
            </w:pPr>
            <w:r>
              <w:rPr>
                <w:color w:val="242F3D"/>
                <w:sz w:val="18"/>
              </w:rPr>
              <w:t>Optional “Last updated / edition” callout.</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No heavy action strip required.</w:t>
            </w:r>
          </w:p>
          <w:p>
            <w:pPr>
              <w:pStyle w:val="ListBullet"/>
            </w:pPr>
            <w:r>
              <w:rPr>
                <w:color w:val="242F3D"/>
                <w:sz w:val="18"/>
              </w:rPr>
              <w:t>Optional quick links: open global heat map, open most recent regional section.</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completely.</w:t>
            </w:r>
          </w:p>
        </w:tc>
      </w:tr>
    </w:tbl>
    <w:p/>
    <w:p>
      <w:pPr>
        <w:spacing w:before="200" w:after="80"/>
      </w:pPr>
      <w:r>
        <w:rPr>
          <w:b/>
          <w:color w:val="12385F"/>
          <w:sz w:val="32"/>
        </w:rPr>
        <w:t>Macro</w:t>
      </w:r>
    </w:p>
    <w:p>
      <w:pPr>
        <w:spacing w:after="120"/>
      </w:pPr>
      <w:r>
        <w:rPr>
          <w:color w:val="5B7998"/>
          <w:sz w:val="18"/>
        </w:rPr>
        <w:t>Source PDF page(s): pp.4-5   |   Layout block: LB-3 Standard insight page   |   Priority: P1</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Understand Townsend’s macro regime view and the valuation implications for real estate.</w:t>
            </w:r>
          </w:p>
        </w:tc>
        <w:tc>
          <w:tcPr>
            <w:tcW w:type="dxa" w:w="4536"/>
            <w:tcMar>
              <w:top w:w="80" w:type="dxa"/>
              <w:start w:w="110" w:type="dxa"/>
              <w:bottom w:w="80" w:type="dxa"/>
              <w:end w:w="110" w:type="dxa"/>
            </w:tcMar>
            <w:shd w:fill="EAF0F7"/>
          </w:tcPr>
          <w:p>
            <w:r>
              <w:rPr>
                <w:b/>
                <w:color w:val="12385F"/>
                <w:sz w:val="19"/>
              </w:rPr>
              <w:t>One-line Townsend takeaway</w:t>
            </w:r>
          </w:p>
          <w:p>
            <w:r>
              <w:rPr>
                <w:sz w:val="19"/>
              </w:rPr>
              <w:t>Lower rates, moderating inflation, and supportive yield spreads create a favorable macro setup for real estate valuations.</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Macro fundamentals are favorable for a valuation turn.</w:t>
            </w:r>
          </w:p>
          <w:p>
            <w:pPr>
              <w:pStyle w:val="ListBullet"/>
            </w:pPr>
            <w:r>
              <w:rPr>
                <w:b/>
                <w:sz w:val="18"/>
              </w:rPr>
              <w:t xml:space="preserve">Why now: </w:t>
            </w:r>
            <w:r>
              <w:rPr>
                <w:sz w:val="18"/>
              </w:rPr>
              <w:t>Borrowing costs are easing while cap-rate spreads remain supportive across major markets.</w:t>
            </w:r>
          </w:p>
          <w:p>
            <w:pPr>
              <w:pStyle w:val="ListBullet"/>
            </w:pPr>
            <w:r>
              <w:rPr>
                <w:b/>
                <w:sz w:val="18"/>
              </w:rPr>
              <w:t xml:space="preserve">Key risk: </w:t>
            </w:r>
            <w:r>
              <w:rPr>
                <w:sz w:val="18"/>
              </w:rPr>
              <w:t>Regional divergence or sticky inflation could slow cap-rate compression.</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Toggle between chart view and table view for forecast data; optional tooltip definitions.</w:t>
            </w:r>
          </w:p>
          <w:p>
            <w:pPr>
              <w:pStyle w:val="ListBullet"/>
            </w:pPr>
            <w:r>
              <w:rPr>
                <w:sz w:val="18"/>
              </w:rPr>
              <w:t>Visual approach: Rebuild all main visuals natively. Optional drawer for “view original slide”</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Real GDP forecasts table/chart by major regions and selected markets from p.4.</w:t>
            </w:r>
          </w:p>
          <w:p>
            <w:pPr>
              <w:pStyle w:val="ListBullet"/>
            </w:pPr>
            <w:r>
              <w:rPr>
                <w:color w:val="242F3D"/>
                <w:sz w:val="18"/>
              </w:rPr>
              <w:t>High-yield / BB / BBB effective yield chart from p.4.</w:t>
            </w:r>
          </w:p>
          <w:p>
            <w:pPr>
              <w:pStyle w:val="ListBullet"/>
            </w:pPr>
            <w:r>
              <w:rPr>
                <w:color w:val="242F3D"/>
                <w:sz w:val="18"/>
              </w:rPr>
              <w:t>10-year government bond yields vs. average cap-rate spreads by market from p.5.</w:t>
            </w:r>
          </w:p>
          <w:p>
            <w:pPr>
              <w:pStyle w:val="ListBullet"/>
            </w:pPr>
            <w:r>
              <w:rPr>
                <w:color w:val="242F3D"/>
                <w:sz w:val="18"/>
              </w:rPr>
              <w:t>Pan-European unlevered performance vs. income/spread chart from p.5.</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Townsend macro takeaways: growth resilient, inflation coming under control, rates below recent highs.</w:t>
            </w:r>
          </w:p>
          <w:p>
            <w:pPr>
              <w:pStyle w:val="ListBullet"/>
            </w:pPr>
            <w:r>
              <w:rPr>
                <w:color w:val="242F3D"/>
                <w:sz w:val="18"/>
              </w:rPr>
              <w:t>Implications for real estate: financing improves, valuation gap opens, forward returns supported.</w:t>
            </w:r>
          </w:p>
          <w:p>
            <w:pPr>
              <w:pStyle w:val="ListBullet"/>
            </w:pPr>
            <w:r>
              <w:rPr>
                <w:color w:val="242F3D"/>
                <w:sz w:val="18"/>
              </w:rPr>
              <w:t>Regional divergence notes: Japan as outlier, Europe stabilizing, APAC mixed by country.</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use as macro context page feeding all regional and sector pages.</w:t>
            </w:r>
          </w:p>
          <w:p>
            <w:pPr>
              <w:pStyle w:val="ListBullet"/>
            </w:pPr>
            <w:r>
              <w:rPr>
                <w:color w:val="242F3D"/>
                <w:sz w:val="18"/>
              </w:rPr>
              <w:t>Related pages: RE Cycle, Capital Market Themes, U.S. Market Condition, Europe Market Condition, APAC Market Condition.</w:t>
            </w:r>
          </w:p>
          <w:p>
            <w:pPr>
              <w:pStyle w:val="ListBullet"/>
            </w:pPr>
            <w:r>
              <w:rPr>
                <w:color w:val="242F3D"/>
                <w:sz w:val="18"/>
              </w:rPr>
              <w:t>Source slide reference shown quietly in footer metadata.</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all main visuals natively. Optional drawer for “view original slide”.</w:t>
            </w:r>
          </w:p>
        </w:tc>
      </w:tr>
    </w:tbl>
    <w:p/>
    <w:p>
      <w:pPr>
        <w:spacing w:before="200" w:after="80"/>
      </w:pPr>
      <w:r>
        <w:rPr>
          <w:b/>
          <w:color w:val="12385F"/>
          <w:sz w:val="32"/>
        </w:rPr>
        <w:t>RE Cycle</w:t>
      </w:r>
    </w:p>
    <w:p>
      <w:pPr>
        <w:spacing w:after="120"/>
      </w:pPr>
      <w:r>
        <w:rPr>
          <w:color w:val="5B7998"/>
          <w:sz w:val="18"/>
        </w:rPr>
        <w:t>Source PDF page(s): pp.6 and 8   |   Layout block: LB-3 Standard insight page   |   Priority: P1</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See where Townsend believes the private real estate cycle stands and which evidence supports the turn.</w:t>
            </w:r>
          </w:p>
        </w:tc>
        <w:tc>
          <w:tcPr>
            <w:tcW w:type="dxa" w:w="4536"/>
            <w:tcMar>
              <w:top w:w="80" w:type="dxa"/>
              <w:start w:w="110" w:type="dxa"/>
              <w:bottom w:w="80" w:type="dxa"/>
              <w:end w:w="110" w:type="dxa"/>
            </w:tcMar>
            <w:shd w:fill="EAF0F7"/>
          </w:tcPr>
          <w:p>
            <w:r>
              <w:rPr>
                <w:b/>
                <w:color w:val="12385F"/>
                <w:sz w:val="19"/>
              </w:rPr>
              <w:t>One-line Townsend takeaway</w:t>
            </w:r>
          </w:p>
          <w:p>
            <w:r>
              <w:rPr>
                <w:sz w:val="19"/>
              </w:rPr>
              <w:t>Private real estate appears to be in the early stages of a new return cycle, supported by stabilizing values, improving forecasts, and falling supply.</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Cycle turning from trough toward early recovery.</w:t>
            </w:r>
          </w:p>
          <w:p>
            <w:pPr>
              <w:pStyle w:val="ListBullet"/>
            </w:pPr>
            <w:r>
              <w:rPr>
                <w:b/>
                <w:sz w:val="18"/>
              </w:rPr>
              <w:t xml:space="preserve">Why now: </w:t>
            </w:r>
            <w:r>
              <w:rPr>
                <w:sz w:val="18"/>
              </w:rPr>
              <w:t>Returns are stabilizing while completions are falling and forward IRR/CAGR forecasts are improving.</w:t>
            </w:r>
          </w:p>
          <w:p>
            <w:pPr>
              <w:pStyle w:val="ListBullet"/>
            </w:pPr>
            <w:r>
              <w:rPr>
                <w:b/>
                <w:sz w:val="18"/>
              </w:rPr>
              <w:t xml:space="preserve">Key risk: </w:t>
            </w:r>
            <w:r>
              <w:rPr>
                <w:sz w:val="18"/>
              </w:rPr>
              <w:t>Weak demand or delayed rate relief could extend the trough phase.</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Toggle between “Cycle evidence” and “Forward return outlook”.</w:t>
            </w:r>
          </w:p>
          <w:p>
            <w:pPr>
              <w:pStyle w:val="ListBullet"/>
            </w:pPr>
            <w:r>
              <w:rPr>
                <w:sz w:val="18"/>
              </w:rPr>
              <w:t>Visual approach: Rebuild all visuals; no need to embed original slides</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Cycle-position banner or linear progress bar (downturn -&gt; trough -&gt; early recovery -&gt; expansion).</w:t>
            </w:r>
          </w:p>
          <w:p>
            <w:pPr>
              <w:pStyle w:val="ListBullet"/>
            </w:pPr>
            <w:r>
              <w:rPr>
                <w:color w:val="242F3D"/>
                <w:sz w:val="18"/>
              </w:rPr>
              <w:t>Rate-cut cycles and corresponding U.S. RE performance chart from p.6.</w:t>
            </w:r>
          </w:p>
          <w:p>
            <w:pPr>
              <w:pStyle w:val="ListBullet"/>
            </w:pPr>
            <w:r>
              <w:rPr>
                <w:color w:val="242F3D"/>
                <w:sz w:val="18"/>
              </w:rPr>
              <w:t>Pan-European property price index chart from p.6.</w:t>
            </w:r>
          </w:p>
          <w:p>
            <w:pPr>
              <w:pStyle w:val="ListBullet"/>
            </w:pPr>
            <w:r>
              <w:rPr>
                <w:color w:val="242F3D"/>
                <w:sz w:val="18"/>
              </w:rPr>
              <w:t>5-year unlevered IRR forecasts by region/sector from p.8.</w:t>
            </w:r>
          </w:p>
          <w:p>
            <w:pPr>
              <w:pStyle w:val="ListBullet"/>
            </w:pPr>
            <w:r>
              <w:rPr>
                <w:color w:val="242F3D"/>
                <w:sz w:val="18"/>
              </w:rPr>
              <w:t>5-year CAGR forecasts by region/sector and 2025 forecast completions vs. peak chart from p.8.</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What confirms the turn: stabilizing values, recovery in U.S. and Europe, APAC improvement.</w:t>
            </w:r>
          </w:p>
          <w:p>
            <w:pPr>
              <w:pStyle w:val="ListBullet"/>
            </w:pPr>
            <w:r>
              <w:rPr>
                <w:color w:val="242F3D"/>
                <w:sz w:val="18"/>
              </w:rPr>
              <w:t>What is still incomplete: office bifurcation, uneven job growth, and capital-markets friction.</w:t>
            </w:r>
          </w:p>
          <w:p>
            <w:pPr>
              <w:pStyle w:val="ListBullet"/>
            </w:pPr>
            <w:r>
              <w:rPr>
                <w:color w:val="242F3D"/>
                <w:sz w:val="18"/>
              </w:rPr>
              <w:t>Reading note: this page is the transition between macro and region-specific conviction pages.</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favor sectors/regions where falling supply and repriced values align.</w:t>
            </w:r>
          </w:p>
          <w:p>
            <w:pPr>
              <w:pStyle w:val="ListBullet"/>
            </w:pPr>
            <w:r>
              <w:rPr>
                <w:color w:val="242F3D"/>
                <w:sz w:val="18"/>
              </w:rPr>
              <w:t>Related pages: Macro, U.S./Europe/APAC Market Condition, Global Heat Map.</w:t>
            </w:r>
          </w:p>
          <w:p>
            <w:pPr>
              <w:pStyle w:val="ListBullet"/>
            </w:pPr>
            <w:r>
              <w:rPr>
                <w:color w:val="242F3D"/>
                <w:sz w:val="18"/>
              </w:rPr>
              <w:t>Source slides noted as pp.6 and 8.</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all visuals; no need to embed original slides.</w:t>
            </w:r>
          </w:p>
        </w:tc>
      </w:tr>
    </w:tbl>
    <w:p/>
    <w:p>
      <w:pPr>
        <w:spacing w:before="200" w:after="80"/>
      </w:pPr>
      <w:r>
        <w:rPr>
          <w:b/>
          <w:color w:val="12385F"/>
          <w:sz w:val="32"/>
        </w:rPr>
        <w:t>RE Investment Themes</w:t>
      </w:r>
    </w:p>
    <w:p>
      <w:pPr>
        <w:spacing w:after="120"/>
      </w:pPr>
      <w:r>
        <w:rPr>
          <w:color w:val="5B7998"/>
          <w:sz w:val="18"/>
        </w:rPr>
        <w:t>Source PDF page(s): p.9   |   Layout block: LB-4 Cards page   |   Priority: P1</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Understand the long-duration themes underpinning Townsend’s preferred sectors and regions.</w:t>
            </w:r>
          </w:p>
        </w:tc>
        <w:tc>
          <w:tcPr>
            <w:tcW w:type="dxa" w:w="4536"/>
            <w:tcMar>
              <w:top w:w="80" w:type="dxa"/>
              <w:start w:w="110" w:type="dxa"/>
              <w:bottom w:w="80" w:type="dxa"/>
              <w:end w:w="110" w:type="dxa"/>
            </w:tcMar>
            <w:shd w:fill="EAF0F7"/>
          </w:tcPr>
          <w:p>
            <w:r>
              <w:rPr>
                <w:b/>
                <w:color w:val="12385F"/>
                <w:sz w:val="19"/>
              </w:rPr>
              <w:t>One-line Townsend takeaway</w:t>
            </w:r>
          </w:p>
          <w:p>
            <w:r>
              <w:rPr>
                <w:sz w:val="19"/>
              </w:rPr>
              <w:t>Five structural themes - housing shortage, logistics demand, digitization/AI, demographics, and institutionalization - organize the VOTW’s long-term conviction.</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Long-term secular themes remain intact and should anchor page-to-page navigation.</w:t>
            </w:r>
          </w:p>
          <w:p>
            <w:pPr>
              <w:pStyle w:val="ListBullet"/>
            </w:pPr>
            <w:r>
              <w:rPr>
                <w:b/>
                <w:sz w:val="18"/>
              </w:rPr>
              <w:t xml:space="preserve">Why now: </w:t>
            </w:r>
            <w:r>
              <w:rPr>
                <w:sz w:val="18"/>
              </w:rPr>
              <w:t>The current cycle turn is strongest where secular demand and supply constraints reinforce each other.</w:t>
            </w:r>
          </w:p>
          <w:p>
            <w:pPr>
              <w:pStyle w:val="ListBullet"/>
            </w:pPr>
            <w:r>
              <w:rPr>
                <w:b/>
                <w:sz w:val="18"/>
              </w:rPr>
              <w:t xml:space="preserve">Key risk: </w:t>
            </w:r>
            <w:r>
              <w:rPr>
                <w:sz w:val="18"/>
              </w:rPr>
              <w:t>Themes can be over-applied if not paired with market-specific valuation and execution discipline.</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Card click opens detail drawer; allow filter by region or sector to see where theme appears.</w:t>
            </w:r>
          </w:p>
          <w:p>
            <w:pPr>
              <w:pStyle w:val="ListBullet"/>
            </w:pPr>
            <w:r>
              <w:rPr>
                <w:sz w:val="18"/>
              </w:rPr>
              <w:t>Visual approach: Hybrid: rebuild theme cards natively, optional original-slide drawer for reference</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Five large clickable theme cards: Acute housing shortage; Evolving consumer habits requiring logistics; Continued digitization and AI adoption; Supportive demographic trends; Institutionalization of alternative sectors.</w:t>
            </w:r>
          </w:p>
          <w:p>
            <w:pPr>
              <w:pStyle w:val="ListBullet"/>
            </w:pPr>
            <w:r>
              <w:rPr>
                <w:color w:val="242F3D"/>
                <w:sz w:val="18"/>
              </w:rPr>
              <w:t>Each card includes one key statistic pulled from p.9 plus linked sectors/regions.</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Theme detail drawer: why it matters, where it shows up in VOTW, supporting stat, related pages.</w:t>
            </w:r>
          </w:p>
          <w:p>
            <w:pPr>
              <w:pStyle w:val="ListBullet"/>
            </w:pPr>
            <w:r>
              <w:rPr>
                <w:color w:val="242F3D"/>
                <w:sz w:val="18"/>
              </w:rPr>
              <w:t>Use right panel for brief thematic explanation rather than long prose.</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use themes as a cross-cutting filter across heat map and regional pages.</w:t>
            </w:r>
          </w:p>
          <w:p>
            <w:pPr>
              <w:pStyle w:val="ListBullet"/>
            </w:pPr>
            <w:r>
              <w:rPr>
                <w:color w:val="242F3D"/>
                <w:sz w:val="18"/>
              </w:rPr>
              <w:t>Related pages: U.S. Data Centers, U.S. Senior Housing, Europe Residential, APAC Living, Global Heat Map.</w:t>
            </w:r>
          </w:p>
          <w:p>
            <w:pPr>
              <w:pStyle w:val="ListBullet"/>
            </w:pPr>
            <w:r>
              <w:rPr>
                <w:color w:val="242F3D"/>
                <w:sz w:val="18"/>
              </w:rPr>
              <w:t>Source slide reference: p.9.</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Hybrid: rebuild theme cards natively, optional original-slide drawer for reference.</w:t>
            </w:r>
          </w:p>
        </w:tc>
      </w:tr>
    </w:tbl>
    <w:p/>
    <w:p>
      <w:pPr>
        <w:spacing w:before="200" w:after="80"/>
      </w:pPr>
      <w:r>
        <w:rPr>
          <w:b/>
          <w:color w:val="12385F"/>
          <w:sz w:val="32"/>
        </w:rPr>
        <w:t>Capital Market Themes</w:t>
      </w:r>
    </w:p>
    <w:p>
      <w:pPr>
        <w:spacing w:after="120"/>
      </w:pPr>
      <w:r>
        <w:rPr>
          <w:color w:val="5B7998"/>
          <w:sz w:val="18"/>
        </w:rPr>
        <w:t>Source PDF page(s): pp.11-12   |   Layout block: LB-3 Standard insight page with tabs   |   Priority: P1</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Understand why Townsend sees immediate opportunity in private real estate capital markets and how it prefers to access that opportunity.</w:t>
            </w:r>
          </w:p>
        </w:tc>
        <w:tc>
          <w:tcPr>
            <w:tcW w:type="dxa" w:w="4536"/>
            <w:tcMar>
              <w:top w:w="80" w:type="dxa"/>
              <w:start w:w="110" w:type="dxa"/>
              <w:bottom w:w="80" w:type="dxa"/>
              <w:end w:w="110" w:type="dxa"/>
            </w:tcMar>
            <w:shd w:fill="EAF0F7"/>
          </w:tcPr>
          <w:p>
            <w:r>
              <w:rPr>
                <w:b/>
                <w:color w:val="12385F"/>
                <w:sz w:val="19"/>
              </w:rPr>
              <w:t>One-line Townsend takeaway</w:t>
            </w:r>
          </w:p>
          <w:p>
            <w:r>
              <w:rPr>
                <w:sz w:val="19"/>
              </w:rPr>
              <w:t>Illiquidity, valuation disconnects, and concentrated fundraising make secondaries and select private-market entry routes especially attractive.</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Capital markets create near-term opportunity for value-seeking investors.</w:t>
            </w:r>
          </w:p>
          <w:p>
            <w:pPr>
              <w:pStyle w:val="ListBullet"/>
            </w:pPr>
            <w:r>
              <w:rPr>
                <w:b/>
                <w:sz w:val="18"/>
              </w:rPr>
              <w:t xml:space="preserve">Why now: </w:t>
            </w:r>
            <w:r>
              <w:rPr>
                <w:sz w:val="18"/>
              </w:rPr>
              <w:t>Transaction volumes and fundraising remain depressed while discounts and liquidity pressures create entry points.</w:t>
            </w:r>
          </w:p>
          <w:p>
            <w:pPr>
              <w:pStyle w:val="ListBullet"/>
            </w:pPr>
            <w:r>
              <w:rPr>
                <w:b/>
                <w:sz w:val="18"/>
              </w:rPr>
              <w:t xml:space="preserve">Key risk: </w:t>
            </w:r>
            <w:r>
              <w:rPr>
                <w:sz w:val="18"/>
              </w:rPr>
              <w:t>Recovery in volumes or repricing of secondaries may compress current opportunity quickly.</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Two tabs: Market opportunity and Execution preferences. Optional hover notes for each execution route.</w:t>
            </w:r>
          </w:p>
          <w:p>
            <w:pPr>
              <w:pStyle w:val="ListBullet"/>
            </w:pPr>
            <w:r>
              <w:rPr>
                <w:sz w:val="18"/>
              </w:rPr>
              <w:t>Visual approach: Hybrid: rebuild charts and ladder, optional original-slide modal for p.12</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Tab 1: global transaction volume chart from p.11 and global PERE fundraising chart from p.11.</w:t>
            </w:r>
          </w:p>
          <w:p>
            <w:pPr>
              <w:pStyle w:val="ListBullet"/>
            </w:pPr>
            <w:r>
              <w:rPr>
                <w:color w:val="242F3D"/>
                <w:sz w:val="18"/>
              </w:rPr>
              <w:t>Tab 2: representative cap-rate comparison bars from p.12 plus an execution-preference ladder (open-end funds, rebased asset purchases, REIT take-privates, secondaries, GP staking).</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Market opportunity bullets: pricing gridlock, GP-led and LP-led secondaries, concentration among large managers.</w:t>
            </w:r>
          </w:p>
          <w:p>
            <w:pPr>
              <w:pStyle w:val="ListBullet"/>
            </w:pPr>
            <w:r>
              <w:rPr>
                <w:color w:val="242F3D"/>
                <w:sz w:val="18"/>
              </w:rPr>
              <w:t>Execution-preference notes: why secondaries are most attractive today and how other routes rank.</w:t>
            </w:r>
          </w:p>
          <w:p>
            <w:pPr>
              <w:pStyle w:val="ListBullet"/>
            </w:pPr>
            <w:r>
              <w:rPr>
                <w:color w:val="242F3D"/>
                <w:sz w:val="18"/>
              </w:rPr>
              <w:t>Brief commentary on fee/J-curve mitigation and liquidity advantages.</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this page should connect directly to execution overlays later in the app.</w:t>
            </w:r>
          </w:p>
          <w:p>
            <w:pPr>
              <w:pStyle w:val="ListBullet"/>
            </w:pPr>
            <w:r>
              <w:rPr>
                <w:color w:val="242F3D"/>
                <w:sz w:val="18"/>
              </w:rPr>
              <w:t>Related pages: Macro, RE Cycle, Global Heat Map, regional pages where execution preference matters.</w:t>
            </w:r>
          </w:p>
          <w:p>
            <w:pPr>
              <w:pStyle w:val="ListBullet"/>
            </w:pPr>
            <w:r>
              <w:rPr>
                <w:color w:val="242F3D"/>
                <w:sz w:val="18"/>
              </w:rPr>
              <w:t>Source slide references: pp.11-12.</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Hybrid: rebuild charts and ladder, optional original-slide modal for p.12.</w:t>
            </w:r>
          </w:p>
        </w:tc>
      </w:tr>
    </w:tbl>
    <w:p/>
    <w:p>
      <w:pPr>
        <w:spacing w:before="200" w:after="80"/>
      </w:pPr>
      <w:r>
        <w:rPr>
          <w:b/>
          <w:color w:val="12385F"/>
          <w:sz w:val="32"/>
        </w:rPr>
        <w:t>RE Global Region/Sector Heat Map</w:t>
      </w:r>
    </w:p>
    <w:p>
      <w:pPr>
        <w:spacing w:after="120"/>
      </w:pPr>
      <w:r>
        <w:rPr>
          <w:color w:val="5B7998"/>
          <w:sz w:val="18"/>
        </w:rPr>
        <w:t>Source PDF page(s): p.13   |   Layout block: LB-5 Heat map matrix   |   Priority: P1</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See Townsend’s entire cross-region sector stance in one view and use it as a navigation layer into detailed pages.</w:t>
            </w:r>
          </w:p>
        </w:tc>
        <w:tc>
          <w:tcPr>
            <w:tcW w:type="dxa" w:w="4536"/>
            <w:tcMar>
              <w:top w:w="80" w:type="dxa"/>
              <w:start w:w="110" w:type="dxa"/>
              <w:bottom w:w="80" w:type="dxa"/>
              <w:end w:w="110" w:type="dxa"/>
            </w:tcMar>
            <w:shd w:fill="EAF0F7"/>
          </w:tcPr>
          <w:p>
            <w:r>
              <w:rPr>
                <w:b/>
                <w:color w:val="12385F"/>
                <w:sz w:val="19"/>
              </w:rPr>
              <w:t>One-line Townsend takeaway</w:t>
            </w:r>
          </w:p>
          <w:p>
            <w:r>
              <w:rPr>
                <w:sz w:val="19"/>
              </w:rPr>
              <w:t>This is the main global decision map: which sectors and regions are positive, neutral, or cautious today.</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Portfolio construction should tilt toward regions and property types with compelling fundamentals.</w:t>
            </w:r>
          </w:p>
          <w:p>
            <w:pPr>
              <w:pStyle w:val="ListBullet"/>
            </w:pPr>
            <w:r>
              <w:rPr>
                <w:b/>
                <w:sz w:val="18"/>
              </w:rPr>
              <w:t xml:space="preserve">Why now: </w:t>
            </w:r>
            <w:r>
              <w:rPr>
                <w:sz w:val="18"/>
              </w:rPr>
              <w:t>The document’s conviction is clearest when organized by region and sector rather than by slide sequence.</w:t>
            </w:r>
          </w:p>
          <w:p>
            <w:pPr>
              <w:pStyle w:val="ListBullet"/>
            </w:pPr>
            <w:r>
              <w:rPr>
                <w:b/>
                <w:sz w:val="18"/>
              </w:rPr>
              <w:t xml:space="preserve">Key risk: </w:t>
            </w:r>
            <w:r>
              <w:rPr>
                <w:sz w:val="18"/>
              </w:rPr>
              <w:t>A static matrix without drilldown would feel like a screenshot instead of an app.</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Cell click opens right-side detail drawer and direct links to page destination.</w:t>
            </w:r>
          </w:p>
          <w:p>
            <w:pPr>
              <w:pStyle w:val="ListBullet"/>
            </w:pPr>
            <w:r>
              <w:rPr>
                <w:sz w:val="18"/>
              </w:rPr>
              <w:t>Visual approach: Rebuild completely as a native matrix; do not use embedded slide as primary experience</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Full-width interactive matrix with rows for primary and alternative strategies and columns for U.S., Continental Europe, UK/Ireland, Australia, Japan, and China.</w:t>
            </w:r>
          </w:p>
          <w:p>
            <w:pPr>
              <w:pStyle w:val="ListBullet"/>
            </w:pPr>
            <w:r>
              <w:rPr>
                <w:color w:val="242F3D"/>
                <w:sz w:val="18"/>
              </w:rPr>
              <w:t>Legend for Positive / Neutral / Cautious.</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Click-state side panel with stance, rationale, related region page, and related sector page.</w:t>
            </w:r>
          </w:p>
          <w:p>
            <w:pPr>
              <w:pStyle w:val="ListBullet"/>
            </w:pPr>
            <w:r>
              <w:rPr>
                <w:color w:val="242F3D"/>
                <w:sz w:val="18"/>
              </w:rPr>
              <w:t>Optional filters: primary vs. alternatives, selected regions only, show positive only or cautious only.</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use heat map as the fastest navigation route for power users.</w:t>
            </w:r>
          </w:p>
          <w:p>
            <w:pPr>
              <w:pStyle w:val="ListBullet"/>
            </w:pPr>
            <w:r>
              <w:rPr>
                <w:color w:val="242F3D"/>
                <w:sz w:val="18"/>
              </w:rPr>
              <w:t>Related pages: all region outlooks and sector detail pages.</w:t>
            </w:r>
          </w:p>
          <w:p>
            <w:pPr>
              <w:pStyle w:val="ListBullet"/>
            </w:pPr>
            <w:r>
              <w:rPr>
                <w:color w:val="242F3D"/>
                <w:sz w:val="18"/>
              </w:rPr>
              <w:t>Source slide reference: p.13.</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completely as a native matrix; do not use embedded slide as primary experience.</w:t>
            </w:r>
          </w:p>
        </w:tc>
      </w:tr>
    </w:tbl>
    <w:p/>
    <w:p>
      <w:r>
        <w:br w:type="page"/>
      </w:r>
    </w:p>
    <w:p>
      <w:pPr>
        <w:spacing w:before="200" w:after="80"/>
      </w:pPr>
      <w:r>
        <w:rPr>
          <w:b/>
          <w:color w:val="12385F"/>
          <w:sz w:val="32"/>
        </w:rPr>
        <w:t>7. U.S. section blueprint</w:t>
      </w:r>
    </w:p>
    <w:p>
      <w:pPr>
        <w:spacing w:after="40"/>
      </w:pPr>
      <w:r>
        <w:rPr>
          <w:color w:val="242F3D"/>
          <w:sz w:val="20"/>
        </w:rPr>
        <w:t>The U.S. section should function as a compact research portal: one market-condition dashboard, one sector outlook page, and nine detail pages. Source pages 15-26 emphasize improving fundamentals, overweight to alternatives/logistics/housing, data centers as a conviction theme, selective retail, and caution on office/life sciences.</w:t>
      </w:r>
    </w:p>
    <w:p>
      <w:pPr>
        <w:spacing w:before="200" w:after="80"/>
      </w:pPr>
      <w:r>
        <w:rPr>
          <w:b/>
          <w:color w:val="12385F"/>
          <w:sz w:val="32"/>
        </w:rPr>
        <w:t>U.S. Market Condition</w:t>
      </w:r>
    </w:p>
    <w:p>
      <w:pPr>
        <w:spacing w:after="120"/>
      </w:pPr>
      <w:r>
        <w:rPr>
          <w:color w:val="5B7998"/>
          <w:sz w:val="18"/>
        </w:rPr>
        <w:t>Source PDF page(s): p.15   |   Layout block: LB-3 Standard insight page   |   Priority: P1</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Quickly assess whether U.S. real estate fundamentals and valuations support deployment today.</w:t>
            </w:r>
          </w:p>
        </w:tc>
        <w:tc>
          <w:tcPr>
            <w:tcW w:type="dxa" w:w="4536"/>
            <w:tcMar>
              <w:top w:w="80" w:type="dxa"/>
              <w:start w:w="110" w:type="dxa"/>
              <w:bottom w:w="80" w:type="dxa"/>
              <w:end w:w="110" w:type="dxa"/>
            </w:tcMar>
            <w:shd w:fill="EAF0F7"/>
          </w:tcPr>
          <w:p>
            <w:r>
              <w:rPr>
                <w:b/>
                <w:color w:val="12385F"/>
                <w:sz w:val="19"/>
              </w:rPr>
              <w:t>One-line Townsend takeaway</w:t>
            </w:r>
          </w:p>
          <w:p>
            <w:r>
              <w:rPr>
                <w:sz w:val="19"/>
              </w:rPr>
              <w:t>U.S. real estate market conditions are improving: returns are rising, valuation spreads widened, supply is falling, and NOI growth remains above long-term inflation.</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Most U.S. sectors are poised for improving growth and returns.</w:t>
            </w:r>
          </w:p>
          <w:p>
            <w:pPr>
              <w:pStyle w:val="ListBullet"/>
            </w:pPr>
            <w:r>
              <w:rPr>
                <w:b/>
                <w:sz w:val="18"/>
              </w:rPr>
              <w:t xml:space="preserve">Why now: </w:t>
            </w:r>
            <w:r>
              <w:rPr>
                <w:sz w:val="18"/>
              </w:rPr>
              <w:t>Supply contraction and repriced values support better forward returns into 2026-2027.</w:t>
            </w:r>
          </w:p>
          <w:p>
            <w:pPr>
              <w:pStyle w:val="ListBullet"/>
            </w:pPr>
            <w:r>
              <w:rPr>
                <w:b/>
                <w:sz w:val="18"/>
              </w:rPr>
              <w:t xml:space="preserve">Key risk: </w:t>
            </w:r>
            <w:r>
              <w:rPr>
                <w:sz w:val="18"/>
              </w:rPr>
              <w:t>Sector timing remains uneven, especially in office and oversupplied residential markets.</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Optional sector selector to highlight the relevant line/bar across all four visuals.</w:t>
            </w:r>
          </w:p>
          <w:p>
            <w:pPr>
              <w:pStyle w:val="ListBullet"/>
            </w:pPr>
            <w:r>
              <w:rPr>
                <w:sz w:val="18"/>
              </w:rPr>
              <w:t>Visual approach: Rebuild all four visuals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2x2 evidence grid: PREA consensus return forecast table/chart; NPI current-value cap rate vs. 10-year Treasury spread chart; annual completions as % of stock; 5-year NOI growth CAGR forecasts.</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What it means for entry timing: U.S. remains one of the most favorable broad markets in the VOTW.</w:t>
            </w:r>
          </w:p>
          <w:p>
            <w:pPr>
              <w:pStyle w:val="ListBullet"/>
            </w:pPr>
            <w:r>
              <w:rPr>
                <w:color w:val="242F3D"/>
                <w:sz w:val="18"/>
              </w:rPr>
              <w:t>Interpretation note: senior housing and select alternatives outperform broader averages.</w:t>
            </w:r>
          </w:p>
          <w:p>
            <w:pPr>
              <w:pStyle w:val="ListBullet"/>
            </w:pPr>
            <w:r>
              <w:rPr>
                <w:color w:val="242F3D"/>
                <w:sz w:val="18"/>
              </w:rPr>
              <w:t>Use as parent page for all U.S. detail pages.</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maintain overweight while favoring stronger sub-sectors.</w:t>
            </w:r>
          </w:p>
          <w:p>
            <w:pPr>
              <w:pStyle w:val="ListBullet"/>
            </w:pPr>
            <w:r>
              <w:rPr>
                <w:color w:val="242F3D"/>
                <w:sz w:val="18"/>
              </w:rPr>
              <w:t>Related pages: U.S. Sector Outlook and all U.S. sector detail pages.</w:t>
            </w:r>
          </w:p>
          <w:p>
            <w:pPr>
              <w:pStyle w:val="ListBullet"/>
            </w:pPr>
            <w:r>
              <w:rPr>
                <w:color w:val="242F3D"/>
                <w:sz w:val="18"/>
              </w:rPr>
              <w:t>Source slide reference: p.15.</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all four visuals natively.</w:t>
            </w:r>
          </w:p>
        </w:tc>
      </w:tr>
    </w:tbl>
    <w:p/>
    <w:p>
      <w:pPr>
        <w:spacing w:before="200" w:after="80"/>
      </w:pPr>
      <w:r>
        <w:rPr>
          <w:b/>
          <w:color w:val="12385F"/>
          <w:sz w:val="32"/>
        </w:rPr>
        <w:t>U.S. Sector Outlook</w:t>
      </w:r>
    </w:p>
    <w:p>
      <w:pPr>
        <w:spacing w:after="120"/>
      </w:pPr>
      <w:r>
        <w:rPr>
          <w:color w:val="5B7998"/>
          <w:sz w:val="18"/>
        </w:rPr>
        <w:t>Source PDF page(s): pp.16-17   |   Layout block: LB-4 Cards page   |   Priority: P1</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See the full U.S. stance at a glance, then separate compelling sectors from selective and cautious sectors.</w:t>
            </w:r>
          </w:p>
        </w:tc>
        <w:tc>
          <w:tcPr>
            <w:tcW w:type="dxa" w:w="4536"/>
            <w:tcMar>
              <w:top w:w="80" w:type="dxa"/>
              <w:start w:w="110" w:type="dxa"/>
              <w:bottom w:w="80" w:type="dxa"/>
              <w:end w:w="110" w:type="dxa"/>
            </w:tcMar>
            <w:shd w:fill="EAF0F7"/>
          </w:tcPr>
          <w:p>
            <w:r>
              <w:rPr>
                <w:b/>
                <w:color w:val="12385F"/>
                <w:sz w:val="19"/>
              </w:rPr>
              <w:t>One-line Townsend takeaway</w:t>
            </w:r>
          </w:p>
          <w:p>
            <w:r>
              <w:rPr>
                <w:sz w:val="19"/>
              </w:rPr>
              <w:t>Maintain overweight to the U.S., targeting alternatives, logistics, and housing, with data centers as a conviction theme and office/life sciences still cautious.</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U.S. opportunity is broadening, but conviction is strongest in a subset of sectors.</w:t>
            </w:r>
          </w:p>
          <w:p>
            <w:pPr>
              <w:pStyle w:val="ListBullet"/>
            </w:pPr>
            <w:r>
              <w:rPr>
                <w:b/>
                <w:sz w:val="18"/>
              </w:rPr>
              <w:t xml:space="preserve">Why now: </w:t>
            </w:r>
            <w:r>
              <w:rPr>
                <w:sz w:val="18"/>
              </w:rPr>
              <w:t>Values are down materially from peak and relative value vs. public equities remains attractive.</w:t>
            </w:r>
          </w:p>
          <w:p>
            <w:pPr>
              <w:pStyle w:val="ListBullet"/>
            </w:pPr>
            <w:r>
              <w:rPr>
                <w:b/>
                <w:sz w:val="18"/>
              </w:rPr>
              <w:t xml:space="preserve">Key risk: </w:t>
            </w:r>
            <w:r>
              <w:rPr>
                <w:sz w:val="18"/>
              </w:rPr>
              <w:t>If users only read this page without detail pages, nuance by subsector and geography may be missed.</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Tabs or stacked sections with expandable rationales.</w:t>
            </w:r>
          </w:p>
          <w:p>
            <w:pPr>
              <w:pStyle w:val="ListBullet"/>
            </w:pPr>
            <w:r>
              <w:rPr>
                <w:sz w:val="18"/>
              </w:rPr>
              <w:t>Visual approach: Hybrid: rebuild cards and buckets natively; optional original p.17 image in a small “original view” toggle</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Tab A: six stance cards - Industrial, Data Centers, Housing, Alternatives, Retail, Office &amp; Life Sciences.</w:t>
            </w:r>
          </w:p>
          <w:p>
            <w:pPr>
              <w:pStyle w:val="ListBullet"/>
            </w:pPr>
            <w:r>
              <w:rPr>
                <w:color w:val="242F3D"/>
                <w:sz w:val="18"/>
              </w:rPr>
              <w:t>Tab B: three opportunity buckets - Most compelling, Selective, Caution - reflecting p.17.</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Short region-overweight rationale from p.16: attractive entry after 21% NAV decline from peak and stronger relative value versus equities.</w:t>
            </w:r>
          </w:p>
          <w:p>
            <w:pPr>
              <w:pStyle w:val="ListBullet"/>
            </w:pPr>
            <w:r>
              <w:rPr>
                <w:color w:val="242F3D"/>
                <w:sz w:val="18"/>
              </w:rPr>
              <w:t>Each card should include direct links to relevant detail pages.</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this is the routing page for the U.S. section.</w:t>
            </w:r>
          </w:p>
          <w:p>
            <w:pPr>
              <w:pStyle w:val="ListBullet"/>
            </w:pPr>
            <w:r>
              <w:rPr>
                <w:color w:val="242F3D"/>
                <w:sz w:val="18"/>
              </w:rPr>
              <w:t>Related pages: U.S. Market Condition and all U.S. sector detail pages.</w:t>
            </w:r>
          </w:p>
          <w:p>
            <w:pPr>
              <w:pStyle w:val="ListBullet"/>
            </w:pPr>
            <w:r>
              <w:rPr>
                <w:color w:val="242F3D"/>
                <w:sz w:val="18"/>
              </w:rPr>
              <w:t>Source slide references: pp.16-17.</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Hybrid: rebuild cards and buckets natively; optional original p.17 image in a small “original view” toggle.</w:t>
            </w:r>
          </w:p>
        </w:tc>
      </w:tr>
    </w:tbl>
    <w:p/>
    <w:p>
      <w:pPr>
        <w:spacing w:before="200" w:after="80"/>
      </w:pPr>
      <w:r>
        <w:rPr>
          <w:b/>
          <w:color w:val="12385F"/>
          <w:sz w:val="32"/>
        </w:rPr>
        <w:t>U.S. Industrial</w:t>
      </w:r>
    </w:p>
    <w:p>
      <w:pPr>
        <w:spacing w:after="120"/>
      </w:pPr>
      <w:r>
        <w:rPr>
          <w:color w:val="5B7998"/>
          <w:sz w:val="18"/>
        </w:rPr>
        <w:t>Source PDF page(s): p.18   |   Layout block: LB-3 Standard insight page   |   Priority: P2</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Understand why industrial remains positive but with more selectivity by quality and location.</w:t>
            </w:r>
          </w:p>
        </w:tc>
        <w:tc>
          <w:tcPr>
            <w:tcW w:type="dxa" w:w="4536"/>
            <w:tcMar>
              <w:top w:w="80" w:type="dxa"/>
              <w:start w:w="110" w:type="dxa"/>
              <w:bottom w:w="80" w:type="dxa"/>
              <w:end w:w="110" w:type="dxa"/>
            </w:tcMar>
            <w:shd w:fill="EAF0F7"/>
          </w:tcPr>
          <w:p>
            <w:r>
              <w:rPr>
                <w:b/>
                <w:color w:val="12385F"/>
                <w:sz w:val="19"/>
              </w:rPr>
              <w:t>One-line Townsend takeaway</w:t>
            </w:r>
          </w:p>
          <w:p>
            <w:r>
              <w:rPr>
                <w:sz w:val="19"/>
              </w:rPr>
              <w:t>Industrial remains attractive, but performance is widening between newer last-mile/inland assets and softer coastal large-box exposure.</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Positive with lower overweight.</w:t>
            </w:r>
          </w:p>
          <w:p>
            <w:pPr>
              <w:pStyle w:val="ListBullet"/>
            </w:pPr>
            <w:r>
              <w:rPr>
                <w:b/>
                <w:sz w:val="18"/>
              </w:rPr>
              <w:t xml:space="preserve">Why now: </w:t>
            </w:r>
            <w:r>
              <w:rPr>
                <w:sz w:val="18"/>
              </w:rPr>
              <w:t>Supply is decelerating, in-place rents are still meaningfully below market, and inland/onshoring tailwinds support select markets.</w:t>
            </w:r>
          </w:p>
          <w:p>
            <w:pPr>
              <w:pStyle w:val="ListBullet"/>
            </w:pPr>
            <w:r>
              <w:rPr>
                <w:b/>
                <w:sz w:val="18"/>
              </w:rPr>
              <w:t xml:space="preserve">Key risk: </w:t>
            </w:r>
            <w:r>
              <w:rPr>
                <w:sz w:val="18"/>
              </w:rPr>
              <w:t>Near-term rent pressure persists in some coastal markets with higher vacancies.</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Optional submarket filter or toggle between “Market dynamics” and “Segmentation &amp; outlook”.</w:t>
            </w:r>
          </w:p>
          <w:p>
            <w:pPr>
              <w:pStyle w:val="ListBullet"/>
            </w:pPr>
            <w:r>
              <w:rPr>
                <w:sz w:val="18"/>
              </w:rPr>
              <w:t>Visual approach: Rebuild both charts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U.S. industrial completions, net absorption, and vacancy chart.</w:t>
            </w:r>
          </w:p>
          <w:p>
            <w:pPr>
              <w:pStyle w:val="ListBullet"/>
            </w:pPr>
            <w:r>
              <w:rPr>
                <w:color w:val="242F3D"/>
                <w:sz w:val="18"/>
              </w:rPr>
              <w:t>Open-end commingled fund industrial sector discount-to-market chart.</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Market dynamics: quality bifurcation, resilient last-mile demand, onshoring tailwinds, coastal caution.</w:t>
            </w:r>
          </w:p>
          <w:p>
            <w:pPr>
              <w:pStyle w:val="ListBullet"/>
            </w:pPr>
            <w:r>
              <w:rPr>
                <w:color w:val="242F3D"/>
                <w:sz w:val="18"/>
              </w:rPr>
              <w:t>Sector segmentation and outlook: outdoor storage resilient, cold storage mixed, specialized formats varied.</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prefer newer, well-located assets and inland markets with stronger yield.</w:t>
            </w:r>
          </w:p>
          <w:p>
            <w:pPr>
              <w:pStyle w:val="ListBullet"/>
            </w:pPr>
            <w:r>
              <w:rPr>
                <w:color w:val="242F3D"/>
                <w:sz w:val="18"/>
              </w:rPr>
              <w:t>Related pages: U.S. Sector Outlook, APAC Industrial/Logistics, Europe Industrial.</w:t>
            </w:r>
          </w:p>
          <w:p>
            <w:pPr>
              <w:pStyle w:val="ListBullet"/>
            </w:pPr>
            <w:r>
              <w:rPr>
                <w:color w:val="242F3D"/>
                <w:sz w:val="18"/>
              </w:rPr>
              <w:t>Source slide reference: p.18.</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both charts natively.</w:t>
            </w:r>
          </w:p>
        </w:tc>
      </w:tr>
    </w:tbl>
    <w:p/>
    <w:p>
      <w:pPr>
        <w:spacing w:before="200" w:after="80"/>
      </w:pPr>
      <w:r>
        <w:rPr>
          <w:b/>
          <w:color w:val="12385F"/>
          <w:sz w:val="32"/>
        </w:rPr>
        <w:t>U.S. Data Centers</w:t>
      </w:r>
    </w:p>
    <w:p>
      <w:pPr>
        <w:spacing w:after="120"/>
      </w:pPr>
      <w:r>
        <w:rPr>
          <w:color w:val="5B7998"/>
          <w:sz w:val="18"/>
        </w:rPr>
        <w:t>Source PDF page(s): p.19   |   Layout block: LB-3 Standard insight page   |   Priority: P1</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See why data centers are a conviction theme and what evidence supports development-led exposure.</w:t>
            </w:r>
          </w:p>
        </w:tc>
        <w:tc>
          <w:tcPr>
            <w:tcW w:type="dxa" w:w="4536"/>
            <w:tcMar>
              <w:top w:w="80" w:type="dxa"/>
              <w:start w:w="110" w:type="dxa"/>
              <w:bottom w:w="80" w:type="dxa"/>
              <w:end w:w="110" w:type="dxa"/>
            </w:tcMar>
            <w:shd w:fill="EAF0F7"/>
          </w:tcPr>
          <w:p>
            <w:r>
              <w:rPr>
                <w:b/>
                <w:color w:val="12385F"/>
                <w:sz w:val="19"/>
              </w:rPr>
              <w:t>One-line Townsend takeaway</w:t>
            </w:r>
          </w:p>
          <w:p>
            <w:r>
              <w:rPr>
                <w:sz w:val="19"/>
              </w:rPr>
              <w:t>AI-led leasing and hyperscaler expansion continue to push U.S. vacancies toward historic lows while power constraints reinforce long-duration value.</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Conviction theme with development preference.</w:t>
            </w:r>
          </w:p>
          <w:p>
            <w:pPr>
              <w:pStyle w:val="ListBullet"/>
            </w:pPr>
            <w:r>
              <w:rPr>
                <w:b/>
                <w:sz w:val="18"/>
              </w:rPr>
              <w:t xml:space="preserve">Why now: </w:t>
            </w:r>
            <w:r>
              <w:rPr>
                <w:sz w:val="18"/>
              </w:rPr>
              <w:t>Demand is materially ahead of supply, vacancies are near 2%, and major hyperscalers continue to raise capex budgets.</w:t>
            </w:r>
          </w:p>
          <w:p>
            <w:pPr>
              <w:pStyle w:val="ListBullet"/>
            </w:pPr>
            <w:r>
              <w:rPr>
                <w:b/>
                <w:sz w:val="18"/>
              </w:rPr>
              <w:t xml:space="preserve">Key risk: </w:t>
            </w:r>
            <w:r>
              <w:rPr>
                <w:sz w:val="18"/>
              </w:rPr>
              <w:t>Power availability and development execution are the main constraints to capturing the opportunity.</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Optional market selector to isolate Northern Virginia, Phoenix, Atlanta, Dallas, etc.</w:t>
            </w:r>
          </w:p>
          <w:p>
            <w:pPr>
              <w:pStyle w:val="ListBullet"/>
            </w:pPr>
            <w:r>
              <w:rPr>
                <w:sz w:val="18"/>
              </w:rPr>
              <w:t>Visual approach: Rebuild both charts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Current and planned capacity by major market (MW).</w:t>
            </w:r>
          </w:p>
          <w:p>
            <w:pPr>
              <w:pStyle w:val="ListBullet"/>
            </w:pPr>
            <w:r>
              <w:rPr>
                <w:color w:val="242F3D"/>
                <w:sz w:val="18"/>
              </w:rPr>
              <w:t>U.S. data-center vacancy trend chart.</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Market dynamics: hyperscaler and neocloud momentum, tight primary markets, spillover to secondary markets.</w:t>
            </w:r>
          </w:p>
          <w:p>
            <w:pPr>
              <w:pStyle w:val="ListBullet"/>
            </w:pPr>
            <w:r>
              <w:rPr>
                <w:color w:val="242F3D"/>
                <w:sz w:val="18"/>
              </w:rPr>
              <w:t>Outlook: durable NOI growth, supportive financing, limited stabilized-asset comps.</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prefer development-led exposure and selective operator partnerships.</w:t>
            </w:r>
          </w:p>
          <w:p>
            <w:pPr>
              <w:pStyle w:val="ListBullet"/>
            </w:pPr>
            <w:r>
              <w:rPr>
                <w:color w:val="242F3D"/>
                <w:sz w:val="18"/>
              </w:rPr>
              <w:t>Related pages: RE Investment Themes, Europe Data Centers, APAC Sector Outlook, Global Heat Map.</w:t>
            </w:r>
          </w:p>
          <w:p>
            <w:pPr>
              <w:pStyle w:val="ListBullet"/>
            </w:pPr>
            <w:r>
              <w:rPr>
                <w:color w:val="242F3D"/>
                <w:sz w:val="18"/>
              </w:rPr>
              <w:t>Source slide reference: p.19.</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both charts natively.</w:t>
            </w:r>
          </w:p>
        </w:tc>
      </w:tr>
    </w:tbl>
    <w:p/>
    <w:p>
      <w:pPr>
        <w:spacing w:before="200" w:after="80"/>
      </w:pPr>
      <w:r>
        <w:rPr>
          <w:b/>
          <w:color w:val="12385F"/>
          <w:sz w:val="32"/>
        </w:rPr>
        <w:t>U.S. Senior Housing</w:t>
      </w:r>
    </w:p>
    <w:p>
      <w:pPr>
        <w:spacing w:after="120"/>
      </w:pPr>
      <w:r>
        <w:rPr>
          <w:color w:val="5B7998"/>
          <w:sz w:val="18"/>
        </w:rPr>
        <w:t>Source PDF page(s): p.20   |   Layout block: LB-3 Standard insight page   |   Priority: P2</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Understand the durability of the senior housing recovery and why demographic tailwinds matter now.</w:t>
            </w:r>
          </w:p>
        </w:tc>
        <w:tc>
          <w:tcPr>
            <w:tcW w:type="dxa" w:w="4536"/>
            <w:tcMar>
              <w:top w:w="80" w:type="dxa"/>
              <w:start w:w="110" w:type="dxa"/>
              <w:bottom w:w="80" w:type="dxa"/>
              <w:end w:w="110" w:type="dxa"/>
            </w:tcMar>
            <w:shd w:fill="EAF0F7"/>
          </w:tcPr>
          <w:p>
            <w:r>
              <w:rPr>
                <w:b/>
                <w:color w:val="12385F"/>
                <w:sz w:val="19"/>
              </w:rPr>
              <w:t>One-line Townsend takeaway</w:t>
            </w:r>
          </w:p>
          <w:p>
            <w:r>
              <w:rPr>
                <w:sz w:val="19"/>
              </w:rPr>
              <w:t>Occupancy gains, constrained development, and improving affordability support a multi-year senior housing recovery.</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Positive / high-conviction recovery theme.</w:t>
            </w:r>
          </w:p>
          <w:p>
            <w:pPr>
              <w:pStyle w:val="ListBullet"/>
            </w:pPr>
            <w:r>
              <w:rPr>
                <w:b/>
                <w:sz w:val="18"/>
              </w:rPr>
              <w:t xml:space="preserve">Why now: </w:t>
            </w:r>
            <w:r>
              <w:rPr>
                <w:sz w:val="18"/>
              </w:rPr>
              <w:t>Demand is outpacing supply, the 80+ population is accelerating, and development remains far below prior peaks.</w:t>
            </w:r>
          </w:p>
          <w:p>
            <w:pPr>
              <w:pStyle w:val="ListBullet"/>
            </w:pPr>
            <w:r>
              <w:rPr>
                <w:b/>
                <w:sz w:val="18"/>
              </w:rPr>
              <w:t xml:space="preserve">Key risk: </w:t>
            </w:r>
            <w:r>
              <w:rPr>
                <w:sz w:val="18"/>
              </w:rPr>
              <w:t>Operator execution and cost pressure can still differentiate returns meaningfully across subtypes.</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Toggle between overall sector view and subtype view.</w:t>
            </w:r>
          </w:p>
          <w:p>
            <w:pPr>
              <w:pStyle w:val="ListBullet"/>
            </w:pPr>
            <w:r>
              <w:rPr>
                <w:sz w:val="18"/>
              </w:rPr>
              <w:t>Visual approach: Rebuild both visuals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Net new supply and demand plus occupancy chart.</w:t>
            </w:r>
          </w:p>
          <w:p>
            <w:pPr>
              <w:pStyle w:val="ListBullet"/>
            </w:pPr>
            <w:r>
              <w:rPr>
                <w:color w:val="242F3D"/>
                <w:sz w:val="18"/>
              </w:rPr>
              <w:t>Senior housing subtype fundamentals table.</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Market dynamics: demographic acceleration, emerging supply shortfall, affordability improving.</w:t>
            </w:r>
          </w:p>
          <w:p>
            <w:pPr>
              <w:pStyle w:val="ListBullet"/>
            </w:pPr>
            <w:r>
              <w:rPr>
                <w:color w:val="242F3D"/>
                <w:sz w:val="18"/>
              </w:rPr>
              <w:t>Positioning: recovery broadening across IL/AL/Memory Care, lower-acuity formats offer better NOI margins.</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seek stabilized assets below replacement cost and best-in-class operators.</w:t>
            </w:r>
          </w:p>
          <w:p>
            <w:pPr>
              <w:pStyle w:val="ListBullet"/>
            </w:pPr>
            <w:r>
              <w:rPr>
                <w:color w:val="242F3D"/>
                <w:sz w:val="18"/>
              </w:rPr>
              <w:t>Related pages: RE Investment Themes, U.S. Sector Outlook, APAC Living, Global Heat Map.</w:t>
            </w:r>
          </w:p>
          <w:p>
            <w:pPr>
              <w:pStyle w:val="ListBullet"/>
            </w:pPr>
            <w:r>
              <w:rPr>
                <w:color w:val="242F3D"/>
                <w:sz w:val="18"/>
              </w:rPr>
              <w:t>Source slide reference: p.20.</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both visuals natively.</w:t>
            </w:r>
          </w:p>
        </w:tc>
      </w:tr>
    </w:tbl>
    <w:p/>
    <w:p>
      <w:pPr>
        <w:spacing w:before="200" w:after="80"/>
      </w:pPr>
      <w:r>
        <w:rPr>
          <w:b/>
          <w:color w:val="12385F"/>
          <w:sz w:val="32"/>
        </w:rPr>
        <w:t>U.S. Triple Net</w:t>
      </w:r>
    </w:p>
    <w:p>
      <w:pPr>
        <w:spacing w:after="120"/>
      </w:pPr>
      <w:r>
        <w:rPr>
          <w:color w:val="5B7998"/>
          <w:sz w:val="18"/>
        </w:rPr>
        <w:t>Source PDF page(s): p.21   |   Layout block: LB-3 Standard insight page   |   Priority: P2</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Evaluate triple-net lease as a defensive income allocation within the U.S. opportunity set.</w:t>
            </w:r>
          </w:p>
        </w:tc>
        <w:tc>
          <w:tcPr>
            <w:tcW w:type="dxa" w:w="4536"/>
            <w:tcMar>
              <w:top w:w="80" w:type="dxa"/>
              <w:start w:w="110" w:type="dxa"/>
              <w:bottom w:w="80" w:type="dxa"/>
              <w:end w:w="110" w:type="dxa"/>
            </w:tcMar>
            <w:shd w:fill="EAF0F7"/>
          </w:tcPr>
          <w:p>
            <w:r>
              <w:rPr>
                <w:b/>
                <w:color w:val="12385F"/>
                <w:sz w:val="19"/>
              </w:rPr>
              <w:t>One-line Townsend takeaway</w:t>
            </w:r>
          </w:p>
          <w:p>
            <w:r>
              <w:rPr>
                <w:sz w:val="19"/>
              </w:rPr>
              <w:t>High-credit tenancy, long leases, and easing rates strengthen the case for net lease as a defensive income strategy with some appreciation potential.</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Selective positive; useful income anchor.</w:t>
            </w:r>
          </w:p>
          <w:p>
            <w:pPr>
              <w:pStyle w:val="ListBullet"/>
            </w:pPr>
            <w:r>
              <w:rPr>
                <w:b/>
                <w:sz w:val="18"/>
              </w:rPr>
              <w:t xml:space="preserve">Why now: </w:t>
            </w:r>
            <w:r>
              <w:rPr>
                <w:sz w:val="18"/>
              </w:rPr>
              <w:t>Nominal cap rates have widened to attractive levels and transaction activity is stabilizing.</w:t>
            </w:r>
          </w:p>
          <w:p>
            <w:pPr>
              <w:pStyle w:val="ListBullet"/>
            </w:pPr>
            <w:r>
              <w:rPr>
                <w:b/>
                <w:sz w:val="18"/>
              </w:rPr>
              <w:t xml:space="preserve">Key risk: </w:t>
            </w:r>
            <w:r>
              <w:rPr>
                <w:sz w:val="18"/>
              </w:rPr>
              <w:t>The opportunity is more about defensive income than outsized growth, so relative excitement may be lower than alternatives.</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Optional comparison toggle versus ODCE/core real estate.</w:t>
            </w:r>
          </w:p>
          <w:p>
            <w:pPr>
              <w:pStyle w:val="ListBullet"/>
            </w:pPr>
            <w:r>
              <w:rPr>
                <w:sz w:val="18"/>
              </w:rPr>
              <w:t>Visual approach: Rebuild both visuals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Risk-profile comparison table: Net Lease vs. Core/Core-Plus/Value-Add/Opportunistic.</w:t>
            </w:r>
          </w:p>
          <w:p>
            <w:pPr>
              <w:pStyle w:val="ListBullet"/>
            </w:pPr>
            <w:r>
              <w:rPr>
                <w:color w:val="242F3D"/>
                <w:sz w:val="18"/>
              </w:rPr>
              <w:t>Transaction volume and median cap-rate chart.</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Market dynamics: durable income, attractive relative yields, healthy tenant credit.</w:t>
            </w:r>
          </w:p>
          <w:p>
            <w:pPr>
              <w:pStyle w:val="ListBullet"/>
            </w:pPr>
            <w:r>
              <w:rPr>
                <w:color w:val="242F3D"/>
                <w:sz w:val="18"/>
              </w:rPr>
              <w:t>Positioning: late-cycle fit, future appreciation catalyst if cap rates compress, inflation-risk pass-through.</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use as high-income ballast inside broader allocations.</w:t>
            </w:r>
          </w:p>
          <w:p>
            <w:pPr>
              <w:pStyle w:val="ListBullet"/>
            </w:pPr>
            <w:r>
              <w:rPr>
                <w:color w:val="242F3D"/>
                <w:sz w:val="18"/>
              </w:rPr>
              <w:t>Related pages: Capital Market Themes, U.S. Retail, U.S. Market Condition.</w:t>
            </w:r>
          </w:p>
          <w:p>
            <w:pPr>
              <w:pStyle w:val="ListBullet"/>
            </w:pPr>
            <w:r>
              <w:rPr>
                <w:color w:val="242F3D"/>
                <w:sz w:val="18"/>
              </w:rPr>
              <w:t>Source slide reference: p.21.</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both visuals natively.</w:t>
            </w:r>
          </w:p>
        </w:tc>
      </w:tr>
    </w:tbl>
    <w:p/>
    <w:p>
      <w:pPr>
        <w:spacing w:before="200" w:after="80"/>
      </w:pPr>
      <w:r>
        <w:rPr>
          <w:b/>
          <w:color w:val="12385F"/>
          <w:sz w:val="32"/>
        </w:rPr>
        <w:t>U.S. Retail</w:t>
      </w:r>
    </w:p>
    <w:p>
      <w:pPr>
        <w:spacing w:after="120"/>
      </w:pPr>
      <w:r>
        <w:rPr>
          <w:color w:val="5B7998"/>
          <w:sz w:val="18"/>
        </w:rPr>
        <w:t>Source PDF page(s): p.22   |   Layout block: LB-3 Standard insight page   |   Priority: P2</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Understand why Townsend is turning selectively positive on retail despite softer consumer sentiment.</w:t>
            </w:r>
          </w:p>
        </w:tc>
        <w:tc>
          <w:tcPr>
            <w:tcW w:type="dxa" w:w="4536"/>
            <w:tcMar>
              <w:top w:w="80" w:type="dxa"/>
              <w:start w:w="110" w:type="dxa"/>
              <w:bottom w:w="80" w:type="dxa"/>
              <w:end w:w="110" w:type="dxa"/>
            </w:tcMar>
            <w:shd w:fill="EAF0F7"/>
          </w:tcPr>
          <w:p>
            <w:r>
              <w:rPr>
                <w:b/>
                <w:color w:val="12385F"/>
                <w:sz w:val="19"/>
              </w:rPr>
              <w:t>One-line Townsend takeaway</w:t>
            </w:r>
          </w:p>
          <w:p>
            <w:r>
              <w:rPr>
                <w:sz w:val="19"/>
              </w:rPr>
              <w:t>Necessity retail and upper-income demand support fundamentals, while supply remains low enough to offset softer sentiment and lingering e-commerce pressure.</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Turning selectively positive.</w:t>
            </w:r>
          </w:p>
          <w:p>
            <w:pPr>
              <w:pStyle w:val="ListBullet"/>
            </w:pPr>
            <w:r>
              <w:rPr>
                <w:b/>
                <w:sz w:val="18"/>
              </w:rPr>
              <w:t xml:space="preserve">Why now: </w:t>
            </w:r>
            <w:r>
              <w:rPr>
                <w:sz w:val="18"/>
              </w:rPr>
              <w:t>Supply growth is well below other property types and occupancy at strip centers has stabilized strongly from COVID lows.</w:t>
            </w:r>
          </w:p>
          <w:p>
            <w:pPr>
              <w:pStyle w:val="ListBullet"/>
            </w:pPr>
            <w:r>
              <w:rPr>
                <w:b/>
                <w:sz w:val="18"/>
              </w:rPr>
              <w:t xml:space="preserve">Key risk: </w:t>
            </w:r>
            <w:r>
              <w:rPr>
                <w:sz w:val="18"/>
              </w:rPr>
              <w:t>Consumer sentiment, tariffs, and digital competition remain real headwinds into 2026.</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Optional subsector filter: strip center vs. mall.</w:t>
            </w:r>
          </w:p>
          <w:p>
            <w:pPr>
              <w:pStyle w:val="ListBullet"/>
            </w:pPr>
            <w:r>
              <w:rPr>
                <w:sz w:val="18"/>
              </w:rPr>
              <w:t>Visual approach: Rebuild both charts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Average annual supply growth by asset class chart.</w:t>
            </w:r>
          </w:p>
          <w:p>
            <w:pPr>
              <w:pStyle w:val="ListBullet"/>
            </w:pPr>
            <w:r>
              <w:rPr>
                <w:color w:val="242F3D"/>
                <w:sz w:val="18"/>
              </w:rPr>
              <w:t>Strip center REIT leased occupancy rate chart.</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Market dynamics: constrained supply, firming occupancy, format resilience in grocer-anchored and necessity-led centers.</w:t>
            </w:r>
          </w:p>
          <w:p>
            <w:pPr>
              <w:pStyle w:val="ListBullet"/>
            </w:pPr>
            <w:r>
              <w:rPr>
                <w:color w:val="242F3D"/>
                <w:sz w:val="18"/>
              </w:rPr>
              <w:t>Headwinds: weak confidence, tariff uncertainty, structural e-commerce competition.</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focus on necessity-anchored suburban retail and stronger demographics.</w:t>
            </w:r>
          </w:p>
          <w:p>
            <w:pPr>
              <w:pStyle w:val="ListBullet"/>
            </w:pPr>
            <w:r>
              <w:rPr>
                <w:color w:val="242F3D"/>
                <w:sz w:val="18"/>
              </w:rPr>
              <w:t>Related pages: U.S. Sector Outlook, Europe Retail &amp; Office, APAC Retail.</w:t>
            </w:r>
          </w:p>
          <w:p>
            <w:pPr>
              <w:pStyle w:val="ListBullet"/>
            </w:pPr>
            <w:r>
              <w:rPr>
                <w:color w:val="242F3D"/>
                <w:sz w:val="18"/>
              </w:rPr>
              <w:t>Source slide reference: p.22.</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both charts natively.</w:t>
            </w:r>
          </w:p>
        </w:tc>
      </w:tr>
    </w:tbl>
    <w:p/>
    <w:p>
      <w:pPr>
        <w:spacing w:before="200" w:after="80"/>
      </w:pPr>
      <w:r>
        <w:rPr>
          <w:b/>
          <w:color w:val="12385F"/>
          <w:sz w:val="32"/>
        </w:rPr>
        <w:t>U.S. Office</w:t>
      </w:r>
    </w:p>
    <w:p>
      <w:pPr>
        <w:spacing w:after="120"/>
      </w:pPr>
      <w:r>
        <w:rPr>
          <w:color w:val="5B7998"/>
          <w:sz w:val="18"/>
        </w:rPr>
        <w:t>Source PDF page(s): p.23   |   Layout block: LB-3 Standard insight page   |   Priority: P2</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Assess whether repriced office values and improving leasing justify selective re-entry.</w:t>
            </w:r>
          </w:p>
        </w:tc>
        <w:tc>
          <w:tcPr>
            <w:tcW w:type="dxa" w:w="4536"/>
            <w:tcMar>
              <w:top w:w="80" w:type="dxa"/>
              <w:start w:w="110" w:type="dxa"/>
              <w:bottom w:w="80" w:type="dxa"/>
              <w:end w:w="110" w:type="dxa"/>
            </w:tcMar>
            <w:shd w:fill="EAF0F7"/>
          </w:tcPr>
          <w:p>
            <w:r>
              <w:rPr>
                <w:b/>
                <w:color w:val="12385F"/>
                <w:sz w:val="19"/>
              </w:rPr>
              <w:t>One-line Townsend takeaway</w:t>
            </w:r>
          </w:p>
          <w:p>
            <w:r>
              <w:rPr>
                <w:sz w:val="19"/>
              </w:rPr>
              <w:t>Valuations have reset and leasing is improving, but the recovery remains uneven and highly asset-specific.</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Remain cautious and very selective.</w:t>
            </w:r>
          </w:p>
          <w:p>
            <w:pPr>
              <w:pStyle w:val="ListBullet"/>
            </w:pPr>
            <w:r>
              <w:rPr>
                <w:b/>
                <w:sz w:val="18"/>
              </w:rPr>
              <w:t xml:space="preserve">Why now: </w:t>
            </w:r>
            <w:r>
              <w:rPr>
                <w:sz w:val="18"/>
              </w:rPr>
              <w:t>Office values are down sharply, supply is muted, and financing conditions are steadier, creating isolated opportunities.</w:t>
            </w:r>
          </w:p>
          <w:p>
            <w:pPr>
              <w:pStyle w:val="ListBullet"/>
            </w:pPr>
            <w:r>
              <w:rPr>
                <w:b/>
                <w:sz w:val="18"/>
              </w:rPr>
              <w:t xml:space="preserve">Key risk: </w:t>
            </w:r>
            <w:r>
              <w:rPr>
                <w:sz w:val="18"/>
              </w:rPr>
              <w:t>Weak office-using job growth, high concessions, and heavy capex burdens continue to weigh on the sector.</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Optional gateway/non-gateway toggle.</w:t>
            </w:r>
          </w:p>
          <w:p>
            <w:pPr>
              <w:pStyle w:val="ListBullet"/>
            </w:pPr>
            <w:r>
              <w:rPr>
                <w:sz w:val="18"/>
              </w:rPr>
              <w:t>Visual approach: Rebuild both visuals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Office unlevered returns annualized chart.</w:t>
            </w:r>
          </w:p>
          <w:p>
            <w:pPr>
              <w:pStyle w:val="ListBullet"/>
            </w:pPr>
            <w:r>
              <w:rPr>
                <w:color w:val="242F3D"/>
                <w:sz w:val="18"/>
              </w:rPr>
              <w:t>Office supply growth chart with gateway vs. non-gateway table.</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Market dynamics: reset values, improving touring and deal activity, selective RTO stabilization.</w:t>
            </w:r>
          </w:p>
          <w:p>
            <w:pPr>
              <w:pStyle w:val="ListBullet"/>
            </w:pPr>
            <w:r>
              <w:rPr>
                <w:color w:val="242F3D"/>
                <w:sz w:val="18"/>
              </w:rPr>
              <w:t>Selective opportunities: senior capital-stack positions in high-quality gateway assets; selective conversion cases.</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pursue only structured, high-quality, repriced opportunities.</w:t>
            </w:r>
          </w:p>
          <w:p>
            <w:pPr>
              <w:pStyle w:val="ListBullet"/>
            </w:pPr>
            <w:r>
              <w:rPr>
                <w:color w:val="242F3D"/>
                <w:sz w:val="18"/>
              </w:rPr>
              <w:t>Related pages: Europe Retail &amp; Office, Global Heat Map, U.S. Sector Outlook.</w:t>
            </w:r>
          </w:p>
          <w:p>
            <w:pPr>
              <w:pStyle w:val="ListBullet"/>
            </w:pPr>
            <w:r>
              <w:rPr>
                <w:color w:val="242F3D"/>
                <w:sz w:val="18"/>
              </w:rPr>
              <w:t>Source slide reference: p.23.</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both visuals natively.</w:t>
            </w:r>
          </w:p>
        </w:tc>
      </w:tr>
    </w:tbl>
    <w:p/>
    <w:p>
      <w:pPr>
        <w:spacing w:before="200" w:after="80"/>
      </w:pPr>
      <w:r>
        <w:rPr>
          <w:b/>
          <w:color w:val="12385F"/>
          <w:sz w:val="32"/>
        </w:rPr>
        <w:t>U.S. Cold Storage</w:t>
      </w:r>
    </w:p>
    <w:p>
      <w:pPr>
        <w:spacing w:after="120"/>
      </w:pPr>
      <w:r>
        <w:rPr>
          <w:color w:val="5B7998"/>
          <w:sz w:val="18"/>
        </w:rPr>
        <w:t>Source PDF page(s): p.24   |   Layout block: LB-3 Standard insight page   |   Priority: P3</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Separate strong long-term cold-storage demand from near-term oversupply pressure.</w:t>
            </w:r>
          </w:p>
        </w:tc>
        <w:tc>
          <w:tcPr>
            <w:tcW w:type="dxa" w:w="4536"/>
            <w:tcMar>
              <w:top w:w="80" w:type="dxa"/>
              <w:start w:w="110" w:type="dxa"/>
              <w:bottom w:w="80" w:type="dxa"/>
              <w:end w:w="110" w:type="dxa"/>
            </w:tcMar>
            <w:shd w:fill="EAF0F7"/>
          </w:tcPr>
          <w:p>
            <w:r>
              <w:rPr>
                <w:b/>
                <w:color w:val="12385F"/>
                <w:sz w:val="19"/>
              </w:rPr>
              <w:t>One-line Townsend takeaway</w:t>
            </w:r>
          </w:p>
          <w:p>
            <w:r>
              <w:rPr>
                <w:sz w:val="19"/>
              </w:rPr>
              <w:t>Cold storage has attractive structural drivers, but near-term oversupply is weighing on occupancy and same-store NOI.</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Selective / medium-term opportunity; near-term caution warranted.</w:t>
            </w:r>
          </w:p>
          <w:p>
            <w:pPr>
              <w:pStyle w:val="ListBullet"/>
            </w:pPr>
            <w:r>
              <w:rPr>
                <w:b/>
                <w:sz w:val="18"/>
              </w:rPr>
              <w:t xml:space="preserve">Why now: </w:t>
            </w:r>
            <w:r>
              <w:rPr>
                <w:sz w:val="18"/>
              </w:rPr>
              <w:t>Supply is decelerating but not yet fully absorbed; secular grocery and pharma demand remain intact.</w:t>
            </w:r>
          </w:p>
          <w:p>
            <w:pPr>
              <w:pStyle w:val="ListBullet"/>
            </w:pPr>
            <w:r>
              <w:rPr>
                <w:b/>
                <w:sz w:val="18"/>
              </w:rPr>
              <w:t xml:space="preserve">Key risk: </w:t>
            </w:r>
            <w:r>
              <w:rPr>
                <w:sz w:val="18"/>
              </w:rPr>
              <w:t>Physical and economic occupancy could stay soft longer than expected.</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Optional operator comparison (COLD vs. LINE) within occupancy chart.</w:t>
            </w:r>
          </w:p>
          <w:p>
            <w:pPr>
              <w:pStyle w:val="ListBullet"/>
            </w:pPr>
            <w:r>
              <w:rPr>
                <w:sz w:val="18"/>
              </w:rPr>
              <w:t>Visual approach: Rebuild both visuals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Forecasted global cold-storage market size by region.</w:t>
            </w:r>
          </w:p>
          <w:p>
            <w:pPr>
              <w:pStyle w:val="ListBullet"/>
            </w:pPr>
            <w:r>
              <w:rPr>
                <w:color w:val="242F3D"/>
                <w:sz w:val="18"/>
              </w:rPr>
              <w:t>Same-store occupancy statistics for COLD and LINE.</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Market dynamics: oversupply, supply deceleration, modernization trend, durable demand drivers.</w:t>
            </w:r>
          </w:p>
          <w:p>
            <w:pPr>
              <w:pStyle w:val="ListBullet"/>
            </w:pPr>
            <w:r>
              <w:rPr>
                <w:color w:val="242F3D"/>
                <w:sz w:val="18"/>
              </w:rPr>
              <w:t>Investment view: attractive medium-term opportunity once occupancy stabilizes; avoid obsolete assets.</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delay broad deployment until rebalancing progresses, but keep modern facilities on watchlist.</w:t>
            </w:r>
          </w:p>
          <w:p>
            <w:pPr>
              <w:pStyle w:val="ListBullet"/>
            </w:pPr>
            <w:r>
              <w:rPr>
                <w:color w:val="242F3D"/>
                <w:sz w:val="18"/>
              </w:rPr>
              <w:t>Related pages: U.S. Industrial, U.S. Sector Outlook.</w:t>
            </w:r>
          </w:p>
          <w:p>
            <w:pPr>
              <w:pStyle w:val="ListBullet"/>
            </w:pPr>
            <w:r>
              <w:rPr>
                <w:color w:val="242F3D"/>
                <w:sz w:val="18"/>
              </w:rPr>
              <w:t>Source slide reference: p.24.</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both visuals natively.</w:t>
            </w:r>
          </w:p>
        </w:tc>
      </w:tr>
    </w:tbl>
    <w:p/>
    <w:p>
      <w:pPr>
        <w:spacing w:before="200" w:after="80"/>
      </w:pPr>
      <w:r>
        <w:rPr>
          <w:b/>
          <w:color w:val="12385F"/>
          <w:sz w:val="32"/>
        </w:rPr>
        <w:t>U.S. Residential</w:t>
      </w:r>
    </w:p>
    <w:p>
      <w:pPr>
        <w:spacing w:after="120"/>
      </w:pPr>
      <w:r>
        <w:rPr>
          <w:color w:val="5B7998"/>
          <w:sz w:val="18"/>
        </w:rPr>
        <w:t>Source PDF page(s): p.25   |   Layout block: LB-3 Standard insight page   |   Priority: P2</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See the distinction between apartments facing temporary supply pressure and SFR benefiting from steadier affordability-driven demand.</w:t>
            </w:r>
          </w:p>
        </w:tc>
        <w:tc>
          <w:tcPr>
            <w:tcW w:type="dxa" w:w="4536"/>
            <w:tcMar>
              <w:top w:w="80" w:type="dxa"/>
              <w:start w:w="110" w:type="dxa"/>
              <w:bottom w:w="80" w:type="dxa"/>
              <w:end w:w="110" w:type="dxa"/>
            </w:tcMar>
            <w:shd w:fill="EAF0F7"/>
          </w:tcPr>
          <w:p>
            <w:r>
              <w:rPr>
                <w:b/>
                <w:color w:val="12385F"/>
                <w:sz w:val="19"/>
              </w:rPr>
              <w:t>One-line Townsend takeaway</w:t>
            </w:r>
          </w:p>
          <w:p>
            <w:r>
              <w:rPr>
                <w:sz w:val="19"/>
              </w:rPr>
              <w:t>Apartment fundamentals are gradually improving as supply rolls over, while SFR appears more resilient because affordability remains stretched.</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Maintain overweight with tighter focus; BTR/SFR higher conviction than broad apartments.</w:t>
            </w:r>
          </w:p>
          <w:p>
            <w:pPr>
              <w:pStyle w:val="ListBullet"/>
            </w:pPr>
            <w:r>
              <w:rPr>
                <w:b/>
                <w:sz w:val="18"/>
              </w:rPr>
              <w:t xml:space="preserve">Why now: </w:t>
            </w:r>
            <w:r>
              <w:rPr>
                <w:sz w:val="18"/>
              </w:rPr>
              <w:t>Multifamily supply peaks in 2025 then moderates, while SFR rents and NOI remain steadier through softer conditions.</w:t>
            </w:r>
          </w:p>
          <w:p>
            <w:pPr>
              <w:pStyle w:val="ListBullet"/>
            </w:pPr>
            <w:r>
              <w:rPr>
                <w:b/>
                <w:sz w:val="18"/>
              </w:rPr>
              <w:t xml:space="preserve">Key risk: </w:t>
            </w:r>
            <w:r>
              <w:rPr>
                <w:sz w:val="18"/>
              </w:rPr>
              <w:t>Sun Belt oversupply and slower household formation could prolong apartment softness.</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Toggle between Apartments and SFR commentary states.</w:t>
            </w:r>
          </w:p>
          <w:p>
            <w:pPr>
              <w:pStyle w:val="ListBullet"/>
            </w:pPr>
            <w:r>
              <w:rPr>
                <w:sz w:val="18"/>
              </w:rPr>
              <w:t>Visual approach: Rebuild both charts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Multifamily supply growth as % of inventory chart.</w:t>
            </w:r>
          </w:p>
          <w:p>
            <w:pPr>
              <w:pStyle w:val="ListBullet"/>
            </w:pPr>
            <w:r>
              <w:rPr>
                <w:color w:val="242F3D"/>
                <w:sz w:val="18"/>
              </w:rPr>
              <w:t>SFR REIT same-store revenue growth chart.</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Apartments: supply cresting, demand softer than expected, strong regional dispersion.</w:t>
            </w:r>
          </w:p>
          <w:p>
            <w:pPr>
              <w:pStyle w:val="ListBullet"/>
            </w:pPr>
            <w:r>
              <w:rPr>
                <w:color w:val="242F3D"/>
                <w:sz w:val="18"/>
              </w:rPr>
              <w:t>SFR: tighter affordability, steadier rents, stabilizing expenses.</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focus on low-supply apartment markets and BTR/SFR strategies with stronger operational edge.</w:t>
            </w:r>
          </w:p>
          <w:p>
            <w:pPr>
              <w:pStyle w:val="ListBullet"/>
            </w:pPr>
            <w:r>
              <w:rPr>
                <w:color w:val="242F3D"/>
                <w:sz w:val="18"/>
              </w:rPr>
              <w:t>Related pages: U.S. Sector Outlook, U.S. SFR political-risk page, APAC Living.</w:t>
            </w:r>
          </w:p>
          <w:p>
            <w:pPr>
              <w:pStyle w:val="ListBullet"/>
            </w:pPr>
            <w:r>
              <w:rPr>
                <w:color w:val="242F3D"/>
                <w:sz w:val="18"/>
              </w:rPr>
              <w:t>Source slide reference: p.25.</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both charts natively.</w:t>
            </w:r>
          </w:p>
        </w:tc>
      </w:tr>
    </w:tbl>
    <w:p/>
    <w:p>
      <w:pPr>
        <w:spacing w:before="200" w:after="80"/>
      </w:pPr>
      <w:r>
        <w:rPr>
          <w:b/>
          <w:color w:val="12385F"/>
          <w:sz w:val="32"/>
        </w:rPr>
        <w:t>U.S. SFR / political risk</w:t>
      </w:r>
    </w:p>
    <w:p>
      <w:pPr>
        <w:spacing w:after="120"/>
      </w:pPr>
      <w:r>
        <w:rPr>
          <w:color w:val="5B7998"/>
          <w:sz w:val="18"/>
        </w:rPr>
        <w:t>Source PDF page(s): p.26   |   Layout block: LB-4 Cards / infographic page   |   Priority: P3</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Understand the January executive-order risk without confusing headline risk for a thesis break.</w:t>
            </w:r>
          </w:p>
        </w:tc>
        <w:tc>
          <w:tcPr>
            <w:tcW w:type="dxa" w:w="4536"/>
            <w:tcMar>
              <w:top w:w="80" w:type="dxa"/>
              <w:start w:w="110" w:type="dxa"/>
              <w:bottom w:w="80" w:type="dxa"/>
              <w:end w:w="110" w:type="dxa"/>
            </w:tcMar>
            <w:shd w:fill="EAF0F7"/>
          </w:tcPr>
          <w:p>
            <w:r>
              <w:rPr>
                <w:b/>
                <w:color w:val="12385F"/>
                <w:sz w:val="19"/>
              </w:rPr>
              <w:t>One-line Townsend takeaway</w:t>
            </w:r>
          </w:p>
          <w:p>
            <w:r>
              <w:rPr>
                <w:sz w:val="19"/>
              </w:rPr>
              <w:t>Political risk has increased for institutional SFR acquisitions, but fundamentals remain intact and Build-to-Rent is a likely beneficiary.</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Headline/policy risk is real, but fundamental disruption appears modest.</w:t>
            </w:r>
          </w:p>
          <w:p>
            <w:pPr>
              <w:pStyle w:val="ListBullet"/>
            </w:pPr>
            <w:r>
              <w:rPr>
                <w:b/>
                <w:sz w:val="18"/>
              </w:rPr>
              <w:t xml:space="preserve">Why now: </w:t>
            </w:r>
            <w:r>
              <w:rPr>
                <w:sz w:val="18"/>
              </w:rPr>
              <w:t>The executive order affects perception, financing posture, and portfolio M&amp;A behavior right now.</w:t>
            </w:r>
          </w:p>
          <w:p>
            <w:pPr>
              <w:pStyle w:val="ListBullet"/>
            </w:pPr>
            <w:r>
              <w:rPr>
                <w:b/>
                <w:sz w:val="18"/>
              </w:rPr>
              <w:t xml:space="preserve">Key risk: </w:t>
            </w:r>
            <w:r>
              <w:rPr>
                <w:sz w:val="18"/>
              </w:rPr>
              <w:t>If policy implementation becomes more aggressive, transaction volumes or sentiment may weaken beyond current expectations.</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Optional expandable notes under each of the three cards.</w:t>
            </w:r>
          </w:p>
          <w:p>
            <w:pPr>
              <w:pStyle w:val="ListBullet"/>
            </w:pPr>
            <w:r>
              <w:rPr>
                <w:sz w:val="18"/>
              </w:rPr>
              <w:t>Visual approach: Embed or hybrid. Recreate as stylized native cards only if time permits; otherwise preserve the page structure directly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Three-column card grid mirroring the original slide: Trump’s January Executive Order / Immediate Impact / Market Reactions.</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Keep commentary light; this page is primarily about structured narrative, not quantitative evidence.</w:t>
            </w:r>
          </w:p>
          <w:p>
            <w:pPr>
              <w:pStyle w:val="ListBullet"/>
            </w:pPr>
            <w:r>
              <w:rPr>
                <w:color w:val="242F3D"/>
                <w:sz w:val="18"/>
              </w:rPr>
              <w:t>Optional short note clarifying why BTR is viewed as the main beneficiary.</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prefer Build-to-Rent and be cautious on large scattered-site portfolio acquisitions.</w:t>
            </w:r>
          </w:p>
          <w:p>
            <w:pPr>
              <w:pStyle w:val="ListBullet"/>
            </w:pPr>
            <w:r>
              <w:rPr>
                <w:color w:val="242F3D"/>
                <w:sz w:val="18"/>
              </w:rPr>
              <w:t>Related pages: U.S. Residential, U.S. Sector Outlook, Global Heat Map Build-to-Rent row.</w:t>
            </w:r>
          </w:p>
          <w:p>
            <w:pPr>
              <w:pStyle w:val="ListBullet"/>
            </w:pPr>
            <w:r>
              <w:rPr>
                <w:color w:val="242F3D"/>
                <w:sz w:val="18"/>
              </w:rPr>
              <w:t>Source slide reference: p.26.</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Embed or hybrid. Recreate as stylized native cards only if time permits; otherwise preserve the page structure directly.</w:t>
            </w:r>
          </w:p>
        </w:tc>
      </w:tr>
    </w:tbl>
    <w:p/>
    <w:p>
      <w:r>
        <w:br w:type="page"/>
      </w:r>
    </w:p>
    <w:p>
      <w:pPr>
        <w:spacing w:before="200" w:after="80"/>
      </w:pPr>
      <w:r>
        <w:rPr>
          <w:b/>
          <w:color w:val="12385F"/>
          <w:sz w:val="32"/>
        </w:rPr>
        <w:t>8. Europe section blueprint</w:t>
      </w:r>
    </w:p>
    <w:p>
      <w:pPr>
        <w:spacing w:after="40"/>
      </w:pPr>
      <w:r>
        <w:rPr>
          <w:color w:val="242F3D"/>
          <w:sz w:val="20"/>
        </w:rPr>
        <w:t>The Europe section should read as selective re-entry after repricing. The source slides emphasize muted growth but favorable rates, stabilization in values and transaction volumes, strongest conviction in data centers and logistics, attractive but regulation-aware residential exposure, and continued caution on office and parts of retail.</w:t>
      </w:r>
    </w:p>
    <w:p>
      <w:pPr>
        <w:spacing w:before="200" w:after="80"/>
      </w:pPr>
      <w:r>
        <w:rPr>
          <w:b/>
          <w:color w:val="12385F"/>
          <w:sz w:val="32"/>
        </w:rPr>
        <w:t>Europe Market Condition</w:t>
      </w:r>
    </w:p>
    <w:p>
      <w:pPr>
        <w:spacing w:after="120"/>
      </w:pPr>
      <w:r>
        <w:rPr>
          <w:color w:val="5B7998"/>
          <w:sz w:val="18"/>
        </w:rPr>
        <w:t>Source PDF page(s): pp.28-29   |   Layout block: LB-3 Standard insight page   |   Priority: P1</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Understand how muted growth, lower rates, valuation stabilization, and reduced pipelines combine into a selective re-entry case for Europe.</w:t>
            </w:r>
          </w:p>
        </w:tc>
        <w:tc>
          <w:tcPr>
            <w:tcW w:type="dxa" w:w="4536"/>
            <w:tcMar>
              <w:top w:w="80" w:type="dxa"/>
              <w:start w:w="110" w:type="dxa"/>
              <w:bottom w:w="80" w:type="dxa"/>
              <w:end w:w="110" w:type="dxa"/>
            </w:tcMar>
            <w:shd w:fill="EAF0F7"/>
          </w:tcPr>
          <w:p>
            <w:r>
              <w:rPr>
                <w:b/>
                <w:color w:val="12385F"/>
                <w:sz w:val="19"/>
              </w:rPr>
              <w:t>One-line Townsend takeaway</w:t>
            </w:r>
          </w:p>
          <w:p>
            <w:r>
              <w:rPr>
                <w:sz w:val="19"/>
              </w:rPr>
              <w:t>Weak growth is offset by favorable rates, stabilizing yields, shrinking construction pipelines, and recovering transaction activity.</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Europe is improving, but selectively and unevenly by country and sector.</w:t>
            </w:r>
          </w:p>
          <w:p>
            <w:pPr>
              <w:pStyle w:val="ListBullet"/>
            </w:pPr>
            <w:r>
              <w:rPr>
                <w:b/>
                <w:sz w:val="18"/>
              </w:rPr>
              <w:t xml:space="preserve">Why now: </w:t>
            </w:r>
            <w:r>
              <w:rPr>
                <w:sz w:val="18"/>
              </w:rPr>
              <w:t>ECB easing and falling bond yields are supporting property values just as new supply collapses.</w:t>
            </w:r>
          </w:p>
          <w:p>
            <w:pPr>
              <w:pStyle w:val="ListBullet"/>
            </w:pPr>
            <w:r>
              <w:rPr>
                <w:b/>
                <w:sz w:val="18"/>
              </w:rPr>
              <w:t xml:space="preserve">Key risk: </w:t>
            </w:r>
            <w:r>
              <w:rPr>
                <w:sz w:val="18"/>
              </w:rPr>
              <w:t>If growth weakens further or policy uncertainty intensifies, the valuation stabilization could stall.</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Country filter and chart/table toggle for forecast tables.</w:t>
            </w:r>
          </w:p>
          <w:p>
            <w:pPr>
              <w:pStyle w:val="ListBullet"/>
            </w:pPr>
            <w:r>
              <w:rPr>
                <w:sz w:val="18"/>
              </w:rPr>
              <w:t>Visual approach: Rebuild all visuals natively as a unified Europe dashboard</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GDP forecast table/chart by major European markets from p.28.</w:t>
            </w:r>
          </w:p>
          <w:p>
            <w:pPr>
              <w:pStyle w:val="ListBullet"/>
            </w:pPr>
            <w:r>
              <w:rPr>
                <w:color w:val="242F3D"/>
                <w:sz w:val="18"/>
              </w:rPr>
              <w:t>Quarterly CPI table/chart from p.28.</w:t>
            </w:r>
          </w:p>
          <w:p>
            <w:pPr>
              <w:pStyle w:val="ListBullet"/>
            </w:pPr>
            <w:r>
              <w:rPr>
                <w:color w:val="242F3D"/>
                <w:sz w:val="18"/>
              </w:rPr>
              <w:t>European commercial property prime yields vs. long-term government bond yields from p.29.</w:t>
            </w:r>
          </w:p>
          <w:p>
            <w:pPr>
              <w:pStyle w:val="ListBullet"/>
            </w:pPr>
            <w:r>
              <w:rPr>
                <w:color w:val="242F3D"/>
                <w:sz w:val="18"/>
              </w:rPr>
              <w:t>European transaction volume chart from p.29.</w:t>
            </w:r>
          </w:p>
          <w:p>
            <w:pPr>
              <w:pStyle w:val="ListBullet"/>
            </w:pPr>
            <w:r>
              <w:rPr>
                <w:color w:val="242F3D"/>
                <w:sz w:val="18"/>
              </w:rPr>
              <w:t>12-month rolling new construction starts by sector chart from p.29.</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Economic outlook notes: Nordics and Spain stronger, Germany stabilizing, France/Italy more constrained.</w:t>
            </w:r>
          </w:p>
          <w:p>
            <w:pPr>
              <w:pStyle w:val="ListBullet"/>
            </w:pPr>
            <w:r>
              <w:rPr>
                <w:color w:val="242F3D"/>
                <w:sz w:val="18"/>
              </w:rPr>
              <w:t>Market-fundamentals notes: values finding a floor, debt markets reopening, pipeline collapsing.</w:t>
            </w:r>
          </w:p>
          <w:p>
            <w:pPr>
              <w:pStyle w:val="ListBullet"/>
            </w:pPr>
            <w:r>
              <w:rPr>
                <w:color w:val="242F3D"/>
                <w:sz w:val="18"/>
              </w:rPr>
              <w:t>Interpretation: use this as the gateway page before Europe sector selection.</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selectively re-enter the region via sectors with strongest supply-demand setups.</w:t>
            </w:r>
          </w:p>
          <w:p>
            <w:pPr>
              <w:pStyle w:val="ListBullet"/>
            </w:pPr>
            <w:r>
              <w:rPr>
                <w:color w:val="242F3D"/>
                <w:sz w:val="18"/>
              </w:rPr>
              <w:t>Related pages: Europe Sector Outlook and all Europe detail pages.</w:t>
            </w:r>
          </w:p>
          <w:p>
            <w:pPr>
              <w:pStyle w:val="ListBullet"/>
            </w:pPr>
            <w:r>
              <w:rPr>
                <w:color w:val="242F3D"/>
                <w:sz w:val="18"/>
              </w:rPr>
              <w:t>Source slides: pp.28-29.</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all visuals natively as a unified Europe dashboard.</w:t>
            </w:r>
          </w:p>
        </w:tc>
      </w:tr>
    </w:tbl>
    <w:p/>
    <w:p>
      <w:pPr>
        <w:spacing w:before="200" w:after="80"/>
      </w:pPr>
      <w:r>
        <w:rPr>
          <w:b/>
          <w:color w:val="12385F"/>
          <w:sz w:val="32"/>
        </w:rPr>
        <w:t>Europe Sector Outlook</w:t>
      </w:r>
    </w:p>
    <w:p>
      <w:pPr>
        <w:spacing w:after="120"/>
      </w:pPr>
      <w:r>
        <w:rPr>
          <w:color w:val="5B7998"/>
          <w:sz w:val="18"/>
        </w:rPr>
        <w:t>Source PDF page(s): pp.30-31   |   Layout block: LB-4 Cards page   |   Priority: P1</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See Europe’s highest-conviction entry points and separate them from selective and cautious sectors.</w:t>
            </w:r>
          </w:p>
        </w:tc>
        <w:tc>
          <w:tcPr>
            <w:tcW w:type="dxa" w:w="4536"/>
            <w:tcMar>
              <w:top w:w="80" w:type="dxa"/>
              <w:start w:w="110" w:type="dxa"/>
              <w:bottom w:w="80" w:type="dxa"/>
              <w:end w:w="110" w:type="dxa"/>
            </w:tcMar>
            <w:shd w:fill="EAF0F7"/>
          </w:tcPr>
          <w:p>
            <w:r>
              <w:rPr>
                <w:b/>
                <w:color w:val="12385F"/>
                <w:sz w:val="19"/>
              </w:rPr>
              <w:t>One-line Townsend takeaway</w:t>
            </w:r>
          </w:p>
          <w:p>
            <w:r>
              <w:rPr>
                <w:sz w:val="19"/>
              </w:rPr>
              <w:t>Selectively re-enter Europe through data centers and logistics first, remain constructive on residential and alternatives, and stay cautious on office and much of retail.</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Underweight overall but selectively re-entering as values reset 15-25%.</w:t>
            </w:r>
          </w:p>
          <w:p>
            <w:pPr>
              <w:pStyle w:val="ListBullet"/>
            </w:pPr>
            <w:r>
              <w:rPr>
                <w:b/>
                <w:sz w:val="18"/>
              </w:rPr>
              <w:t xml:space="preserve">Why now: </w:t>
            </w:r>
            <w:r>
              <w:rPr>
                <w:sz w:val="18"/>
              </w:rPr>
              <w:t>Lower rates stabilize pricing, while sector-specific re-entry opportunities are opening after correction.</w:t>
            </w:r>
          </w:p>
          <w:p>
            <w:pPr>
              <w:pStyle w:val="ListBullet"/>
            </w:pPr>
            <w:r>
              <w:rPr>
                <w:b/>
                <w:sz w:val="18"/>
              </w:rPr>
              <w:t xml:space="preserve">Key risk: </w:t>
            </w:r>
            <w:r>
              <w:rPr>
                <w:sz w:val="18"/>
              </w:rPr>
              <w:t>The opportunity set is constrained by regulation, operator quality, and uneven occupier demand.</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Tabs or stacked sections with optional “view original opportunity-set slide”.</w:t>
            </w:r>
          </w:p>
          <w:p>
            <w:pPr>
              <w:pStyle w:val="ListBullet"/>
            </w:pPr>
            <w:r>
              <w:rPr>
                <w:sz w:val="18"/>
              </w:rPr>
              <w:t>Visual approach: Hybrid: rebuild stance cards and buckets; optional original-slide drawer for p.31</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Stance cards from p.30: Data Centers, Logistics, Residential, Alternatives, Retail, Office &amp; Life Sciences.</w:t>
            </w:r>
          </w:p>
          <w:p>
            <w:pPr>
              <w:pStyle w:val="ListBullet"/>
            </w:pPr>
            <w:r>
              <w:rPr>
                <w:color w:val="242F3D"/>
                <w:sz w:val="18"/>
              </w:rPr>
              <w:t>Opportunity-set buckets from p.31: Most compelling, Selective, Caution.</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Region-level context: rates supportive, pricing stabilized, values reset.</w:t>
            </w:r>
          </w:p>
          <w:p>
            <w:pPr>
              <w:pStyle w:val="ListBullet"/>
            </w:pPr>
            <w:r>
              <w:rPr>
                <w:color w:val="242F3D"/>
                <w:sz w:val="18"/>
              </w:rPr>
              <w:t>Each card should link to its detailed page or combined retail/office detail page.</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use Europe via high-conviction strategies rather than broad market beta.</w:t>
            </w:r>
          </w:p>
          <w:p>
            <w:pPr>
              <w:pStyle w:val="ListBullet"/>
            </w:pPr>
            <w:r>
              <w:rPr>
                <w:color w:val="242F3D"/>
                <w:sz w:val="18"/>
              </w:rPr>
              <w:t>Related pages: Europe Market Condition, Europe Data Centers, Europe Residential, Europe Industrial, Europe Retail &amp; Office.</w:t>
            </w:r>
          </w:p>
          <w:p>
            <w:pPr>
              <w:pStyle w:val="ListBullet"/>
            </w:pPr>
            <w:r>
              <w:rPr>
                <w:color w:val="242F3D"/>
                <w:sz w:val="18"/>
              </w:rPr>
              <w:t>Source slides: pp.30-31.</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Hybrid: rebuild stance cards and buckets; optional original-slide drawer for p.31.</w:t>
            </w:r>
          </w:p>
        </w:tc>
      </w:tr>
    </w:tbl>
    <w:p/>
    <w:p>
      <w:pPr>
        <w:spacing w:before="200" w:after="80"/>
      </w:pPr>
      <w:r>
        <w:rPr>
          <w:b/>
          <w:color w:val="12385F"/>
          <w:sz w:val="32"/>
        </w:rPr>
        <w:t>Europe Residential</w:t>
      </w:r>
    </w:p>
    <w:p>
      <w:pPr>
        <w:spacing w:after="120"/>
      </w:pPr>
      <w:r>
        <w:rPr>
          <w:color w:val="5B7998"/>
          <w:sz w:val="18"/>
        </w:rPr>
        <w:t>Source PDF page(s): p.32   |   Layout block: LB-3 Standard insight page   |   Priority: P2</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Understand why European residential is attractive despite regulation and uneven country-level conditions.</w:t>
            </w:r>
          </w:p>
        </w:tc>
        <w:tc>
          <w:tcPr>
            <w:tcW w:type="dxa" w:w="4536"/>
            <w:tcMar>
              <w:top w:w="80" w:type="dxa"/>
              <w:start w:w="110" w:type="dxa"/>
              <w:bottom w:w="80" w:type="dxa"/>
              <w:end w:w="110" w:type="dxa"/>
            </w:tcMar>
            <w:shd w:fill="EAF0F7"/>
          </w:tcPr>
          <w:p>
            <w:r>
              <w:rPr>
                <w:b/>
                <w:color w:val="12385F"/>
                <w:sz w:val="19"/>
              </w:rPr>
              <w:t>One-line Townsend takeaway</w:t>
            </w:r>
          </w:p>
          <w:p>
            <w:r>
              <w:rPr>
                <w:sz w:val="19"/>
              </w:rPr>
              <w:t>Tight supply, rebased pricing, and resilient rent growth keep European residential attractive, though regulation and market selectivity matter.</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Fundamentals strong but policy restrictions matter.</w:t>
            </w:r>
          </w:p>
          <w:p>
            <w:pPr>
              <w:pStyle w:val="ListBullet"/>
            </w:pPr>
            <w:r>
              <w:rPr>
                <w:b/>
                <w:sz w:val="18"/>
              </w:rPr>
              <w:t xml:space="preserve">Why now: </w:t>
            </w:r>
            <w:r>
              <w:rPr>
                <w:sz w:val="18"/>
              </w:rPr>
              <w:t>New completions are dropping sharply while values have corrected and rents remain resilient.</w:t>
            </w:r>
          </w:p>
          <w:p>
            <w:pPr>
              <w:pStyle w:val="ListBullet"/>
            </w:pPr>
            <w:r>
              <w:rPr>
                <w:b/>
                <w:sz w:val="18"/>
              </w:rPr>
              <w:t xml:space="preserve">Key risk: </w:t>
            </w:r>
            <w:r>
              <w:rPr>
                <w:sz w:val="18"/>
              </w:rPr>
              <w:t>Rent regulation and permitting constraints can narrow the investable opportunity set even when fundamentals are strong.</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Optional market selector for UK / Germany / Nordics.</w:t>
            </w:r>
          </w:p>
          <w:p>
            <w:pPr>
              <w:pStyle w:val="ListBullet"/>
            </w:pPr>
            <w:r>
              <w:rPr>
                <w:sz w:val="18"/>
              </w:rPr>
              <w:t>Visual approach: Rebuild both visuals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Residential completions index chart (2022 = 100).</w:t>
            </w:r>
          </w:p>
          <w:p>
            <w:pPr>
              <w:pStyle w:val="ListBullet"/>
            </w:pPr>
            <w:r>
              <w:rPr>
                <w:color w:val="242F3D"/>
                <w:sz w:val="18"/>
              </w:rPr>
              <w:t>Estimated rent-growth chart through 2030.</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Key themes: undersupply, attractive entry yields, stable vacancies, selective markets such as Spain and parts of the Nordics.</w:t>
            </w:r>
          </w:p>
          <w:p>
            <w:pPr>
              <w:pStyle w:val="ListBullet"/>
            </w:pPr>
            <w:r>
              <w:rPr>
                <w:color w:val="242F3D"/>
                <w:sz w:val="18"/>
              </w:rPr>
              <w:t>Alternative living note: student housing, BTR, and SFR gaining traction.</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target markets with solid demand and manageable regulatory regimes; use alternative living where execution is strongest.</w:t>
            </w:r>
          </w:p>
          <w:p>
            <w:pPr>
              <w:pStyle w:val="ListBullet"/>
            </w:pPr>
            <w:r>
              <w:rPr>
                <w:color w:val="242F3D"/>
                <w:sz w:val="18"/>
              </w:rPr>
              <w:t>Related pages: RE Investment Themes, Europe Sector Outlook, APAC Living.</w:t>
            </w:r>
          </w:p>
          <w:p>
            <w:pPr>
              <w:pStyle w:val="ListBullet"/>
            </w:pPr>
            <w:r>
              <w:rPr>
                <w:color w:val="242F3D"/>
                <w:sz w:val="18"/>
              </w:rPr>
              <w:t>Source slide reference: p.32.</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both visuals natively.</w:t>
            </w:r>
          </w:p>
        </w:tc>
      </w:tr>
    </w:tbl>
    <w:p/>
    <w:p>
      <w:pPr>
        <w:spacing w:before="200" w:after="80"/>
      </w:pPr>
      <w:r>
        <w:rPr>
          <w:b/>
          <w:color w:val="12385F"/>
          <w:sz w:val="32"/>
        </w:rPr>
        <w:t>Europe Industrial</w:t>
      </w:r>
    </w:p>
    <w:p>
      <w:pPr>
        <w:spacing w:after="120"/>
      </w:pPr>
      <w:r>
        <w:rPr>
          <w:color w:val="5B7998"/>
          <w:sz w:val="18"/>
        </w:rPr>
        <w:t>Source PDF page(s): p.33   |   Layout block: LB-3 Standard insight page   |   Priority: P2</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Evaluate Europe industrial/logistics after the post-correction reset.</w:t>
            </w:r>
          </w:p>
        </w:tc>
        <w:tc>
          <w:tcPr>
            <w:tcW w:type="dxa" w:w="4536"/>
            <w:tcMar>
              <w:top w:w="80" w:type="dxa"/>
              <w:start w:w="110" w:type="dxa"/>
              <w:bottom w:w="80" w:type="dxa"/>
              <w:end w:w="110" w:type="dxa"/>
            </w:tcMar>
            <w:shd w:fill="EAF0F7"/>
          </w:tcPr>
          <w:p>
            <w:r>
              <w:rPr>
                <w:b/>
                <w:color w:val="12385F"/>
                <w:sz w:val="19"/>
              </w:rPr>
              <w:t>One-line Townsend takeaway</w:t>
            </w:r>
          </w:p>
          <w:p>
            <w:r>
              <w:rPr>
                <w:sz w:val="19"/>
              </w:rPr>
              <w:t>Demand is normalizing, but e-commerce, nearshoring, and supply moderation still support a constructive medium-term rent-growth outlook.</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Attractive post-correction entry valuations.</w:t>
            </w:r>
          </w:p>
          <w:p>
            <w:pPr>
              <w:pStyle w:val="ListBullet"/>
            </w:pPr>
            <w:r>
              <w:rPr>
                <w:b/>
                <w:sz w:val="18"/>
              </w:rPr>
              <w:t xml:space="preserve">Why now: </w:t>
            </w:r>
            <w:r>
              <w:rPr>
                <w:sz w:val="18"/>
              </w:rPr>
              <w:t>Values are down about 20%, supply growth is easing, and structural demand drivers remain in place.</w:t>
            </w:r>
          </w:p>
          <w:p>
            <w:pPr>
              <w:pStyle w:val="ListBullet"/>
            </w:pPr>
            <w:r>
              <w:rPr>
                <w:b/>
                <w:sz w:val="18"/>
              </w:rPr>
              <w:t xml:space="preserve">Key risk: </w:t>
            </w:r>
            <w:r>
              <w:rPr>
                <w:sz w:val="18"/>
              </w:rPr>
              <w:t>Vacancy may take time to peak and normalize in weaker markets.</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Optional country grouping filter or tooltip by market archetype.</w:t>
            </w:r>
          </w:p>
          <w:p>
            <w:pPr>
              <w:pStyle w:val="ListBullet"/>
            </w:pPr>
            <w:r>
              <w:rPr>
                <w:sz w:val="18"/>
              </w:rPr>
              <w:t>Visual approach: Rebuild both visuals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European e-commerce penetration-rate chart.</w:t>
            </w:r>
          </w:p>
          <w:p>
            <w:pPr>
              <w:pStyle w:val="ListBullet"/>
            </w:pPr>
            <w:r>
              <w:rPr>
                <w:color w:val="242F3D"/>
                <w:sz w:val="18"/>
              </w:rPr>
              <w:t>Industrial estimated rent-growth chart.</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Market dynamics: slowing but still healthy e-commerce growth, vacancy peaking soon, speculative development easing.</w:t>
            </w:r>
          </w:p>
          <w:p>
            <w:pPr>
              <w:pStyle w:val="ListBullet"/>
            </w:pPr>
            <w:r>
              <w:rPr>
                <w:color w:val="242F3D"/>
                <w:sz w:val="18"/>
              </w:rPr>
              <w:t>Country note: stronger conditions in Germany, Netherlands, Norway versus more volatility in Spain and Italy.</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focus on prime Western/Central Europe logistics with stronger barriers to supply.</w:t>
            </w:r>
          </w:p>
          <w:p>
            <w:pPr>
              <w:pStyle w:val="ListBullet"/>
            </w:pPr>
            <w:r>
              <w:rPr>
                <w:color w:val="242F3D"/>
                <w:sz w:val="18"/>
              </w:rPr>
              <w:t>Related pages: Europe Sector Outlook, U.S. Industrial, APAC Industrial/Logistics.</w:t>
            </w:r>
          </w:p>
          <w:p>
            <w:pPr>
              <w:pStyle w:val="ListBullet"/>
            </w:pPr>
            <w:r>
              <w:rPr>
                <w:color w:val="242F3D"/>
                <w:sz w:val="18"/>
              </w:rPr>
              <w:t>Source slide reference: p.33.</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both visuals natively.</w:t>
            </w:r>
          </w:p>
        </w:tc>
      </w:tr>
    </w:tbl>
    <w:p/>
    <w:p>
      <w:pPr>
        <w:spacing w:before="200" w:after="80"/>
      </w:pPr>
      <w:r>
        <w:rPr>
          <w:b/>
          <w:color w:val="12385F"/>
          <w:sz w:val="32"/>
        </w:rPr>
        <w:t>Europe Data Centers</w:t>
      </w:r>
    </w:p>
    <w:p>
      <w:pPr>
        <w:spacing w:after="120"/>
      </w:pPr>
      <w:r>
        <w:rPr>
          <w:color w:val="5B7998"/>
          <w:sz w:val="18"/>
        </w:rPr>
        <w:t>Source PDF page(s): p.34   |   Layout block: LB-3 Standard insight page   |   Priority: P1</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See why Europe data centers are one of the clearest high-conviction growth opportunities in the VOTW.</w:t>
            </w:r>
          </w:p>
        </w:tc>
        <w:tc>
          <w:tcPr>
            <w:tcW w:type="dxa" w:w="4536"/>
            <w:tcMar>
              <w:top w:w="80" w:type="dxa"/>
              <w:start w:w="110" w:type="dxa"/>
              <w:bottom w:w="80" w:type="dxa"/>
              <w:end w:w="110" w:type="dxa"/>
            </w:tcMar>
            <w:shd w:fill="EAF0F7"/>
          </w:tcPr>
          <w:p>
            <w:r>
              <w:rPr>
                <w:b/>
                <w:color w:val="12385F"/>
                <w:sz w:val="19"/>
              </w:rPr>
              <w:t>One-line Townsend takeaway</w:t>
            </w:r>
          </w:p>
          <w:p>
            <w:r>
              <w:rPr>
                <w:sz w:val="19"/>
              </w:rPr>
              <w:t>Hyperscaler demand, tight vacancy, and chronic land/power constraints create one of the strongest multi-year growth setups in Europe.</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Long runway for growth; standout conviction theme.</w:t>
            </w:r>
          </w:p>
          <w:p>
            <w:pPr>
              <w:pStyle w:val="ListBullet"/>
            </w:pPr>
            <w:r>
              <w:rPr>
                <w:b/>
                <w:sz w:val="18"/>
              </w:rPr>
              <w:t xml:space="preserve">Why now: </w:t>
            </w:r>
            <w:r>
              <w:rPr>
                <w:sz w:val="18"/>
              </w:rPr>
              <w:t>Prime vacancy remains below 5% and Europe still needs substantial additional capacity.</w:t>
            </w:r>
          </w:p>
          <w:p>
            <w:pPr>
              <w:pStyle w:val="ListBullet"/>
            </w:pPr>
            <w:r>
              <w:rPr>
                <w:b/>
                <w:sz w:val="18"/>
              </w:rPr>
              <w:t xml:space="preserve">Key risk: </w:t>
            </w:r>
            <w:r>
              <w:rPr>
                <w:sz w:val="18"/>
              </w:rPr>
              <w:t>Power-ready land scarcity and development bottlenecks limit speed and shape of deployment.</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Optional market selector (London, Frankfurt, Amsterdam, Paris, Dublin, edge markets).</w:t>
            </w:r>
          </w:p>
          <w:p>
            <w:pPr>
              <w:pStyle w:val="ListBullet"/>
            </w:pPr>
            <w:r>
              <w:rPr>
                <w:sz w:val="18"/>
              </w:rPr>
              <w:t>Visual approach: Rebuild both visuals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Estimated data-center vacancy-rate chart in FLAP-D markets.</w:t>
            </w:r>
          </w:p>
          <w:p>
            <w:pPr>
              <w:pStyle w:val="ListBullet"/>
            </w:pPr>
            <w:r>
              <w:rPr>
                <w:color w:val="242F3D"/>
                <w:sz w:val="18"/>
              </w:rPr>
              <w:t>Supply-shortfall and rental-growth forecast chart for major European markets.</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Market dynamics: rapid expansion, concentration in core hubs, hyperscaler-led absorption, investment rising.</w:t>
            </w:r>
          </w:p>
          <w:p>
            <w:pPr>
              <w:pStyle w:val="ListBullet"/>
            </w:pPr>
            <w:r>
              <w:rPr>
                <w:color w:val="242F3D"/>
                <w:sz w:val="18"/>
              </w:rPr>
              <w:t>Supply and outlook: edge-market growth, land/power scarcity, structural shortfall.</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prioritize core and high-potential secondary hubs where power access and execution edge are strongest.</w:t>
            </w:r>
          </w:p>
          <w:p>
            <w:pPr>
              <w:pStyle w:val="ListBullet"/>
            </w:pPr>
            <w:r>
              <w:rPr>
                <w:color w:val="242F3D"/>
                <w:sz w:val="18"/>
              </w:rPr>
              <w:t>Related pages: RE Investment Themes, U.S. Data Centers, Europe Sector Outlook, Global Heat Map.</w:t>
            </w:r>
          </w:p>
          <w:p>
            <w:pPr>
              <w:pStyle w:val="ListBullet"/>
            </w:pPr>
            <w:r>
              <w:rPr>
                <w:color w:val="242F3D"/>
                <w:sz w:val="18"/>
              </w:rPr>
              <w:t>Source slide reference: p.34.</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both visuals natively.</w:t>
            </w:r>
          </w:p>
        </w:tc>
      </w:tr>
    </w:tbl>
    <w:p/>
    <w:p>
      <w:pPr>
        <w:spacing w:before="200" w:after="80"/>
      </w:pPr>
      <w:r>
        <w:rPr>
          <w:b/>
          <w:color w:val="12385F"/>
          <w:sz w:val="32"/>
        </w:rPr>
        <w:t>Europe Retail &amp; Office</w:t>
      </w:r>
    </w:p>
    <w:p>
      <w:pPr>
        <w:spacing w:after="120"/>
      </w:pPr>
      <w:r>
        <w:rPr>
          <w:color w:val="5B7998"/>
          <w:sz w:val="18"/>
        </w:rPr>
        <w:t>Source PDF page(s): p.35   |   Layout block: LB-3 Standard insight page   |   Priority: P2</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Understand why Europe retail and office are investable only through a highly selective, asset-specific lens.</w:t>
            </w:r>
          </w:p>
        </w:tc>
        <w:tc>
          <w:tcPr>
            <w:tcW w:type="dxa" w:w="4536"/>
            <w:tcMar>
              <w:top w:w="80" w:type="dxa"/>
              <w:start w:w="110" w:type="dxa"/>
              <w:bottom w:w="80" w:type="dxa"/>
              <w:end w:w="110" w:type="dxa"/>
            </w:tcMar>
            <w:shd w:fill="EAF0F7"/>
          </w:tcPr>
          <w:p>
            <w:r>
              <w:rPr>
                <w:b/>
                <w:color w:val="12385F"/>
                <w:sz w:val="19"/>
              </w:rPr>
              <w:t>One-line Townsend takeaway</w:t>
            </w:r>
          </w:p>
          <w:p>
            <w:r>
              <w:rPr>
                <w:sz w:val="19"/>
              </w:rPr>
              <w:t>Fundamentals are healing at the margin, but Europe retail and office remain selective trades best executed through top-quality assets and formats.</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Retail selective; office cautious but selective in prime green CBD assets.</w:t>
            </w:r>
          </w:p>
          <w:p>
            <w:pPr>
              <w:pStyle w:val="ListBullet"/>
            </w:pPr>
            <w:r>
              <w:rPr>
                <w:b/>
                <w:sz w:val="18"/>
              </w:rPr>
              <w:t xml:space="preserve">Why now: </w:t>
            </w:r>
            <w:r>
              <w:rPr>
                <w:sz w:val="18"/>
              </w:rPr>
              <w:t>Retail liquidity is returning in the best formats and office values have corrected deeply, opening narrow windows of opportunity.</w:t>
            </w:r>
          </w:p>
          <w:p>
            <w:pPr>
              <w:pStyle w:val="ListBullet"/>
            </w:pPr>
            <w:r>
              <w:rPr>
                <w:b/>
                <w:sz w:val="18"/>
              </w:rPr>
              <w:t xml:space="preserve">Key risk: </w:t>
            </w:r>
            <w:r>
              <w:rPr>
                <w:sz w:val="18"/>
              </w:rPr>
              <w:t>Consumer confidence remains weak in retail, while office capex burdens and occupier uncertainty are still high.</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Optional toggle between Retail and Office commentary focus.</w:t>
            </w:r>
          </w:p>
          <w:p>
            <w:pPr>
              <w:pStyle w:val="ListBullet"/>
            </w:pPr>
            <w:r>
              <w:rPr>
                <w:sz w:val="18"/>
              </w:rPr>
              <w:t>Visual approach: Rebuild both visuals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JLL Active Retailer Index chart.</w:t>
            </w:r>
          </w:p>
          <w:p>
            <w:pPr>
              <w:pStyle w:val="ListBullet"/>
            </w:pPr>
            <w:r>
              <w:rPr>
                <w:color w:val="242F3D"/>
                <w:sz w:val="18"/>
              </w:rPr>
              <w:t>Green Street CPPI - selected European office markets chart.</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Retail commentary: needs-based formats and retail parks preferred; high-street still fragile.</w:t>
            </w:r>
          </w:p>
          <w:p>
            <w:pPr>
              <w:pStyle w:val="ListBullet"/>
            </w:pPr>
            <w:r>
              <w:rPr>
                <w:color w:val="242F3D"/>
                <w:sz w:val="18"/>
              </w:rPr>
              <w:t>Office commentary: values reset, performance diverging sharply between green prime CBD assets and secondary stock.</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revisit only the highest-quality assets with strong leasing and capex visibility.</w:t>
            </w:r>
          </w:p>
          <w:p>
            <w:pPr>
              <w:pStyle w:val="ListBullet"/>
            </w:pPr>
            <w:r>
              <w:rPr>
                <w:color w:val="242F3D"/>
                <w:sz w:val="18"/>
              </w:rPr>
              <w:t>Related pages: Europe Sector Outlook, U.S. Retail, U.S. Office.</w:t>
            </w:r>
          </w:p>
          <w:p>
            <w:pPr>
              <w:pStyle w:val="ListBullet"/>
            </w:pPr>
            <w:r>
              <w:rPr>
                <w:color w:val="242F3D"/>
                <w:sz w:val="18"/>
              </w:rPr>
              <w:t>Source slide reference: p.35.</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both visuals natively.</w:t>
            </w:r>
          </w:p>
        </w:tc>
      </w:tr>
    </w:tbl>
    <w:p/>
    <w:p>
      <w:r>
        <w:br w:type="page"/>
      </w:r>
    </w:p>
    <w:p>
      <w:pPr>
        <w:spacing w:before="200" w:after="80"/>
      </w:pPr>
      <w:r>
        <w:rPr>
          <w:b/>
          <w:color w:val="12385F"/>
          <w:sz w:val="32"/>
        </w:rPr>
        <w:t>9. APAC section blueprint</w:t>
      </w:r>
    </w:p>
    <w:p>
      <w:pPr>
        <w:spacing w:after="40"/>
      </w:pPr>
      <w:r>
        <w:rPr>
          <w:color w:val="242F3D"/>
          <w:sz w:val="20"/>
        </w:rPr>
        <w:t>The APAC section should communicate a slight overweight with emphasis on Australia and Japan, data centers and living as strongest structural exposures, logistics positive but country-dependent, non-discretionary retail in Australia improving, office mixed, and private credit increasingly attractive.</w:t>
      </w:r>
    </w:p>
    <w:p>
      <w:pPr>
        <w:spacing w:before="200" w:after="80"/>
      </w:pPr>
      <w:r>
        <w:rPr>
          <w:b/>
          <w:color w:val="12385F"/>
          <w:sz w:val="32"/>
        </w:rPr>
        <w:t>APAC Market Condition</w:t>
      </w:r>
    </w:p>
    <w:p>
      <w:pPr>
        <w:spacing w:after="120"/>
      </w:pPr>
      <w:r>
        <w:rPr>
          <w:color w:val="5B7998"/>
          <w:sz w:val="18"/>
        </w:rPr>
        <w:t>Source PDF page(s): pp.37-38   |   Layout block: LB-3 Standard insight page   |   Priority: P1</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Understand the macro and real-estate backdrop across APAC before moving into selective sector choices.</w:t>
            </w:r>
          </w:p>
        </w:tc>
        <w:tc>
          <w:tcPr>
            <w:tcW w:type="dxa" w:w="4536"/>
            <w:tcMar>
              <w:top w:w="80" w:type="dxa"/>
              <w:start w:w="110" w:type="dxa"/>
              <w:bottom w:w="80" w:type="dxa"/>
              <w:end w:w="110" w:type="dxa"/>
            </w:tcMar>
            <w:shd w:fill="EAF0F7"/>
          </w:tcPr>
          <w:p>
            <w:r>
              <w:rPr>
                <w:b/>
                <w:color w:val="12385F"/>
                <w:sz w:val="19"/>
              </w:rPr>
              <w:t>One-line Townsend takeaway</w:t>
            </w:r>
          </w:p>
          <w:p>
            <w:r>
              <w:rPr>
                <w:sz w:val="19"/>
              </w:rPr>
              <w:t>Soft landing conditions, easing rates outside Japan, stabilizing values, and improving transaction activity support selective opportunity across APAC.</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Mildly positive overall, but strongly differentiated by country and sector.</w:t>
            </w:r>
          </w:p>
          <w:p>
            <w:pPr>
              <w:pStyle w:val="ListBullet"/>
            </w:pPr>
            <w:r>
              <w:rPr>
                <w:b/>
                <w:sz w:val="18"/>
              </w:rPr>
              <w:t xml:space="preserve">Why now: </w:t>
            </w:r>
            <w:r>
              <w:rPr>
                <w:sz w:val="18"/>
              </w:rPr>
              <w:t>Borrowing conditions are improving and most markets show firmer rents/occupancy while values have already rebased.</w:t>
            </w:r>
          </w:p>
          <w:p>
            <w:pPr>
              <w:pStyle w:val="ListBullet"/>
            </w:pPr>
            <w:r>
              <w:rPr>
                <w:b/>
                <w:sz w:val="18"/>
              </w:rPr>
              <w:t xml:space="preserve">Key risk: </w:t>
            </w:r>
            <w:r>
              <w:rPr>
                <w:sz w:val="18"/>
              </w:rPr>
              <w:t>China softness, trade sensitivity, and uneven office conditions can distort the broader regional picture.</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Country filter and sector filter should work across all visuals.</w:t>
            </w:r>
          </w:p>
          <w:p>
            <w:pPr>
              <w:pStyle w:val="ListBullet"/>
            </w:pPr>
            <w:r>
              <w:rPr>
                <w:sz w:val="18"/>
              </w:rPr>
              <w:t>Visual approach: Rebuild all visuals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GDP forecast table/chart by major APAC markets from p.37.</w:t>
            </w:r>
          </w:p>
          <w:p>
            <w:pPr>
              <w:pStyle w:val="ListBullet"/>
            </w:pPr>
            <w:r>
              <w:rPr>
                <w:color w:val="242F3D"/>
                <w:sz w:val="18"/>
              </w:rPr>
              <w:t>Central-bank policy-rate chart from p.37.</w:t>
            </w:r>
          </w:p>
          <w:p>
            <w:pPr>
              <w:pStyle w:val="ListBullet"/>
            </w:pPr>
            <w:r>
              <w:rPr>
                <w:color w:val="242F3D"/>
                <w:sz w:val="18"/>
              </w:rPr>
              <w:t>APAC transaction-volume by country chart from p.38.</w:t>
            </w:r>
          </w:p>
          <w:p>
            <w:pPr>
              <w:pStyle w:val="ListBullet"/>
            </w:pPr>
            <w:r>
              <w:rPr>
                <w:color w:val="242F3D"/>
                <w:sz w:val="18"/>
              </w:rPr>
              <w:t>Developed APAC rental-growth by sector chart from p.38.</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Country notes: Australia resilient, Japan subdued but stable, South Korea mixed, Singapore softening, China uneven.</w:t>
            </w:r>
          </w:p>
          <w:p>
            <w:pPr>
              <w:pStyle w:val="ListBullet"/>
            </w:pPr>
            <w:r>
              <w:rPr>
                <w:color w:val="242F3D"/>
                <w:sz w:val="18"/>
              </w:rPr>
              <w:t>Market fundamentals notes: stabilizing values, logistics strengthening, defensive tilt to income-resilient sectors.</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treat APAC as a selective region focused on clearer rental-growth and stabilizing-yield markets.</w:t>
            </w:r>
          </w:p>
          <w:p>
            <w:pPr>
              <w:pStyle w:val="ListBullet"/>
            </w:pPr>
            <w:r>
              <w:rPr>
                <w:color w:val="242F3D"/>
                <w:sz w:val="18"/>
              </w:rPr>
              <w:t>Related pages: APAC Sector Outlook and APAC detail pages.</w:t>
            </w:r>
          </w:p>
          <w:p>
            <w:pPr>
              <w:pStyle w:val="ListBullet"/>
            </w:pPr>
            <w:r>
              <w:rPr>
                <w:color w:val="242F3D"/>
                <w:sz w:val="18"/>
              </w:rPr>
              <w:t>Source slides: pp.37-38.</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all visuals natively.</w:t>
            </w:r>
          </w:p>
        </w:tc>
      </w:tr>
    </w:tbl>
    <w:p/>
    <w:p>
      <w:pPr>
        <w:spacing w:before="200" w:after="80"/>
      </w:pPr>
      <w:r>
        <w:rPr>
          <w:b/>
          <w:color w:val="12385F"/>
          <w:sz w:val="32"/>
        </w:rPr>
        <w:t>APAC Sector Outlook</w:t>
      </w:r>
    </w:p>
    <w:p>
      <w:pPr>
        <w:spacing w:after="120"/>
      </w:pPr>
      <w:r>
        <w:rPr>
          <w:color w:val="5B7998"/>
          <w:sz w:val="18"/>
        </w:rPr>
        <w:t>Source PDF page(s): p.39   |   Layout block: LB-4 Cards page   |   Priority: P1</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See the full APAC stance in one place with an emphasis on Australia and Japan.</w:t>
            </w:r>
          </w:p>
        </w:tc>
        <w:tc>
          <w:tcPr>
            <w:tcW w:type="dxa" w:w="4536"/>
            <w:tcMar>
              <w:top w:w="80" w:type="dxa"/>
              <w:start w:w="110" w:type="dxa"/>
              <w:bottom w:w="80" w:type="dxa"/>
              <w:end w:w="110" w:type="dxa"/>
            </w:tcMar>
            <w:shd w:fill="EAF0F7"/>
          </w:tcPr>
          <w:p>
            <w:r>
              <w:rPr>
                <w:b/>
                <w:color w:val="12385F"/>
                <w:sz w:val="19"/>
              </w:rPr>
              <w:t>One-line Townsend takeaway</w:t>
            </w:r>
          </w:p>
          <w:p>
            <w:r>
              <w:rPr>
                <w:sz w:val="19"/>
              </w:rPr>
              <w:t>Maintain slight overweight to APAC, targeting strategic exposure to Australia and Japan, with strongest conviction in data centers and living.</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Slight overweight, selective by country and property type.</w:t>
            </w:r>
          </w:p>
          <w:p>
            <w:pPr>
              <w:pStyle w:val="ListBullet"/>
            </w:pPr>
            <w:r>
              <w:rPr>
                <w:b/>
                <w:sz w:val="18"/>
              </w:rPr>
              <w:t xml:space="preserve">Why now: </w:t>
            </w:r>
            <w:r>
              <w:rPr>
                <w:sz w:val="18"/>
              </w:rPr>
              <w:t>Rates are peaking, volumes are recovering, and a few sectors have clearer structural support than others.</w:t>
            </w:r>
          </w:p>
          <w:p>
            <w:pPr>
              <w:pStyle w:val="ListBullet"/>
            </w:pPr>
            <w:r>
              <w:rPr>
                <w:b/>
                <w:sz w:val="18"/>
              </w:rPr>
              <w:t xml:space="preserve">Key risk: </w:t>
            </w:r>
            <w:r>
              <w:rPr>
                <w:sz w:val="18"/>
              </w:rPr>
              <w:t>Country-level dispersion is high enough that a generic regional allocation would lose the point.</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Country filter at top should recolor cards or change short rationale text.</w:t>
            </w:r>
          </w:p>
          <w:p>
            <w:pPr>
              <w:pStyle w:val="ListBullet"/>
            </w:pPr>
            <w:r>
              <w:rPr>
                <w:sz w:val="18"/>
              </w:rPr>
              <w:t>Visual approach: Rebuild natively as structured cards</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Six stance cards: Data Centers, Logistics, Living, Retail, Office, Private Credit.</w:t>
            </w:r>
          </w:p>
          <w:p>
            <w:pPr>
              <w:pStyle w:val="ListBullet"/>
            </w:pPr>
            <w:r>
              <w:rPr>
                <w:color w:val="242F3D"/>
                <w:sz w:val="18"/>
              </w:rPr>
              <w:t>Banner or callout noting priority focus on Australia and Japan.</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Regional summary bullets from p.39: data centers conviction, living overweight, retail improving in Australia, office mixed, private credit more positive.</w:t>
            </w:r>
          </w:p>
          <w:p>
            <w:pPr>
              <w:pStyle w:val="ListBullet"/>
            </w:pPr>
            <w:r>
              <w:rPr>
                <w:color w:val="242F3D"/>
                <w:sz w:val="18"/>
              </w:rPr>
              <w:t>Direct links into each APAC detail page.</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use APAC through country-specific sleeves rather than broad regional beta.</w:t>
            </w:r>
          </w:p>
          <w:p>
            <w:pPr>
              <w:pStyle w:val="ListBullet"/>
            </w:pPr>
            <w:r>
              <w:rPr>
                <w:color w:val="242F3D"/>
                <w:sz w:val="18"/>
              </w:rPr>
              <w:t>Related pages: APAC Market Condition and all APAC detail pages.</w:t>
            </w:r>
          </w:p>
          <w:p>
            <w:pPr>
              <w:pStyle w:val="ListBullet"/>
            </w:pPr>
            <w:r>
              <w:rPr>
                <w:color w:val="242F3D"/>
                <w:sz w:val="18"/>
              </w:rPr>
              <w:t>Source slide reference: p.39.</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natively as structured cards.</w:t>
            </w:r>
          </w:p>
        </w:tc>
      </w:tr>
    </w:tbl>
    <w:p/>
    <w:p>
      <w:pPr>
        <w:spacing w:before="200" w:after="80"/>
      </w:pPr>
      <w:r>
        <w:rPr>
          <w:b/>
          <w:color w:val="12385F"/>
          <w:sz w:val="32"/>
        </w:rPr>
        <w:t>APAC Industrial / Logistics</w:t>
      </w:r>
    </w:p>
    <w:p>
      <w:pPr>
        <w:spacing w:after="120"/>
      </w:pPr>
      <w:r>
        <w:rPr>
          <w:color w:val="5B7998"/>
          <w:sz w:val="18"/>
        </w:rPr>
        <w:t>Source PDF page(s): p.40   |   Layout block: LB-3 Standard insight page   |   Priority: P2</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Understand where APAC logistics remains attractive and how supply moderation interacts with country-level divergence.</w:t>
            </w:r>
          </w:p>
        </w:tc>
        <w:tc>
          <w:tcPr>
            <w:tcW w:type="dxa" w:w="4536"/>
            <w:tcMar>
              <w:top w:w="80" w:type="dxa"/>
              <w:start w:w="110" w:type="dxa"/>
              <w:bottom w:w="80" w:type="dxa"/>
              <w:end w:w="110" w:type="dxa"/>
            </w:tcMar>
            <w:shd w:fill="EAF0F7"/>
          </w:tcPr>
          <w:p>
            <w:r>
              <w:rPr>
                <w:b/>
                <w:color w:val="12385F"/>
                <w:sz w:val="19"/>
              </w:rPr>
              <w:t>One-line Townsend takeaway</w:t>
            </w:r>
          </w:p>
          <w:p>
            <w:r>
              <w:rPr>
                <w:sz w:val="19"/>
              </w:rPr>
              <w:t>Leasing demand remains resilient as new supply moderates across key APAC markets, but conviction differs sharply across Australia, Japan, Korea, and China.</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Positive, but regional differences matter.</w:t>
            </w:r>
          </w:p>
          <w:p>
            <w:pPr>
              <w:pStyle w:val="ListBullet"/>
            </w:pPr>
            <w:r>
              <w:rPr>
                <w:b/>
                <w:sz w:val="18"/>
              </w:rPr>
              <w:t xml:space="preserve">Why now: </w:t>
            </w:r>
            <w:r>
              <w:rPr>
                <w:sz w:val="18"/>
              </w:rPr>
              <w:t>New completions are falling back toward more normal levels while structural demand remains intact.</w:t>
            </w:r>
          </w:p>
          <w:p>
            <w:pPr>
              <w:pStyle w:val="ListBullet"/>
            </w:pPr>
            <w:r>
              <w:rPr>
                <w:b/>
                <w:sz w:val="18"/>
              </w:rPr>
              <w:t xml:space="preserve">Key risk: </w:t>
            </w:r>
            <w:r>
              <w:rPr>
                <w:sz w:val="18"/>
              </w:rPr>
              <w:t>Oversupplied or weaker submarkets can dilute otherwise healthy regional averages.</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Submarket selector and optional country tabs.</w:t>
            </w:r>
          </w:p>
          <w:p>
            <w:pPr>
              <w:pStyle w:val="ListBullet"/>
            </w:pPr>
            <w:r>
              <w:rPr>
                <w:sz w:val="18"/>
              </w:rPr>
              <w:t>Visual approach: Rebuild both visuals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Logistics new-supply chart by market.</w:t>
            </w:r>
          </w:p>
          <w:p>
            <w:pPr>
              <w:pStyle w:val="ListBullet"/>
            </w:pPr>
            <w:r>
              <w:rPr>
                <w:color w:val="242F3D"/>
                <w:sz w:val="18"/>
              </w:rPr>
              <w:t>Prime logistics rent-growth chart by market and quarter.</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Market dynamics: tariff uncertainty easing, structural demand intact, supply moderating, submarket variation in Tokyo and Seoul.</w:t>
            </w:r>
          </w:p>
          <w:p>
            <w:pPr>
              <w:pStyle w:val="ListBullet"/>
            </w:pPr>
            <w:r>
              <w:rPr>
                <w:color w:val="242F3D"/>
                <w:sz w:val="18"/>
              </w:rPr>
              <w:t>Positioning: overweight select submarkets in Sydney, Melbourne, Brisbane, Greater Tokyo, Osaka, and Greater Seoul.</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focus on urban infill and modern, low-vacancy assets in the strongest markets.</w:t>
            </w:r>
          </w:p>
          <w:p>
            <w:pPr>
              <w:pStyle w:val="ListBullet"/>
            </w:pPr>
            <w:r>
              <w:rPr>
                <w:color w:val="242F3D"/>
                <w:sz w:val="18"/>
              </w:rPr>
              <w:t>Related pages: APAC Sector Outlook, U.S. Industrial, Europe Industrial.</w:t>
            </w:r>
          </w:p>
          <w:p>
            <w:pPr>
              <w:pStyle w:val="ListBullet"/>
            </w:pPr>
            <w:r>
              <w:rPr>
                <w:color w:val="242F3D"/>
                <w:sz w:val="18"/>
              </w:rPr>
              <w:t>Source slide reference: p.40.</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both visuals natively.</w:t>
            </w:r>
          </w:p>
        </w:tc>
      </w:tr>
    </w:tbl>
    <w:p/>
    <w:p>
      <w:pPr>
        <w:spacing w:before="200" w:after="80"/>
      </w:pPr>
      <w:r>
        <w:rPr>
          <w:b/>
          <w:color w:val="12385F"/>
          <w:sz w:val="32"/>
        </w:rPr>
        <w:t>APAC Retail</w:t>
      </w:r>
    </w:p>
    <w:p>
      <w:pPr>
        <w:spacing w:after="120"/>
      </w:pPr>
      <w:r>
        <w:rPr>
          <w:color w:val="5B7998"/>
          <w:sz w:val="18"/>
        </w:rPr>
        <w:t>Source PDF page(s): p.41   |   Layout block: LB-3 Standard insight page   |   Priority: P2</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See why Australia non-discretionary retail is improving and how supply constraints shape the regional retail outlook.</w:t>
            </w:r>
          </w:p>
        </w:tc>
        <w:tc>
          <w:tcPr>
            <w:tcW w:type="dxa" w:w="4536"/>
            <w:tcMar>
              <w:top w:w="80" w:type="dxa"/>
              <w:start w:w="110" w:type="dxa"/>
              <w:bottom w:w="80" w:type="dxa"/>
              <w:end w:w="110" w:type="dxa"/>
            </w:tcMar>
            <w:shd w:fill="EAF0F7"/>
          </w:tcPr>
          <w:p>
            <w:r>
              <w:rPr>
                <w:b/>
                <w:color w:val="12385F"/>
                <w:sz w:val="19"/>
              </w:rPr>
              <w:t>One-line Townsend takeaway</w:t>
            </w:r>
          </w:p>
          <w:p>
            <w:r>
              <w:rPr>
                <w:sz w:val="19"/>
              </w:rPr>
              <w:t>Limited new supply and improving vacancy create a stronger case for Australian non-discretionary retail than for broad discretionary formats.</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Recovery gains traction in Australia.</w:t>
            </w:r>
          </w:p>
          <w:p>
            <w:pPr>
              <w:pStyle w:val="ListBullet"/>
            </w:pPr>
            <w:r>
              <w:rPr>
                <w:b/>
                <w:sz w:val="18"/>
              </w:rPr>
              <w:t xml:space="preserve">Why now: </w:t>
            </w:r>
            <w:r>
              <w:rPr>
                <w:sz w:val="18"/>
              </w:rPr>
              <w:t>Sales are steady, rents lag turnover, and non-discretionary formats benefit from strong local demographics and easier monetary conditions.</w:t>
            </w:r>
          </w:p>
          <w:p>
            <w:pPr>
              <w:pStyle w:val="ListBullet"/>
            </w:pPr>
            <w:r>
              <w:rPr>
                <w:b/>
                <w:sz w:val="18"/>
              </w:rPr>
              <w:t xml:space="preserve">Key risk: </w:t>
            </w:r>
            <w:r>
              <w:rPr>
                <w:sz w:val="18"/>
              </w:rPr>
              <w:t>Discretionary formats remain more exposed to soft consumer sentiment and uneven tourism recovery.</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Subsector toggle: regional / sub-regional / neighborhood / CBD.</w:t>
            </w:r>
          </w:p>
          <w:p>
            <w:pPr>
              <w:pStyle w:val="ListBullet"/>
            </w:pPr>
            <w:r>
              <w:rPr>
                <w:sz w:val="18"/>
              </w:rPr>
              <w:t>Visual approach: Rebuild both visuals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New development as % of total stock chart.</w:t>
            </w:r>
          </w:p>
          <w:p>
            <w:pPr>
              <w:pStyle w:val="ListBullet"/>
            </w:pPr>
            <w:r>
              <w:rPr>
                <w:color w:val="242F3D"/>
                <w:sz w:val="18"/>
              </w:rPr>
              <w:t>Vacancy-rates-by-retail-subsector chart.</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Market dynamics: stable sales growth, Australia strengthening, Singapore improving.</w:t>
            </w:r>
          </w:p>
          <w:p>
            <w:pPr>
              <w:pStyle w:val="ListBullet"/>
            </w:pPr>
            <w:r>
              <w:rPr>
                <w:color w:val="242F3D"/>
                <w:sz w:val="18"/>
              </w:rPr>
              <w:t>Positioning: prefer non-discretionary Australian retail and operators with omni-channel capability.</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focus on convenience, grocery, and necessity-based formats; stay more neutral on regional malls.</w:t>
            </w:r>
          </w:p>
          <w:p>
            <w:pPr>
              <w:pStyle w:val="ListBullet"/>
            </w:pPr>
            <w:r>
              <w:rPr>
                <w:color w:val="242F3D"/>
                <w:sz w:val="18"/>
              </w:rPr>
              <w:t>Related pages: APAC Sector Outlook, U.S. Retail, Europe Retail &amp; Office.</w:t>
            </w:r>
          </w:p>
          <w:p>
            <w:pPr>
              <w:pStyle w:val="ListBullet"/>
            </w:pPr>
            <w:r>
              <w:rPr>
                <w:color w:val="242F3D"/>
                <w:sz w:val="18"/>
              </w:rPr>
              <w:t>Source slide reference: p.41.</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both visuals natively.</w:t>
            </w:r>
          </w:p>
        </w:tc>
      </w:tr>
    </w:tbl>
    <w:p/>
    <w:p>
      <w:pPr>
        <w:spacing w:before="200" w:after="80"/>
      </w:pPr>
      <w:r>
        <w:rPr>
          <w:b/>
          <w:color w:val="12385F"/>
          <w:sz w:val="32"/>
        </w:rPr>
        <w:t>APAC Residential / Living</w:t>
      </w:r>
    </w:p>
    <w:p>
      <w:pPr>
        <w:spacing w:after="120"/>
      </w:pPr>
      <w:r>
        <w:rPr>
          <w:color w:val="5B7998"/>
          <w:sz w:val="18"/>
        </w:rPr>
        <w:t>Source PDF page(s): p.42   |   Layout block: LB-3 Standard insight page   |   Priority: P2</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Understand why living is one of the strongest long-term APAC exposures and which countries are most attractive.</w:t>
            </w:r>
          </w:p>
        </w:tc>
        <w:tc>
          <w:tcPr>
            <w:tcW w:type="dxa" w:w="4536"/>
            <w:tcMar>
              <w:top w:w="80" w:type="dxa"/>
              <w:start w:w="110" w:type="dxa"/>
              <w:bottom w:w="80" w:type="dxa"/>
              <w:end w:w="110" w:type="dxa"/>
            </w:tcMar>
            <w:shd w:fill="EAF0F7"/>
          </w:tcPr>
          <w:p>
            <w:r>
              <w:rPr>
                <w:b/>
                <w:color w:val="12385F"/>
                <w:sz w:val="19"/>
              </w:rPr>
              <w:t>One-line Townsend takeaway</w:t>
            </w:r>
          </w:p>
          <w:p>
            <w:r>
              <w:rPr>
                <w:sz w:val="19"/>
              </w:rPr>
              <w:t>Ownership affordability and tight vacancy continue to support rental housing demand, especially in Japan and Australia.</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Maintain overweight.</w:t>
            </w:r>
          </w:p>
          <w:p>
            <w:pPr>
              <w:pStyle w:val="ListBullet"/>
            </w:pPr>
            <w:r>
              <w:rPr>
                <w:b/>
                <w:sz w:val="18"/>
              </w:rPr>
              <w:t xml:space="preserve">Why now: </w:t>
            </w:r>
            <w:r>
              <w:rPr>
                <w:sz w:val="18"/>
              </w:rPr>
              <w:t>Rents are rising, vacancy is low, and BTR / institutional rental platforms are gaining traction in multiple markets.</w:t>
            </w:r>
          </w:p>
          <w:p>
            <w:pPr>
              <w:pStyle w:val="ListBullet"/>
            </w:pPr>
            <w:r>
              <w:rPr>
                <w:b/>
                <w:sz w:val="18"/>
              </w:rPr>
              <w:t xml:space="preserve">Key risk: </w:t>
            </w:r>
            <w:r>
              <w:rPr>
                <w:sz w:val="18"/>
              </w:rPr>
              <w:t>Execution quality and operating scale matter substantially in newer institutional rental markets.</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Country filter and optional “ownership affordability” explainer tooltip.</w:t>
            </w:r>
          </w:p>
          <w:p>
            <w:pPr>
              <w:pStyle w:val="ListBullet"/>
            </w:pPr>
            <w:r>
              <w:rPr>
                <w:sz w:val="18"/>
              </w:rPr>
              <w:t>Visual approach: Rebuild both visuals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House price-to-household-income ratio chart.</w:t>
            </w:r>
          </w:p>
          <w:p>
            <w:pPr>
              <w:pStyle w:val="ListBullet"/>
            </w:pPr>
            <w:r>
              <w:rPr>
                <w:color w:val="242F3D"/>
                <w:sz w:val="18"/>
              </w:rPr>
              <w:t>Residential rates / vacancy chart for major markets.</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Market dynamics: demographic support, Japan robust, Australia tightening, South Korea institutional rental evolution.</w:t>
            </w:r>
          </w:p>
          <w:p>
            <w:pPr>
              <w:pStyle w:val="ListBullet"/>
            </w:pPr>
            <w:r>
              <w:rPr>
                <w:color w:val="242F3D"/>
                <w:sz w:val="18"/>
              </w:rPr>
              <w:t>Positioning: strongest prospects in Japan BTR, Australia BTR/neighborhood rental, and Korean rental platforms.</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prioritize core/core-plus income-oriented living strategies with strong local platforms.</w:t>
            </w:r>
          </w:p>
          <w:p>
            <w:pPr>
              <w:pStyle w:val="ListBullet"/>
            </w:pPr>
            <w:r>
              <w:rPr>
                <w:color w:val="242F3D"/>
                <w:sz w:val="18"/>
              </w:rPr>
              <w:t>Related pages: RE Investment Themes, U.S. Residential, U.S. Senior Housing.</w:t>
            </w:r>
          </w:p>
          <w:p>
            <w:pPr>
              <w:pStyle w:val="ListBullet"/>
            </w:pPr>
            <w:r>
              <w:rPr>
                <w:color w:val="242F3D"/>
                <w:sz w:val="18"/>
              </w:rPr>
              <w:t>Source slide reference: p.42.</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both visuals natively.</w:t>
            </w:r>
          </w:p>
        </w:tc>
      </w:tr>
    </w:tbl>
    <w:p/>
    <w:p>
      <w:pPr>
        <w:spacing w:before="200" w:after="80"/>
      </w:pPr>
      <w:r>
        <w:rPr>
          <w:b/>
          <w:color w:val="12385F"/>
          <w:sz w:val="32"/>
        </w:rPr>
        <w:t>APAC Healthcare</w:t>
      </w:r>
    </w:p>
    <w:p>
      <w:pPr>
        <w:spacing w:after="120"/>
      </w:pPr>
      <w:r>
        <w:rPr>
          <w:color w:val="5B7998"/>
          <w:sz w:val="18"/>
        </w:rPr>
        <w:t>Source PDF page(s): p.43   |   Layout block: LB-3 Standard insight page   |   Priority: P3</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Assess Australian healthcare’s stabilizing fundamentals despite near-term operator and funding pressures.</w:t>
            </w:r>
          </w:p>
        </w:tc>
        <w:tc>
          <w:tcPr>
            <w:tcW w:type="dxa" w:w="4536"/>
            <w:tcMar>
              <w:top w:w="80" w:type="dxa"/>
              <w:start w:w="110" w:type="dxa"/>
              <w:bottom w:w="80" w:type="dxa"/>
              <w:end w:w="110" w:type="dxa"/>
            </w:tcMar>
            <w:shd w:fill="EAF0F7"/>
          </w:tcPr>
          <w:p>
            <w:r>
              <w:rPr>
                <w:b/>
                <w:color w:val="12385F"/>
                <w:sz w:val="19"/>
              </w:rPr>
              <w:t>One-line Townsend takeaway</w:t>
            </w:r>
          </w:p>
          <w:p>
            <w:r>
              <w:rPr>
                <w:sz w:val="19"/>
              </w:rPr>
              <w:t>Demographic demand remains strong, but funding and operator volatility keep the Australian healthcare opportunity selective rather than broad-based.</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Selective; fundamentals solid, near-term softness remains.</w:t>
            </w:r>
          </w:p>
          <w:p>
            <w:pPr>
              <w:pStyle w:val="ListBullet"/>
            </w:pPr>
            <w:r>
              <w:rPr>
                <w:b/>
                <w:sz w:val="18"/>
              </w:rPr>
              <w:t xml:space="preserve">Why now: </w:t>
            </w:r>
            <w:r>
              <w:rPr>
                <w:sz w:val="18"/>
              </w:rPr>
              <w:t>Policy actions are helping PHI premium growth keep pace with costs while capital rotates into more resilient healthcare segments.</w:t>
            </w:r>
          </w:p>
          <w:p>
            <w:pPr>
              <w:pStyle w:val="ListBullet"/>
            </w:pPr>
            <w:r>
              <w:rPr>
                <w:b/>
                <w:sz w:val="18"/>
              </w:rPr>
              <w:t xml:space="preserve">Key risk: </w:t>
            </w:r>
            <w:r>
              <w:rPr>
                <w:sz w:val="18"/>
              </w:rPr>
              <w:t>Funding and staffing strains can continue to suppress activity and sentiment longer than expected.</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Segment filter for hospitals / senior housing &amp; nursing / medical office.</w:t>
            </w:r>
          </w:p>
          <w:p>
            <w:pPr>
              <w:pStyle w:val="ListBullet"/>
            </w:pPr>
            <w:r>
              <w:rPr>
                <w:sz w:val="18"/>
              </w:rPr>
              <w:t>Visual approach: Rebuild both visuals natively</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Growth in common surgery costs vs. PHI premium chart.</w:t>
            </w:r>
          </w:p>
          <w:p>
            <w:pPr>
              <w:pStyle w:val="ListBullet"/>
            </w:pPr>
            <w:r>
              <w:rPr>
                <w:color w:val="242F3D"/>
                <w:sz w:val="18"/>
              </w:rPr>
              <w:t>Healthcare transaction volumes by segment and year chart.</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Market dynamics: muted activity, structural demand, funding gap narrowing, day-care model shift, segment rotation.</w:t>
            </w:r>
          </w:p>
          <w:p>
            <w:pPr>
              <w:pStyle w:val="ListBullet"/>
            </w:pPr>
            <w:r>
              <w:rPr>
                <w:color w:val="242F3D"/>
                <w:sz w:val="18"/>
              </w:rPr>
              <w:t>Interpretation: prime hospitals remain resilient but the best opportunities may sit in adjacent formats.</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target aged care, day hospitals, medical office, and other formats with durable demand and clearer economics.</w:t>
            </w:r>
          </w:p>
          <w:p>
            <w:pPr>
              <w:pStyle w:val="ListBullet"/>
            </w:pPr>
            <w:r>
              <w:rPr>
                <w:color w:val="242F3D"/>
                <w:sz w:val="18"/>
              </w:rPr>
              <w:t>Related pages: APAC Sector Outlook, RE Investment Themes.</w:t>
            </w:r>
          </w:p>
          <w:p>
            <w:pPr>
              <w:pStyle w:val="ListBullet"/>
            </w:pPr>
            <w:r>
              <w:rPr>
                <w:color w:val="242F3D"/>
                <w:sz w:val="18"/>
              </w:rPr>
              <w:t>Source slide reference: p.43.</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Rebuild both visuals natively.</w:t>
            </w:r>
          </w:p>
        </w:tc>
      </w:tr>
    </w:tbl>
    <w:p/>
    <w:p>
      <w:pPr>
        <w:spacing w:before="200" w:after="80"/>
      </w:pPr>
      <w:r>
        <w:rPr>
          <w:b/>
          <w:color w:val="12385F"/>
          <w:sz w:val="32"/>
        </w:rPr>
        <w:t>APAC Office</w:t>
      </w:r>
    </w:p>
    <w:p>
      <w:pPr>
        <w:spacing w:after="120"/>
      </w:pPr>
      <w:r>
        <w:rPr>
          <w:color w:val="5B7998"/>
          <w:sz w:val="18"/>
        </w:rPr>
        <w:t>Source PDF page(s): p.44   |   Layout block: LB-3 Standard insight page   |   Priority: P2</w:t>
      </w:r>
    </w:p>
    <w:tbl>
      <w:tblPr>
        <w:tblW w:type="auto" w:w="0"/>
        <w:jc w:val="center"/>
        <w:tblLayout w:type="fixed"/>
        <w:tblLook w:firstColumn="1" w:firstRow="1" w:lastColumn="0" w:lastRow="0" w:noHBand="0" w:noVBand="1" w:val="04A0"/>
      </w:tblPr>
      <w:tblGrid>
        <w:gridCol w:w="5040"/>
        <w:gridCol w:w="5040"/>
      </w:tblGrid>
      <w:tr>
        <w:tc>
          <w:tcPr>
            <w:tcW w:type="dxa" w:w="4536"/>
            <w:tcMar>
              <w:top w:w="80" w:type="dxa"/>
              <w:start w:w="110" w:type="dxa"/>
              <w:bottom w:w="80" w:type="dxa"/>
              <w:end w:w="110" w:type="dxa"/>
            </w:tcMar>
            <w:shd w:fill="EAF0F7"/>
          </w:tcPr>
          <w:p>
            <w:r>
              <w:rPr>
                <w:b/>
                <w:color w:val="12385F"/>
                <w:sz w:val="19"/>
              </w:rPr>
              <w:t>User goal</w:t>
            </w:r>
          </w:p>
          <w:p>
            <w:r>
              <w:rPr>
                <w:sz w:val="19"/>
              </w:rPr>
              <w:t>See why Tokyo and Seoul outperform while Australia remains selective and Hong Kong weaker.</w:t>
            </w:r>
          </w:p>
        </w:tc>
        <w:tc>
          <w:tcPr>
            <w:tcW w:type="dxa" w:w="4536"/>
            <w:tcMar>
              <w:top w:w="80" w:type="dxa"/>
              <w:start w:w="110" w:type="dxa"/>
              <w:bottom w:w="80" w:type="dxa"/>
              <w:end w:w="110" w:type="dxa"/>
            </w:tcMar>
            <w:shd w:fill="EAF0F7"/>
          </w:tcPr>
          <w:p>
            <w:r>
              <w:rPr>
                <w:b/>
                <w:color w:val="12385F"/>
                <w:sz w:val="19"/>
              </w:rPr>
              <w:t>One-line Townsend takeaway</w:t>
            </w:r>
          </w:p>
          <w:p>
            <w:r>
              <w:rPr>
                <w:sz w:val="19"/>
              </w:rPr>
              <w:t>APAC office is turning the corner unevenly: Tokyo and Seoul remain strongest, while Australia offers only selective opportunity and vacancy divergence stays wide.</w:t>
            </w:r>
          </w:p>
        </w:tc>
      </w:tr>
      <w:tr>
        <w:tc>
          <w:tcPr>
            <w:tcW w:type="dxa" w:w="4536"/>
            <w:tcMar>
              <w:top w:w="80" w:type="dxa"/>
              <w:start w:w="110" w:type="dxa"/>
              <w:bottom w:w="80" w:type="dxa"/>
              <w:end w:w="110" w:type="dxa"/>
            </w:tcMar>
          </w:tcPr>
          <w:p>
            <w:r>
              <w:rPr>
                <w:b/>
                <w:color w:val="12385F"/>
                <w:sz w:val="19"/>
              </w:rPr>
              <w:t>Summary strip</w:t>
            </w:r>
          </w:p>
          <w:p>
            <w:pPr>
              <w:pStyle w:val="ListBullet"/>
            </w:pPr>
            <w:r>
              <w:rPr>
                <w:b/>
                <w:sz w:val="18"/>
              </w:rPr>
              <w:t xml:space="preserve">View: </w:t>
            </w:r>
            <w:r>
              <w:rPr>
                <w:sz w:val="18"/>
              </w:rPr>
              <w:t>Mixed performance, gradually turning the corner.</w:t>
            </w:r>
          </w:p>
          <w:p>
            <w:pPr>
              <w:pStyle w:val="ListBullet"/>
            </w:pPr>
            <w:r>
              <w:rPr>
                <w:b/>
                <w:sz w:val="18"/>
              </w:rPr>
              <w:t xml:space="preserve">Why now: </w:t>
            </w:r>
            <w:r>
              <w:rPr>
                <w:sz w:val="18"/>
              </w:rPr>
              <w:t>Utilization is improving and prime assets lead demand, but country-level conditions remain materially different.</w:t>
            </w:r>
          </w:p>
          <w:p>
            <w:pPr>
              <w:pStyle w:val="ListBullet"/>
            </w:pPr>
            <w:r>
              <w:rPr>
                <w:b/>
                <w:sz w:val="18"/>
              </w:rPr>
              <w:t xml:space="preserve">Key risk: </w:t>
            </w:r>
            <w:r>
              <w:rPr>
                <w:sz w:val="18"/>
              </w:rPr>
              <w:t>Australia and weaker CBD markets may continue to drag on the regional narrative longer than expected.</w:t>
            </w:r>
          </w:p>
        </w:tc>
        <w:tc>
          <w:tcPr>
            <w:tcW w:type="dxa" w:w="4536"/>
            <w:tcMar>
              <w:top w:w="80" w:type="dxa"/>
              <w:start w:w="110" w:type="dxa"/>
              <w:bottom w:w="80" w:type="dxa"/>
              <w:end w:w="110" w:type="dxa"/>
            </w:tcMar>
          </w:tcPr>
          <w:p>
            <w:r>
              <w:rPr>
                <w:b/>
                <w:color w:val="12385F"/>
                <w:sz w:val="19"/>
              </w:rPr>
              <w:t>Interaction / build treatment</w:t>
            </w:r>
          </w:p>
          <w:p>
            <w:pPr>
              <w:pStyle w:val="ListBullet"/>
            </w:pPr>
            <w:r>
              <w:rPr>
                <w:sz w:val="18"/>
              </w:rPr>
              <w:t>City selector for rent index and vacancy comparison.</w:t>
            </w:r>
          </w:p>
          <w:p>
            <w:pPr>
              <w:pStyle w:val="ListBullet"/>
            </w:pPr>
            <w:r>
              <w:rPr>
                <w:sz w:val="18"/>
              </w:rPr>
              <w:t>Visual approach: Hybrid if needed: rebuild vacancy and rent-index charts first; net-absorption chart can follow or remain secondary in V1</w:t>
            </w:r>
          </w:p>
        </w:tc>
      </w:tr>
    </w:tbl>
    <w:p/>
    <w:tbl>
      <w:tblPr>
        <w:tblW w:type="auto" w:w="0"/>
        <w:jc w:val="center"/>
        <w:tblLayout w:type="fixed"/>
        <w:tblLook w:firstColumn="1" w:firstRow="1" w:lastColumn="0" w:lastRow="0" w:noHBand="0" w:noVBand="1" w:val="04A0"/>
      </w:tblPr>
      <w:tblGrid>
        <w:gridCol w:w="5040"/>
        <w:gridCol w:w="5040"/>
      </w:tblGrid>
      <w:tr>
        <w:tc>
          <w:tcPr>
            <w:tcW w:type="dxa" w:w="2376"/>
            <w:shd w:fill="12385F"/>
            <w:tcMar>
              <w:top w:w="80" w:type="dxa"/>
              <w:start w:w="110" w:type="dxa"/>
              <w:bottom w:w="80" w:type="dxa"/>
              <w:end w:w="110" w:type="dxa"/>
            </w:tcMar>
          </w:tcPr>
          <w:p>
            <w:pPr>
              <w:jc w:val="left"/>
            </w:pPr>
            <w:r>
              <w:rPr>
                <w:b/>
                <w:color w:val="FFFFFF"/>
                <w:sz w:val="18"/>
              </w:rPr>
              <w:t>Left-column evidence</w:t>
            </w:r>
          </w:p>
        </w:tc>
        <w:tc>
          <w:tcPr>
            <w:tcW w:type="dxa" w:w="6696"/>
            <w:tcMar>
              <w:top w:w="80" w:type="dxa"/>
              <w:start w:w="110" w:type="dxa"/>
              <w:bottom w:w="80" w:type="dxa"/>
              <w:end w:w="110" w:type="dxa"/>
            </w:tcMar>
          </w:tcPr>
          <w:p>
            <w:r>
              <w:rPr>
                <w:color w:val="242F3D"/>
                <w:sz w:val="18"/>
              </w:rPr>
              <w:t>Vacancy-rate divergence chart for Developed Asia ex-HK vs. Australia.</w:t>
            </w:r>
          </w:p>
          <w:p>
            <w:pPr>
              <w:pStyle w:val="ListBullet"/>
            </w:pPr>
            <w:r>
              <w:rPr>
                <w:color w:val="242F3D"/>
                <w:sz w:val="18"/>
              </w:rPr>
              <w:t>APAC office net effective rent index chart.</w:t>
            </w:r>
          </w:p>
          <w:p>
            <w:pPr>
              <w:pStyle w:val="ListBullet"/>
            </w:pPr>
            <w:r>
              <w:rPr>
                <w:color w:val="242F3D"/>
                <w:sz w:val="18"/>
              </w:rPr>
              <w:t>Australia CBD net absorption chart.</w:t>
            </w:r>
          </w:p>
        </w:tc>
      </w:tr>
      <w:tr>
        <w:tc>
          <w:tcPr>
            <w:tcW w:type="dxa" w:w="2376"/>
            <w:shd w:fill="12385F"/>
            <w:tcMar>
              <w:top w:w="80" w:type="dxa"/>
              <w:start w:w="110" w:type="dxa"/>
              <w:bottom w:w="80" w:type="dxa"/>
              <w:end w:w="110" w:type="dxa"/>
            </w:tcMar>
          </w:tcPr>
          <w:p>
            <w:pPr>
              <w:jc w:val="left"/>
            </w:pPr>
            <w:r>
              <w:rPr>
                <w:b/>
                <w:color w:val="FFFFFF"/>
                <w:sz w:val="18"/>
              </w:rPr>
              <w:t>Right-column commentary</w:t>
            </w:r>
          </w:p>
        </w:tc>
        <w:tc>
          <w:tcPr>
            <w:tcW w:type="dxa" w:w="6696"/>
            <w:tcMar>
              <w:top w:w="80" w:type="dxa"/>
              <w:start w:w="110" w:type="dxa"/>
              <w:bottom w:w="80" w:type="dxa"/>
              <w:end w:w="110" w:type="dxa"/>
            </w:tcMar>
          </w:tcPr>
          <w:p>
            <w:r>
              <w:rPr>
                <w:color w:val="242F3D"/>
                <w:sz w:val="18"/>
              </w:rPr>
              <w:t>Market dynamics: utilization up, Tokyo strong, Seoul resilient, Australia mixed, flight to quality evident.</w:t>
            </w:r>
          </w:p>
          <w:p>
            <w:pPr>
              <w:pStyle w:val="ListBullet"/>
            </w:pPr>
            <w:r>
              <w:rPr>
                <w:color w:val="242F3D"/>
                <w:sz w:val="18"/>
              </w:rPr>
              <w:t>Interpretation: the investable thesis is city-specific, not regional.</w:t>
            </w:r>
          </w:p>
        </w:tc>
      </w:tr>
      <w:tr>
        <w:tc>
          <w:tcPr>
            <w:tcW w:type="dxa" w:w="2376"/>
            <w:shd w:fill="12385F"/>
            <w:tcMar>
              <w:top w:w="80" w:type="dxa"/>
              <w:start w:w="110" w:type="dxa"/>
              <w:bottom w:w="80" w:type="dxa"/>
              <w:end w:w="110" w:type="dxa"/>
            </w:tcMar>
          </w:tcPr>
          <w:p>
            <w:pPr>
              <w:jc w:val="left"/>
            </w:pPr>
            <w:r>
              <w:rPr>
                <w:b/>
                <w:color w:val="FFFFFF"/>
                <w:sz w:val="18"/>
              </w:rPr>
              <w:t>Bottom strip</w:t>
            </w:r>
          </w:p>
        </w:tc>
        <w:tc>
          <w:tcPr>
            <w:tcW w:type="dxa" w:w="6696"/>
            <w:tcMar>
              <w:top w:w="80" w:type="dxa"/>
              <w:start w:w="110" w:type="dxa"/>
              <w:bottom w:w="80" w:type="dxa"/>
              <w:end w:w="110" w:type="dxa"/>
            </w:tcMar>
          </w:tcPr>
          <w:p>
            <w:r>
              <w:rPr>
                <w:color w:val="242F3D"/>
                <w:sz w:val="18"/>
              </w:rPr>
              <w:t>Investment implications: prioritize Tokyo and Seoul, remain selective in Australia, and avoid over-generalizing APAC office.</w:t>
            </w:r>
          </w:p>
          <w:p>
            <w:pPr>
              <w:pStyle w:val="ListBullet"/>
            </w:pPr>
            <w:r>
              <w:rPr>
                <w:color w:val="242F3D"/>
                <w:sz w:val="18"/>
              </w:rPr>
              <w:t>Related pages: APAC Sector Outlook, U.S. Office, Europe Retail &amp; Office.</w:t>
            </w:r>
          </w:p>
          <w:p>
            <w:pPr>
              <w:pStyle w:val="ListBullet"/>
            </w:pPr>
            <w:r>
              <w:rPr>
                <w:color w:val="242F3D"/>
                <w:sz w:val="18"/>
              </w:rPr>
              <w:t>Source slide reference: p.44.</w:t>
            </w:r>
          </w:p>
        </w:tc>
      </w:tr>
      <w:tr>
        <w:tc>
          <w:tcPr>
            <w:tcW w:type="dxa" w:w="2376"/>
            <w:shd w:fill="12385F"/>
            <w:tcMar>
              <w:top w:w="80" w:type="dxa"/>
              <w:start w:w="110" w:type="dxa"/>
              <w:bottom w:w="80" w:type="dxa"/>
              <w:end w:w="110" w:type="dxa"/>
            </w:tcMar>
          </w:tcPr>
          <w:p>
            <w:pPr>
              <w:jc w:val="left"/>
            </w:pPr>
            <w:r>
              <w:rPr>
                <w:b/>
                <w:color w:val="FFFFFF"/>
                <w:sz w:val="18"/>
              </w:rPr>
              <w:t>Build notes</w:t>
            </w:r>
          </w:p>
        </w:tc>
        <w:tc>
          <w:tcPr>
            <w:tcW w:type="dxa" w:w="6696"/>
            <w:tcMar>
              <w:top w:w="80" w:type="dxa"/>
              <w:start w:w="110" w:type="dxa"/>
              <w:bottom w:w="80" w:type="dxa"/>
              <w:end w:w="110" w:type="dxa"/>
            </w:tcMar>
          </w:tcPr>
          <w:p>
            <w:r>
              <w:rPr>
                <w:color w:val="242F3D"/>
                <w:sz w:val="18"/>
              </w:rPr>
              <w:t>Hybrid if needed: rebuild vacancy and rent-index charts first; net-absorption chart can follow or remain secondary in V1.</w:t>
            </w:r>
          </w:p>
        </w:tc>
      </w:tr>
    </w:tbl>
    <w:p/>
    <w:p>
      <w:r>
        <w:br w:type="page"/>
      </w:r>
    </w:p>
    <w:p>
      <w:pPr>
        <w:spacing w:before="200" w:after="80"/>
      </w:pPr>
      <w:r>
        <w:rPr>
          <w:b/>
          <w:color w:val="12385F"/>
          <w:sz w:val="32"/>
        </w:rPr>
        <w:t>10. V1 embed list vs. rebuild list</w:t>
      </w:r>
    </w:p>
    <w:p>
      <w:pPr>
        <w:spacing w:before="160" w:after="60"/>
      </w:pPr>
      <w:r>
        <w:rPr>
          <w:b/>
          <w:color w:val="242F3D"/>
          <w:sz w:val="25"/>
        </w:rPr>
        <w:t>Embed or hybrid only in V1</w:t>
      </w:r>
    </w:p>
    <w:p>
      <w:pPr>
        <w:pStyle w:val="ListBullet"/>
        <w:spacing w:after="40"/>
      </w:pPr>
      <w:r>
        <w:rPr>
          <w:color w:val="242F3D"/>
          <w:sz w:val="20"/>
        </w:rPr>
        <w:t>Landing page should be cover-inspired, not a literal embedded cover slide.</w:t>
      </w:r>
    </w:p>
    <w:p>
      <w:pPr>
        <w:pStyle w:val="ListBullet"/>
        <w:spacing w:after="40"/>
      </w:pPr>
      <w:r>
        <w:rPr>
          <w:color w:val="242F3D"/>
          <w:sz w:val="20"/>
        </w:rPr>
        <w:t>U.S. SFR / political-risk page can remain a stylized embedded or hybrid card treatment because the original three-column layout is the content.</w:t>
      </w:r>
    </w:p>
    <w:p>
      <w:pPr>
        <w:pStyle w:val="ListBullet"/>
        <w:spacing w:after="40"/>
      </w:pPr>
      <w:r>
        <w:rPr>
          <w:color w:val="242F3D"/>
          <w:sz w:val="20"/>
        </w:rPr>
        <w:t>Optional original-slide drawers/modals only for pages where editorial grouping matters more than data interaction: Capital Market Themes p.12, U.S. Sector Opportunity Set p.17, Europe Sector Opportunity Set p.31.</w:t>
      </w:r>
    </w:p>
    <w:p>
      <w:pPr>
        <w:spacing w:before="160" w:after="60"/>
      </w:pPr>
      <w:r>
        <w:rPr>
          <w:b/>
          <w:color w:val="242F3D"/>
          <w:sz w:val="25"/>
        </w:rPr>
        <w:t>Definitely rebuild in V1</w:t>
      </w:r>
    </w:p>
    <w:p>
      <w:pPr>
        <w:pStyle w:val="ListBullet"/>
        <w:spacing w:after="40"/>
      </w:pPr>
      <w:r>
        <w:rPr>
          <w:color w:val="242F3D"/>
          <w:sz w:val="20"/>
        </w:rPr>
        <w:t>Macro charts and forecast tables.</w:t>
      </w:r>
    </w:p>
    <w:p>
      <w:pPr>
        <w:pStyle w:val="ListBullet"/>
        <w:spacing w:after="40"/>
      </w:pPr>
      <w:r>
        <w:rPr>
          <w:color w:val="242F3D"/>
          <w:sz w:val="20"/>
        </w:rPr>
        <w:t>RE cycle charts and forward-return/supply charts.</w:t>
      </w:r>
    </w:p>
    <w:p>
      <w:pPr>
        <w:pStyle w:val="ListBullet"/>
        <w:spacing w:after="40"/>
      </w:pPr>
      <w:r>
        <w:rPr>
          <w:color w:val="242F3D"/>
          <w:sz w:val="20"/>
        </w:rPr>
        <w:t>Capital markets transaction volume and fundraising charts; representative cap-rate bars.</w:t>
      </w:r>
    </w:p>
    <w:p>
      <w:pPr>
        <w:pStyle w:val="ListBullet"/>
        <w:spacing w:after="40"/>
      </w:pPr>
      <w:r>
        <w:rPr>
          <w:color w:val="242F3D"/>
          <w:sz w:val="20"/>
        </w:rPr>
        <w:t>Global region/sector heat map.</w:t>
      </w:r>
    </w:p>
    <w:p>
      <w:pPr>
        <w:pStyle w:val="ListBullet"/>
        <w:spacing w:after="40"/>
      </w:pPr>
      <w:r>
        <w:rPr>
          <w:color w:val="242F3D"/>
          <w:sz w:val="20"/>
        </w:rPr>
        <w:t>All market-condition dashboards for U.S., Europe, and APAC.</w:t>
      </w:r>
    </w:p>
    <w:p>
      <w:pPr>
        <w:pStyle w:val="ListBullet"/>
        <w:spacing w:after="40"/>
      </w:pPr>
      <w:r>
        <w:rPr>
          <w:color w:val="242F3D"/>
          <w:sz w:val="20"/>
        </w:rPr>
        <w:t>All core sector-page charts except the SFR political-risk infographic.</w:t>
      </w:r>
    </w:p>
    <w:p>
      <w:pPr>
        <w:spacing w:before="200" w:after="80"/>
      </w:pPr>
      <w:r>
        <w:rPr>
          <w:b/>
          <w:color w:val="12385F"/>
          <w:sz w:val="32"/>
        </w:rPr>
        <w:t>11. Suggested build sequence</w:t>
      </w:r>
    </w:p>
    <w:p>
      <w:pPr>
        <w:pStyle w:val="ListBullet"/>
        <w:spacing w:after="40"/>
      </w:pPr>
      <w:r>
        <w:rPr>
          <w:color w:val="242F3D"/>
          <w:sz w:val="20"/>
        </w:rPr>
        <w:t>Sprint 1: Landing, Contents, Macro, RE Cycle, Capital Market Themes, Global Heat Map.</w:t>
      </w:r>
    </w:p>
    <w:p>
      <w:pPr>
        <w:pStyle w:val="ListBullet"/>
        <w:spacing w:after="40"/>
      </w:pPr>
      <w:r>
        <w:rPr>
          <w:color w:val="242F3D"/>
          <w:sz w:val="20"/>
        </w:rPr>
        <w:t>Sprint 2: U.S. Market Condition, U.S. Sector Outlook, U.S. Data Centers, U.S. Residential.</w:t>
      </w:r>
    </w:p>
    <w:p>
      <w:pPr>
        <w:pStyle w:val="ListBullet"/>
        <w:spacing w:after="40"/>
      </w:pPr>
      <w:r>
        <w:rPr>
          <w:color w:val="242F3D"/>
          <w:sz w:val="20"/>
        </w:rPr>
        <w:t>Sprint 3: Europe Market Condition, Europe Sector Outlook, Europe Data Centers, Europe Residential, Europe Industrial.</w:t>
      </w:r>
    </w:p>
    <w:p>
      <w:pPr>
        <w:pStyle w:val="ListBullet"/>
        <w:spacing w:after="40"/>
      </w:pPr>
      <w:r>
        <w:rPr>
          <w:color w:val="242F3D"/>
          <w:sz w:val="20"/>
        </w:rPr>
        <w:t>Sprint 4: APAC Market Condition, APAC Sector Outlook, APAC Living, APAC Industrial/Logistics, APAC Retail, APAC Office.</w:t>
      </w:r>
    </w:p>
    <w:p>
      <w:pPr>
        <w:pStyle w:val="ListBullet"/>
        <w:spacing w:after="40"/>
      </w:pPr>
      <w:r>
        <w:rPr>
          <w:color w:val="242F3D"/>
          <w:sz w:val="20"/>
        </w:rPr>
        <w:t>Sprint 5: remaining detailed pages, polish, navigation improvements, and optional original-slide drawers.</w:t>
      </w:r>
    </w:p>
    <w:p>
      <w:pPr>
        <w:spacing w:before="200" w:after="80"/>
      </w:pPr>
      <w:r>
        <w:rPr>
          <w:b/>
          <w:color w:val="12385F"/>
          <w:sz w:val="32"/>
        </w:rPr>
        <w:t>12. What engineering should build first</w:t>
      </w:r>
    </w:p>
    <w:tbl>
      <w:tblPr>
        <w:tblW w:type="auto" w:w="0"/>
        <w:jc w:val="center"/>
        <w:tblLayout w:type="fixed"/>
        <w:tblLook w:firstColumn="1" w:firstRow="1" w:lastColumn="0" w:lastRow="0" w:noHBand="0" w:noVBand="1" w:val="04A0"/>
      </w:tblPr>
      <w:tblGrid>
        <w:gridCol w:w="10080"/>
      </w:tblGrid>
      <w:tr>
        <w:tc>
          <w:tcPr>
            <w:tcW w:type="dxa" w:w="9216"/>
            <w:shd w:fill="F4F7FB"/>
            <w:tcMar>
              <w:top w:w="120" w:type="dxa"/>
              <w:start w:w="120" w:type="dxa"/>
              <w:bottom w:w="120" w:type="dxa"/>
              <w:end w:w="120" w:type="dxa"/>
            </w:tcMar>
          </w:tcPr>
          <w:p>
            <w:r>
              <w:rPr>
                <w:b/>
                <w:color w:val="12385F"/>
                <w:sz w:val="21"/>
              </w:rPr>
              <w:t>Minimum viable component set</w:t>
            </w:r>
          </w:p>
          <w:p>
            <w:pPr>
              <w:pStyle w:val="ListBullet"/>
            </w:pPr>
            <w:r>
              <w:rPr>
                <w:color w:val="242F3D"/>
                <w:sz w:val="19"/>
              </w:rPr>
              <w:t>Navigation shell: left-hand section navigation, top page title bar, page metadata row.</w:t>
            </w:r>
          </w:p>
          <w:p>
            <w:pPr>
              <w:pStyle w:val="ListBullet"/>
            </w:pPr>
            <w:r>
              <w:rPr>
                <w:color w:val="242F3D"/>
                <w:sz w:val="19"/>
              </w:rPr>
              <w:t>Summary strip component: three cards with consistent labels and color treatment.</w:t>
            </w:r>
          </w:p>
          <w:p>
            <w:pPr>
              <w:pStyle w:val="ListBullet"/>
            </w:pPr>
            <w:r>
              <w:rPr>
                <w:color w:val="242F3D"/>
                <w:sz w:val="19"/>
              </w:rPr>
              <w:t>Chart grid component: supports 1, 2, or 4 visuals in the left column.</w:t>
            </w:r>
          </w:p>
          <w:p>
            <w:pPr>
              <w:pStyle w:val="ListBullet"/>
            </w:pPr>
            <w:r>
              <w:rPr>
                <w:color w:val="242F3D"/>
                <w:sz w:val="19"/>
              </w:rPr>
              <w:t>Right-rail commentary component: supports short blocks with subhead labels.</w:t>
            </w:r>
          </w:p>
          <w:p>
            <w:pPr>
              <w:pStyle w:val="ListBullet"/>
            </w:pPr>
            <w:r>
              <w:rPr>
                <w:color w:val="242F3D"/>
                <w:sz w:val="19"/>
              </w:rPr>
              <w:t>Bottom strip component: investment implications, related pages, source references.</w:t>
            </w:r>
          </w:p>
          <w:p>
            <w:pPr>
              <w:pStyle w:val="ListBullet"/>
            </w:pPr>
            <w:r>
              <w:rPr>
                <w:color w:val="242F3D"/>
                <w:sz w:val="19"/>
              </w:rPr>
              <w:t>Cards component: used for sector outlook and investment themes pages.</w:t>
            </w:r>
          </w:p>
          <w:p>
            <w:pPr>
              <w:pStyle w:val="ListBullet"/>
            </w:pPr>
            <w:r>
              <w:rPr>
                <w:color w:val="242F3D"/>
                <w:sz w:val="19"/>
              </w:rPr>
              <w:t>Heat map component: used for the global region/sector matrix page.</w:t>
            </w:r>
          </w:p>
        </w:tc>
      </w:tr>
    </w:tbl>
    <w:p/>
    <w:p>
      <w:pPr>
        <w:spacing w:before="200" w:after="80"/>
      </w:pPr>
      <w:r>
        <w:rPr>
          <w:b/>
          <w:color w:val="12385F"/>
          <w:sz w:val="32"/>
        </w:rPr>
        <w:t>13. Quality-control checklist before building page detail</w:t>
      </w:r>
    </w:p>
    <w:p>
      <w:pPr>
        <w:pStyle w:val="ListBullet"/>
        <w:spacing w:after="40"/>
      </w:pPr>
      <w:r>
        <w:rPr>
          <w:color w:val="242F3D"/>
          <w:sz w:val="20"/>
        </w:rPr>
        <w:t>Every page must have a one-line takeaway, a view card, a why-now card, a key-risk card, and an investment-implications statement.</w:t>
      </w:r>
    </w:p>
    <w:p>
      <w:pPr>
        <w:pStyle w:val="ListBullet"/>
        <w:spacing w:after="40"/>
      </w:pPr>
      <w:r>
        <w:rPr>
          <w:color w:val="242F3D"/>
          <w:sz w:val="20"/>
        </w:rPr>
        <w:t>Every page must reference its source slide(s) in the metadata/footer row.</w:t>
      </w:r>
    </w:p>
    <w:p>
      <w:pPr>
        <w:pStyle w:val="ListBullet"/>
        <w:spacing w:after="40"/>
      </w:pPr>
      <w:r>
        <w:rPr>
          <w:color w:val="242F3D"/>
          <w:sz w:val="20"/>
        </w:rPr>
        <w:t>No full-slide screenshot should occupy the main content area except pages explicitly marked embed/hybrid.</w:t>
      </w:r>
    </w:p>
    <w:p>
      <w:pPr>
        <w:pStyle w:val="ListBullet"/>
        <w:spacing w:after="40"/>
      </w:pPr>
      <w:r>
        <w:rPr>
          <w:color w:val="242F3D"/>
          <w:sz w:val="20"/>
        </w:rPr>
        <w:t>Right-column commentary should stay concise; the app should never feel like copied slide prose.</w:t>
      </w:r>
    </w:p>
    <w:p>
      <w:pPr>
        <w:pStyle w:val="ListBullet"/>
        <w:spacing w:after="40"/>
      </w:pPr>
      <w:r>
        <w:rPr>
          <w:color w:val="242F3D"/>
          <w:sz w:val="20"/>
        </w:rPr>
        <w:t>All section pages should route clearly to detail pages and back to section overview pages.</w:t>
      </w:r>
    </w:p>
    <w:p>
      <w:pPr>
        <w:spacing w:before="200" w:after="80"/>
      </w:pPr>
      <w:r>
        <w:rPr>
          <w:b/>
          <w:color w:val="12385F"/>
          <w:sz w:val="32"/>
        </w:rPr>
        <w:t>14. Closing recommendation</w:t>
      </w:r>
    </w:p>
    <w:p>
      <w:pPr>
        <w:spacing w:after="40"/>
      </w:pPr>
      <w:r>
        <w:rPr>
          <w:color w:val="242F3D"/>
          <w:sz w:val="20"/>
        </w:rPr>
        <w:t>This V1 should be built as a structured institutional research product: the February 2026 VOTW provides the editorial source, while the app should present judgment, evidence, and action more cleanly than the PDF can. The blueprint above is intended to be comprehensive enough for design and engineering to begin immediately on the shell, reusable components, and first-priority pages.</w:t>
      </w:r>
    </w:p>
    <w:sectPr w:rsidR="00FC693F" w:rsidRPr="0006063C" w:rsidSect="00034616">
      <w:footerReference w:type="default" r:id="rId9"/>
      <w:pgSz w:w="12240" w:h="15840"/>
      <w:pgMar w:top="936"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