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TownsendAI: Strategic Business Plan for a Data &amp; Analytics Platform Powered by Townsend</w:t>
      </w:r>
    </w:p>
    <w:p>
      <w:r>
        <w:pict>
          <v:rect style="width:0;height:1.5pt" o:hralign="center" o:hrstd="t" o:hr="t"/>
        </w:pict>
      </w:r>
    </w:p>
    <w:bookmarkStart w:id="20" w:name="Xf838fcd897380801228175529cb7425e3bb387d"/>
    <w:p>
      <w:pPr>
        <w:pStyle w:val="Heading3"/>
      </w:pPr>
      <w:r>
        <w:t xml:space="preserve">Slide 1: Unlocking the Future of Real Estate Intelligence</w:t>
      </w:r>
    </w:p>
    <w:p>
      <w:pPr>
        <w:pStyle w:val="Compact"/>
        <w:numPr>
          <w:ilvl w:val="0"/>
          <w:numId w:val="1001"/>
        </w:numPr>
      </w:pPr>
      <w:r>
        <w:t xml:space="preserve">TownsendAI is a newly launched tech-focused data and analytics entity by the Townsend Group.</w:t>
      </w:r>
    </w:p>
    <w:p>
      <w:pPr>
        <w:pStyle w:val="Compact"/>
        <w:numPr>
          <w:ilvl w:val="0"/>
          <w:numId w:val="1001"/>
        </w:numPr>
      </w:pPr>
      <w:r>
        <w:t xml:space="preserve">It builds on Townsend’s decades-long reputation as a trusted fiduciary, data custodian, and investment thought leader.</w:t>
      </w:r>
    </w:p>
    <w:p>
      <w:pPr>
        <w:pStyle w:val="Compact"/>
        <w:numPr>
          <w:ilvl w:val="0"/>
          <w:numId w:val="1001"/>
        </w:numPr>
      </w:pPr>
      <w:r>
        <w:t xml:space="preserve">The platform delivers institutional-grade tools powered by proprietary datasets, advanced forecasting models, and artificial intelligence.</w:t>
      </w:r>
    </w:p>
    <w:p>
      <w:pPr>
        <w:pStyle w:val="Compact"/>
        <w:numPr>
          <w:ilvl w:val="0"/>
          <w:numId w:val="1001"/>
        </w:numPr>
      </w:pPr>
      <w:r>
        <w:t xml:space="preserve">Operating as a fast-paced startup, TownsendAI represents the natural evolution of Townsend—from advisory to scalable, data-driven intelligence.</w:t>
      </w:r>
    </w:p>
    <w:p>
      <w:r>
        <w:pict>
          <v:rect style="width:0;height:1.5pt" o:hralign="center" o:hrstd="t" o:hr="t"/>
        </w:pict>
      </w:r>
    </w:p>
    <w:bookmarkEnd w:id="20"/>
    <w:bookmarkStart w:id="21" w:name="Xe940cc2abf6ca7c5b06595a84f2f3dcebe9aae8"/>
    <w:p>
      <w:pPr>
        <w:pStyle w:val="Heading3"/>
      </w:pPr>
      <w:r>
        <w:t xml:space="preserve">Slide 2: Townsend’s Core Capabilities Today</w:t>
      </w:r>
    </w:p>
    <w:p>
      <w:pPr>
        <w:pStyle w:val="Compact"/>
        <w:numPr>
          <w:ilvl w:val="0"/>
          <w:numId w:val="1002"/>
        </w:numPr>
      </w:pPr>
      <w:r>
        <w:t xml:space="preserve">Over 40 years of experience as a trusted fiduciary and long-term partner.</w:t>
      </w:r>
    </w:p>
    <w:p>
      <w:pPr>
        <w:pStyle w:val="Compact"/>
        <w:numPr>
          <w:ilvl w:val="0"/>
          <w:numId w:val="1002"/>
        </w:numPr>
      </w:pPr>
      <w:r>
        <w:t xml:space="preserve">Oversees more than $250 billion in real asset capital, making it one of the largest platforms in the space.</w:t>
      </w:r>
    </w:p>
    <w:p>
      <w:pPr>
        <w:pStyle w:val="Compact"/>
        <w:numPr>
          <w:ilvl w:val="0"/>
          <w:numId w:val="1002"/>
        </w:numPr>
      </w:pPr>
      <w:r>
        <w:t xml:space="preserve">Serves both as an advisor and discretionary manager, delivering actionable, real-time investment decisions.</w:t>
      </w:r>
    </w:p>
    <w:p>
      <w:pPr>
        <w:pStyle w:val="Compact"/>
        <w:numPr>
          <w:ilvl w:val="0"/>
          <w:numId w:val="1002"/>
        </w:numPr>
      </w:pPr>
      <w:r>
        <w:t xml:space="preserve">Deep domain expertise across all major real estate sectors and global geographies.</w:t>
      </w:r>
    </w:p>
    <w:p>
      <w:pPr>
        <w:pStyle w:val="Compact"/>
        <w:numPr>
          <w:ilvl w:val="0"/>
          <w:numId w:val="1002"/>
        </w:numPr>
      </w:pPr>
      <w:r>
        <w:t xml:space="preserve">Recognized for transparency, deep research, and a culture of openly sharing high-conviction investment ideas.</w:t>
      </w:r>
    </w:p>
    <w:p>
      <w:pPr>
        <w:pStyle w:val="Compact"/>
        <w:numPr>
          <w:ilvl w:val="0"/>
          <w:numId w:val="1002"/>
        </w:numPr>
      </w:pPr>
      <w:r>
        <w:t xml:space="preserve">Maintains extensive relationships across LPs and GPs, uniquely positioning Townsend at the center of the global real estate ecosystem.</w:t>
      </w:r>
    </w:p>
    <w:p>
      <w:r>
        <w:pict>
          <v:rect style="width:0;height:1.5pt" o:hralign="center" o:hrstd="t" o:hr="t"/>
        </w:pict>
      </w:r>
    </w:p>
    <w:bookmarkEnd w:id="21"/>
    <w:bookmarkStart w:id="22" w:name="slide-3-why-extend-into-technology"/>
    <w:p>
      <w:pPr>
        <w:pStyle w:val="Heading3"/>
      </w:pPr>
      <w:r>
        <w:t xml:space="preserve">Slide 3: Why Extend into Technology?</w:t>
      </w:r>
    </w:p>
    <w:p>
      <w:pPr>
        <w:pStyle w:val="FirstParagraph"/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- Unlock Townsend’s proprietary datasets through scalable AI-powered products.</w:t>
      </w:r>
      <w:r>
        <w:t xml:space="preserve"> </w:t>
      </w:r>
      <w:r>
        <w:t xml:space="preserve">- Address growing demand from LPs and GPs for predictive analytics and portfolio construction tools.</w:t>
      </w:r>
      <w:r>
        <w:t xml:space="preserve"> </w:t>
      </w:r>
      <w:r>
        <w:t xml:space="preserve">- Establish new recurring, high-margin revenue streams via SaaS, subscriptions, and licensing.</w:t>
      </w:r>
    </w:p>
    <w:p>
      <w:pPr>
        <w:pStyle w:val="BodyText"/>
      </w:pPr>
      <w:r>
        <w:rPr>
          <w:b/>
          <w:bCs/>
        </w:rPr>
        <w:t xml:space="preserve">Townsend’s Proprietary Data Assets:</w:t>
      </w:r>
      <w:r>
        <w:t xml:space="preserve"> </w:t>
      </w:r>
      <w:r>
        <w:t xml:space="preserve">| Dataset Category | Description |</w:t>
      </w:r>
      <w:r>
        <w:t xml:space="preserve"> </w:t>
      </w:r>
      <w:r>
        <w:t xml:space="preserve">|—————————-|—————————————————————————–|</w:t>
      </w:r>
      <w:r>
        <w:t xml:space="preserve"> </w:t>
      </w:r>
      <w:r>
        <w:t xml:space="preserve">| Non-core performance data | Fund returns by vintage, strategy, and region; fee and governance benchmarking |</w:t>
      </w:r>
      <w:r>
        <w:t xml:space="preserve"> </w:t>
      </w:r>
      <w:r>
        <w:t xml:space="preserve">| Core portfolio data | Inputs for benchmarks, indices, advisory, and smart beta products |</w:t>
      </w:r>
      <w:r>
        <w:t xml:space="preserve"> </w:t>
      </w:r>
      <w:r>
        <w:t xml:space="preserve">| Forecast data | Entry/exit values, rent growth, Sharpe ratios, sector returns, volatility |</w:t>
      </w:r>
      <w:r>
        <w:t xml:space="preserve"> </w:t>
      </w:r>
      <w:r>
        <w:t xml:space="preserve">| Fund pipeline insights | 100–200 global funds tracked annually |</w:t>
      </w:r>
      <w:r>
        <w:t xml:space="preserve"> </w:t>
      </w:r>
      <w:r>
        <w:t xml:space="preserve">| Deal pipeline data | Co-investment and transaction visibility |</w:t>
      </w:r>
    </w:p>
    <w:p>
      <w:r>
        <w:pict>
          <v:rect style="width:0;height:1.5pt" o:hralign="center" o:hrstd="t" o:hr="t"/>
        </w:pict>
      </w:r>
    </w:p>
    <w:bookmarkEnd w:id="22"/>
    <w:bookmarkStart w:id="23" w:name="slide-4-ownership-governance-structure"/>
    <w:p>
      <w:pPr>
        <w:pStyle w:val="Heading3"/>
      </w:pPr>
      <w:r>
        <w:t xml:space="preserve">Slide 4: Ownership &amp; Governance Structure</w:t>
      </w:r>
    </w:p>
    <w:p>
      <w:pPr>
        <w:pStyle w:val="Compact"/>
        <w:numPr>
          <w:ilvl w:val="0"/>
          <w:numId w:val="1003"/>
        </w:numPr>
      </w:pPr>
      <w:r>
        <w:t xml:space="preserve">TownsendAI is wholly owned by Townsend at inception.</w:t>
      </w:r>
    </w:p>
    <w:p>
      <w:pPr>
        <w:pStyle w:val="Compact"/>
        <w:numPr>
          <w:ilvl w:val="0"/>
          <w:numId w:val="1003"/>
        </w:numPr>
      </w:pPr>
      <w:r>
        <w:t xml:space="preserve">Licenses the Townsend brand, proprietary data, and forecasting IP.</w:t>
      </w:r>
    </w:p>
    <w:p>
      <w:pPr>
        <w:pStyle w:val="Compact"/>
        <w:numPr>
          <w:ilvl w:val="0"/>
          <w:numId w:val="1003"/>
        </w:numPr>
      </w:pPr>
      <w:r>
        <w:t xml:space="preserve">33% equity pool is reserved for future senior hires including the CEO, CTO, Head of Product, and additional founding team members.</w:t>
      </w:r>
    </w:p>
    <w:p>
      <w:pPr>
        <w:pStyle w:val="Compact"/>
        <w:numPr>
          <w:ilvl w:val="0"/>
          <w:numId w:val="1003"/>
        </w:numPr>
      </w:pPr>
      <w:r>
        <w:t xml:space="preserve">A minority stake will be allocated to a future venture capital partner.</w:t>
      </w:r>
    </w:p>
    <w:p>
      <w:pPr>
        <w:pStyle w:val="FirstParagraph"/>
      </w:pPr>
      <w:r>
        <w:rPr>
          <w:b/>
          <w:bCs/>
        </w:rPr>
        <w:t xml:space="preserve">Ownership Structure Diagram (Described):</w:t>
      </w:r>
      <w:r>
        <w:t xml:space="preserve"> </w:t>
      </w:r>
      <w:r>
        <w:t xml:space="preserve">- Townsend Group is owned by Riverside, other consortium investors, and Townsend management.</w:t>
      </w:r>
      <w:r>
        <w:t xml:space="preserve"> </w:t>
      </w:r>
      <w:r>
        <w:t xml:space="preserve">- Townsend owns a majority of TownsendAI.</w:t>
      </w:r>
      <w:r>
        <w:t xml:space="preserve"> </w:t>
      </w:r>
      <w:r>
        <w:t xml:space="preserve">- Management receives ~33% in equity.</w:t>
      </w:r>
      <w:r>
        <w:t xml:space="preserve"> </w:t>
      </w:r>
      <w:r>
        <w:t xml:space="preserve">- Future VC partner expected to hold a minority, non-controlling stake.</w:t>
      </w:r>
    </w:p>
    <w:p>
      <w:r>
        <w:pict>
          <v:rect style="width:0;height:1.5pt" o:hralign="center" o:hrstd="t" o:hr="t"/>
        </w:pict>
      </w:r>
    </w:p>
    <w:bookmarkEnd w:id="23"/>
    <w:bookmarkStart w:id="24" w:name="slide-5-townsendai-product-ecosystem"/>
    <w:p>
      <w:pPr>
        <w:pStyle w:val="Heading3"/>
      </w:pPr>
      <w:r>
        <w:t xml:space="preserve">Slide 5: TownsendAI Product Ecosystem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"/>
        <w:gridCol w:w="1655"/>
        <w:gridCol w:w="4564"/>
        <w:gridCol w:w="15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Target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Smart Benchmarking</w:t>
            </w:r>
          </w:p>
        </w:tc>
        <w:tc>
          <w:tcPr/>
          <w:p>
            <w:pPr>
              <w:pStyle w:val="Compact"/>
            </w:pPr>
            <w:r>
              <w:t xml:space="preserve">Sector, region, vintage, and risk-based benchmarks for institutional performance assessment</w:t>
            </w:r>
          </w:p>
        </w:tc>
        <w:tc>
          <w:tcPr/>
          <w:p>
            <w:pPr>
              <w:pStyle w:val="Compact"/>
            </w:pPr>
            <w:r>
              <w:t xml:space="preserve">LPs, GPs,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Fund Underwriting &amp; Ratings</w:t>
            </w:r>
          </w:p>
        </w:tc>
        <w:tc>
          <w:tcPr/>
          <w:p>
            <w:pPr>
              <w:pStyle w:val="Compact"/>
            </w:pPr>
            <w:r>
              <w:t xml:space="preserve">Automated fund memos, benchmark overlays, and rating systems</w:t>
            </w:r>
          </w:p>
        </w:tc>
        <w:tc>
          <w:tcPr/>
          <w:p>
            <w:pPr>
              <w:pStyle w:val="Compact"/>
            </w:pPr>
            <w:r>
              <w:t xml:space="preserve">LPs,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Forecasting Engine</w:t>
            </w:r>
          </w:p>
        </w:tc>
        <w:tc>
          <w:tcPr/>
          <w:p>
            <w:pPr>
              <w:pStyle w:val="Compact"/>
            </w:pPr>
            <w:r>
              <w:t xml:space="preserve">Return projections, optimization tools, and macro scenario modeling</w:t>
            </w:r>
          </w:p>
        </w:tc>
        <w:tc>
          <w:tcPr/>
          <w:p>
            <w:pPr>
              <w:pStyle w:val="Compact"/>
            </w:pPr>
            <w:r>
              <w:t xml:space="preserve">LPs, Wealth Platforms,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Research &amp; Global VOTW</w:t>
            </w:r>
          </w:p>
        </w:tc>
        <w:tc>
          <w:tcPr/>
          <w:p>
            <w:pPr>
              <w:pStyle w:val="Compact"/>
            </w:pPr>
            <w:r>
              <w:t xml:space="preserve">Monthly thematic research and biannual</w:t>
            </w:r>
            <w:r>
              <w:t xml:space="preserve"> </w:t>
            </w:r>
            <w:r>
              <w:t xml:space="preserve">“View of the World”</w:t>
            </w:r>
            <w:r>
              <w:t xml:space="preserve"> </w:t>
            </w: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LPs, GPs, RIAs,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Fund &amp; Deal Pipeline Engine</w:t>
            </w:r>
          </w:p>
        </w:tc>
        <w:tc>
          <w:tcPr/>
          <w:p>
            <w:pPr>
              <w:pStyle w:val="Compact"/>
            </w:pPr>
            <w:r>
              <w:t xml:space="preserve">Identifies gaps and recommends capital deployment opportunities using live market pipeline</w:t>
            </w:r>
          </w:p>
        </w:tc>
        <w:tc>
          <w:tcPr/>
          <w:p>
            <w:pPr>
              <w:pStyle w:val="Compact"/>
            </w:pPr>
            <w:r>
              <w:t xml:space="preserve">LPs, 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GP Advisory</w:t>
            </w:r>
          </w:p>
        </w:tc>
        <w:tc>
          <w:tcPr/>
          <w:p>
            <w:pPr>
              <w:pStyle w:val="Compact"/>
            </w:pPr>
            <w:r>
              <w:t xml:space="preserve">Benchmarking, strategy, and market-entry consulting, delivered via a non-conflicted structure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 Capital Advisory</w:t>
            </w:r>
          </w:p>
        </w:tc>
        <w:tc>
          <w:tcPr/>
          <w:p>
            <w:pPr>
              <w:pStyle w:val="Compact"/>
            </w:pPr>
            <w:r>
              <w:t xml:space="preserve">AI-assisted deal underwriting, GP/operator M&amp;A, and capital matching</w:t>
            </w:r>
          </w:p>
        </w:tc>
        <w:tc>
          <w:tcPr/>
          <w:p>
            <w:pPr>
              <w:pStyle w:val="Compact"/>
            </w:pPr>
            <w:r>
              <w:t xml:space="preserve">GPs, Operators, Capital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Secondary Marketplace</w:t>
            </w:r>
          </w:p>
        </w:tc>
        <w:tc>
          <w:tcPr/>
          <w:p>
            <w:pPr>
              <w:pStyle w:val="Compact"/>
            </w:pPr>
            <w:r>
              <w:t xml:space="preserve">Online listing platform with AI-guided secondary sales and investment discovery</w:t>
            </w:r>
          </w:p>
        </w:tc>
        <w:tc>
          <w:tcPr/>
          <w:p>
            <w:pPr>
              <w:pStyle w:val="Compact"/>
            </w:pPr>
            <w:r>
              <w:t xml:space="preserve">LPs, GPs, Family Offices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lide-6-smart-benchmarking"/>
    <w:p>
      <w:pPr>
        <w:pStyle w:val="Heading3"/>
      </w:pPr>
      <w:r>
        <w:t xml:space="preserve">Slide 6: Smart Benchmarking</w:t>
      </w:r>
    </w:p>
    <w:p>
      <w:pPr>
        <w:pStyle w:val="Compact"/>
        <w:numPr>
          <w:ilvl w:val="0"/>
          <w:numId w:val="1004"/>
        </w:numPr>
      </w:pPr>
      <w:r>
        <w:t xml:space="preserve">Provides dynamic, institutional-grade indices across sector, region, vintage, and risk categories.</w:t>
      </w:r>
    </w:p>
    <w:p>
      <w:pPr>
        <w:pStyle w:val="Compact"/>
        <w:numPr>
          <w:ilvl w:val="0"/>
          <w:numId w:val="1004"/>
        </w:numPr>
      </w:pPr>
      <w:r>
        <w:t xml:space="preserve">GPs can benchmark fund performance across thousands of peer datapoints.</w:t>
      </w:r>
    </w:p>
    <w:p>
      <w:pPr>
        <w:pStyle w:val="Compact"/>
        <w:numPr>
          <w:ilvl w:val="0"/>
          <w:numId w:val="1004"/>
        </w:numPr>
      </w:pPr>
      <w:r>
        <w:t xml:space="preserve">LPs can evaluate and improve their current portfolios against market comparables.</w:t>
      </w:r>
    </w:p>
    <w:p>
      <w:pPr>
        <w:pStyle w:val="Compact"/>
        <w:numPr>
          <w:ilvl w:val="0"/>
          <w:numId w:val="1004"/>
        </w:numPr>
      </w:pPr>
      <w:r>
        <w:t xml:space="preserve">Data can be licensed externally to smart beta asset managers or embedded into analytics platforms.</w:t>
      </w:r>
    </w:p>
    <w:p>
      <w:r>
        <w:pict>
          <v:rect style="width:0;height:1.5pt" o:hralign="center" o:hrstd="t" o:hr="t"/>
        </w:pict>
      </w:r>
    </w:p>
    <w:bookmarkEnd w:id="25"/>
    <w:bookmarkStart w:id="26" w:name="X8cb4aa91b76c37fb42245b95fadf01c0e469a72"/>
    <w:p>
      <w:pPr>
        <w:pStyle w:val="Heading3"/>
      </w:pPr>
      <w:r>
        <w:t xml:space="preserve">Slide 7: AI-Driven Fund Underwriting &amp; Ratings</w:t>
      </w:r>
    </w:p>
    <w:p>
      <w:pPr>
        <w:pStyle w:val="Compact"/>
        <w:numPr>
          <w:ilvl w:val="0"/>
          <w:numId w:val="1005"/>
        </w:numPr>
      </w:pPr>
      <w:r>
        <w:t xml:space="preserve">GPs complete detailed due diligence questionnaires (DDQs).</w:t>
      </w:r>
    </w:p>
    <w:p>
      <w:pPr>
        <w:pStyle w:val="Compact"/>
        <w:numPr>
          <w:ilvl w:val="0"/>
          <w:numId w:val="1005"/>
        </w:numPr>
      </w:pPr>
      <w:r>
        <w:t xml:space="preserve">AI reads, parses, and converts responses into Townsend-style investment memos.</w:t>
      </w:r>
    </w:p>
    <w:p>
      <w:pPr>
        <w:pStyle w:val="Compact"/>
        <w:numPr>
          <w:ilvl w:val="0"/>
          <w:numId w:val="1005"/>
        </w:numPr>
      </w:pPr>
      <w:r>
        <w:t xml:space="preserve">Benchmarks and forecast data are layered in.</w:t>
      </w:r>
    </w:p>
    <w:p>
      <w:pPr>
        <w:pStyle w:val="Compact"/>
        <w:numPr>
          <w:ilvl w:val="0"/>
          <w:numId w:val="1005"/>
        </w:numPr>
      </w:pPr>
      <w:r>
        <w:t xml:space="preserve">Each fund receives a rating, and the final report is validated with the manager before distribution.</w:t>
      </w:r>
    </w:p>
    <w:p>
      <w:pPr>
        <w:pStyle w:val="Compact"/>
        <w:numPr>
          <w:ilvl w:val="0"/>
          <w:numId w:val="1005"/>
        </w:numPr>
      </w:pPr>
      <w:r>
        <w:t xml:space="preserve">Revenue streams include fees from both GPs and LPs for report creation and access.</w:t>
      </w:r>
    </w:p>
    <w:p>
      <w:r>
        <w:pict>
          <v:rect style="width:0;height:1.5pt" o:hralign="center" o:hrstd="t" o:hr="t"/>
        </w:pict>
      </w:r>
    </w:p>
    <w:bookmarkEnd w:id="26"/>
    <w:bookmarkStart w:id="27" w:name="X521d46bcce86ce1da3d70fa0d193492fa0b7972"/>
    <w:p>
      <w:pPr>
        <w:pStyle w:val="Heading3"/>
      </w:pPr>
      <w:r>
        <w:t xml:space="preserve">Slide 8: Forecasting &amp; Portfolio Strategy Engine</w:t>
      </w:r>
    </w:p>
    <w:p>
      <w:pPr>
        <w:pStyle w:val="Compact"/>
        <w:numPr>
          <w:ilvl w:val="0"/>
          <w:numId w:val="1006"/>
        </w:numPr>
      </w:pPr>
      <w:r>
        <w:t xml:space="preserve">Covers 10+ real estate sectors, including Office, Retail, Industrial, Apartments, Student Housing, Senior Housing, Hotels, Data Centers, and Self Storage.</w:t>
      </w:r>
    </w:p>
    <w:p>
      <w:pPr>
        <w:pStyle w:val="Compact"/>
        <w:numPr>
          <w:ilvl w:val="0"/>
          <w:numId w:val="1006"/>
        </w:numPr>
      </w:pPr>
      <w:r>
        <w:t xml:space="preserve">Forecasts include rent growth, exit values, return volatility, debt costs, capex, and more.</w:t>
      </w:r>
    </w:p>
    <w:p>
      <w:pPr>
        <w:pStyle w:val="Compact"/>
        <w:numPr>
          <w:ilvl w:val="0"/>
          <w:numId w:val="1006"/>
        </w:numPr>
      </w:pPr>
      <w:r>
        <w:t xml:space="preserve">Outputs include unlevered and levered property returns, as well as gross/net fund returns.</w:t>
      </w:r>
    </w:p>
    <w:p>
      <w:pPr>
        <w:pStyle w:val="Compact"/>
        <w:numPr>
          <w:ilvl w:val="0"/>
          <w:numId w:val="1006"/>
        </w:numPr>
      </w:pPr>
      <w:r>
        <w:t xml:space="preserve">Enables LPs to construct optimized portfolios that adhere to investment constraints and risk limits.</w:t>
      </w:r>
    </w:p>
    <w:p>
      <w:pPr>
        <w:pStyle w:val="Compact"/>
        <w:numPr>
          <w:ilvl w:val="0"/>
          <w:numId w:val="1006"/>
        </w:numPr>
      </w:pPr>
      <w:r>
        <w:t xml:space="preserve">Scenario models allow stress testing of base portfolios under varied economic conditions.</w:t>
      </w:r>
    </w:p>
    <w:p>
      <w:r>
        <w:pict>
          <v:rect style="width:0;height:1.5pt" o:hralign="center" o:hrstd="t" o:hr="t"/>
        </w:pict>
      </w:r>
    </w:p>
    <w:bookmarkEnd w:id="27"/>
    <w:bookmarkStart w:id="28" w:name="slide-9-research-global-votw"/>
    <w:p>
      <w:pPr>
        <w:pStyle w:val="Heading3"/>
      </w:pPr>
      <w:r>
        <w:t xml:space="preserve">Slide 9: Research &amp; Global VOTW</w:t>
      </w:r>
    </w:p>
    <w:p>
      <w:pPr>
        <w:pStyle w:val="Compact"/>
        <w:numPr>
          <w:ilvl w:val="0"/>
          <w:numId w:val="1007"/>
        </w:numPr>
      </w:pPr>
      <w:r>
        <w:t xml:space="preserve">Publishes two to four research papers per month on timely, actionable topics.</w:t>
      </w:r>
    </w:p>
    <w:p>
      <w:pPr>
        <w:pStyle w:val="Compact"/>
        <w:numPr>
          <w:ilvl w:val="0"/>
          <w:numId w:val="1007"/>
        </w:numPr>
      </w:pPr>
      <w:r>
        <w:t xml:space="preserve">Biannual</w:t>
      </w:r>
      <w:r>
        <w:t xml:space="preserve"> </w:t>
      </w:r>
      <w:r>
        <w:t xml:space="preserve">“View of the World”</w:t>
      </w:r>
      <w:r>
        <w:t xml:space="preserve"> </w:t>
      </w:r>
      <w:r>
        <w:t xml:space="preserve">synthesizes global market views by region and sector.</w:t>
      </w:r>
    </w:p>
    <w:p>
      <w:pPr>
        <w:pStyle w:val="Compact"/>
        <w:numPr>
          <w:ilvl w:val="0"/>
          <w:numId w:val="1007"/>
        </w:numPr>
      </w:pPr>
      <w:r>
        <w:t xml:space="preserve">Leverages Townsend’s data, forecasting models, and consulting insights.</w:t>
      </w:r>
    </w:p>
    <w:p>
      <w:pPr>
        <w:pStyle w:val="Compact"/>
        <w:numPr>
          <w:ilvl w:val="0"/>
          <w:numId w:val="1007"/>
        </w:numPr>
      </w:pPr>
      <w:r>
        <w:t xml:space="preserve">Can be distributed as a standalone subscription or bundled with other product offerings.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fund-deal-pipeline-engine"/>
    <w:p>
      <w:pPr>
        <w:pStyle w:val="Heading3"/>
      </w:pPr>
      <w:r>
        <w:t xml:space="preserve">Slide 10: Fund &amp; Deal Pipeline Engine</w:t>
      </w:r>
    </w:p>
    <w:p>
      <w:pPr>
        <w:pStyle w:val="Compact"/>
        <w:numPr>
          <w:ilvl w:val="0"/>
          <w:numId w:val="1008"/>
        </w:numPr>
      </w:pPr>
      <w:r>
        <w:t xml:space="preserve">Uses Townsend’s proprietary fund and deal pipeline.</w:t>
      </w:r>
    </w:p>
    <w:p>
      <w:pPr>
        <w:pStyle w:val="Compact"/>
        <w:numPr>
          <w:ilvl w:val="0"/>
          <w:numId w:val="1008"/>
        </w:numPr>
      </w:pPr>
      <w:r>
        <w:t xml:space="preserve">LPs share current portfolios and mandates.</w:t>
      </w:r>
    </w:p>
    <w:p>
      <w:pPr>
        <w:pStyle w:val="Compact"/>
        <w:numPr>
          <w:ilvl w:val="0"/>
          <w:numId w:val="1008"/>
        </w:numPr>
      </w:pPr>
      <w:r>
        <w:t xml:space="preserve">AI analyzes exposures and identifies gaps or areas for rebalancing.</w:t>
      </w:r>
    </w:p>
    <w:p>
      <w:pPr>
        <w:pStyle w:val="Compact"/>
        <w:numPr>
          <w:ilvl w:val="0"/>
          <w:numId w:val="1008"/>
        </w:numPr>
      </w:pPr>
      <w:r>
        <w:t xml:space="preserve">Suggests specific upcoming funds, co-investments, or secondaries to buy or sell into.</w:t>
      </w:r>
    </w:p>
    <w:p>
      <w:r>
        <w:pict>
          <v:rect style="width:0;height:1.5pt" o:hralign="center" o:hrstd="t" o:hr="t"/>
        </w:pict>
      </w:r>
    </w:p>
    <w:bookmarkEnd w:id="29"/>
    <w:bookmarkStart w:id="30" w:name="slide-11-gp-advisory"/>
    <w:p>
      <w:pPr>
        <w:pStyle w:val="Heading3"/>
      </w:pPr>
      <w:r>
        <w:t xml:space="preserve">Slide 11: GP Advisory</w:t>
      </w:r>
    </w:p>
    <w:p>
      <w:pPr>
        <w:pStyle w:val="Compact"/>
        <w:numPr>
          <w:ilvl w:val="0"/>
          <w:numId w:val="1009"/>
        </w:numPr>
      </w:pPr>
      <w:r>
        <w:t xml:space="preserve">Offered via a third-party or JV structure to avoid conflict with Townsend’s LP advisory business.</w:t>
      </w:r>
    </w:p>
    <w:p>
      <w:pPr>
        <w:pStyle w:val="Compact"/>
        <w:numPr>
          <w:ilvl w:val="0"/>
          <w:numId w:val="1009"/>
        </w:numPr>
      </w:pPr>
      <w:r>
        <w:t xml:space="preserve">Supports GPs in fund structuring, pricing, positioning, and benchmarking.</w:t>
      </w:r>
    </w:p>
    <w:p>
      <w:pPr>
        <w:pStyle w:val="Compact"/>
        <w:numPr>
          <w:ilvl w:val="0"/>
          <w:numId w:val="1009"/>
        </w:numPr>
      </w:pPr>
      <w:r>
        <w:t xml:space="preserve">Built on Townsend’s data and forecasting advantage.</w:t>
      </w:r>
    </w:p>
    <w:p>
      <w:r>
        <w:pict>
          <v:rect style="width:0;height:1.5pt" o:hralign="center" o:hrstd="t" o:hr="t"/>
        </w:pict>
      </w:r>
    </w:p>
    <w:bookmarkEnd w:id="30"/>
    <w:bookmarkStart w:id="31" w:name="slide-12-ai-enabled-capital-advisory"/>
    <w:p>
      <w:pPr>
        <w:pStyle w:val="Heading3"/>
      </w:pPr>
      <w:r>
        <w:t xml:space="preserve">Slide 12: AI-Enabled Capital Advisory</w:t>
      </w:r>
    </w:p>
    <w:p>
      <w:pPr>
        <w:pStyle w:val="Compact"/>
        <w:numPr>
          <w:ilvl w:val="0"/>
          <w:numId w:val="1010"/>
        </w:numPr>
      </w:pPr>
      <w:r>
        <w:t xml:space="preserve">Combines AI-driven fund underwriting with matchmaking to capital sources.</w:t>
      </w:r>
    </w:p>
    <w:p>
      <w:pPr>
        <w:pStyle w:val="Compact"/>
        <w:numPr>
          <w:ilvl w:val="0"/>
          <w:numId w:val="1010"/>
        </w:numPr>
      </w:pPr>
      <w:r>
        <w:t xml:space="preserve">Supports traditional fundraising and GP/operator M&amp;A activity.</w:t>
      </w:r>
    </w:p>
    <w:p>
      <w:pPr>
        <w:pStyle w:val="Compact"/>
        <w:numPr>
          <w:ilvl w:val="0"/>
          <w:numId w:val="1010"/>
        </w:numPr>
      </w:pPr>
      <w:r>
        <w:t xml:space="preserve">Investors receive AI-processed underwriting memos to accelerate decision-making.</w:t>
      </w:r>
    </w:p>
    <w:p>
      <w:r>
        <w:pict>
          <v:rect style="width:0;height:1.5pt" o:hralign="center" o:hrstd="t" o:hr="t"/>
        </w:pict>
      </w:r>
    </w:p>
    <w:bookmarkEnd w:id="31"/>
    <w:bookmarkStart w:id="32" w:name="slide-13-secondary-marketplace"/>
    <w:p>
      <w:pPr>
        <w:pStyle w:val="Heading3"/>
      </w:pPr>
      <w:r>
        <w:t xml:space="preserve">Slide 13: Secondary Marketplace</w:t>
      </w:r>
    </w:p>
    <w:p>
      <w:pPr>
        <w:pStyle w:val="Compact"/>
        <w:numPr>
          <w:ilvl w:val="0"/>
          <w:numId w:val="1011"/>
        </w:numPr>
      </w:pPr>
      <w:r>
        <w:t xml:space="preserve">A digital exchange for secondary transactions.</w:t>
      </w:r>
    </w:p>
    <w:p>
      <w:pPr>
        <w:pStyle w:val="Compact"/>
        <w:numPr>
          <w:ilvl w:val="0"/>
          <w:numId w:val="1011"/>
        </w:numPr>
      </w:pPr>
      <w:r>
        <w:t xml:space="preserve">Investors list positions; TownsendAI guides valuation and fit.</w:t>
      </w:r>
    </w:p>
    <w:p>
      <w:pPr>
        <w:pStyle w:val="Compact"/>
        <w:numPr>
          <w:ilvl w:val="0"/>
          <w:numId w:val="1011"/>
        </w:numPr>
      </w:pPr>
      <w:r>
        <w:t xml:space="preserve">AI recommends buys/sells based on portfolio needs and market opportunities.</w:t>
      </w:r>
    </w:p>
    <w:p>
      <w:pPr>
        <w:pStyle w:val="Compact"/>
        <w:numPr>
          <w:ilvl w:val="0"/>
          <w:numId w:val="1011"/>
        </w:numPr>
      </w:pPr>
      <w:r>
        <w:t xml:space="preserve">GPs can also list open fund raises or recapitalization options.</w:t>
      </w:r>
    </w:p>
    <w:p>
      <w:r>
        <w:pict>
          <v:rect style="width:0;height:1.5pt" o:hralign="center" o:hrstd="t" o:hr="t"/>
        </w:pict>
      </w:r>
    </w:p>
    <w:bookmarkEnd w:id="32"/>
    <w:bookmarkStart w:id="33" w:name="Xdd6509cbefb1fe712c1681b520d8bb4706634f8"/>
    <w:p>
      <w:pPr>
        <w:pStyle w:val="Heading3"/>
      </w:pPr>
      <w:r>
        <w:t xml:space="preserve">Slide 14: Technology and Product Team Model</w:t>
      </w:r>
    </w:p>
    <w:p>
      <w:pPr>
        <w:pStyle w:val="Compact"/>
        <w:numPr>
          <w:ilvl w:val="0"/>
          <w:numId w:val="1012"/>
        </w:numPr>
      </w:pPr>
      <w:r>
        <w:t xml:space="preserve">CTO: Leads architecture, oversees AI and data pipelines.</w:t>
      </w:r>
    </w:p>
    <w:p>
      <w:pPr>
        <w:pStyle w:val="Compact"/>
        <w:numPr>
          <w:ilvl w:val="0"/>
          <w:numId w:val="1012"/>
        </w:numPr>
      </w:pPr>
      <w:r>
        <w:t xml:space="preserve">CEO: Drives commercial adoption, growth, and team vision.</w:t>
      </w:r>
    </w:p>
    <w:p>
      <w:pPr>
        <w:pStyle w:val="Compact"/>
        <w:numPr>
          <w:ilvl w:val="0"/>
          <w:numId w:val="1012"/>
        </w:numPr>
      </w:pPr>
      <w:r>
        <w:t xml:space="preserve">Head of Product: Designs intuitive, segment-specific tools.</w:t>
      </w:r>
    </w:p>
    <w:p>
      <w:pPr>
        <w:pStyle w:val="Compact"/>
        <w:numPr>
          <w:ilvl w:val="0"/>
          <w:numId w:val="1012"/>
        </w:numPr>
      </w:pPr>
      <w:r>
        <w:t xml:space="preserve">Data Engineer: Builds integrations for benchmarks, DDQs, forecasts.</w:t>
      </w:r>
    </w:p>
    <w:p>
      <w:pPr>
        <w:pStyle w:val="Compact"/>
        <w:numPr>
          <w:ilvl w:val="0"/>
          <w:numId w:val="1012"/>
        </w:numPr>
      </w:pPr>
      <w:r>
        <w:t xml:space="preserve">AI Engineer: Develops memo generator and optimizer.</w:t>
      </w:r>
    </w:p>
    <w:p>
      <w:pPr>
        <w:pStyle w:val="Compact"/>
        <w:numPr>
          <w:ilvl w:val="0"/>
          <w:numId w:val="1012"/>
        </w:numPr>
      </w:pPr>
      <w:r>
        <w:t xml:space="preserve">3–5 key individuals to be hired within the first year.</w:t>
      </w:r>
    </w:p>
    <w:p>
      <w:r>
        <w:pict>
          <v:rect style="width:0;height:1.5pt" o:hralign="center" o:hrstd="t" o:hr="t"/>
        </w:pict>
      </w:r>
    </w:p>
    <w:bookmarkEnd w:id="33"/>
    <w:bookmarkStart w:id="34" w:name="slide-15-board-call-to-action"/>
    <w:p>
      <w:pPr>
        <w:pStyle w:val="Heading3"/>
      </w:pPr>
      <w:r>
        <w:t xml:space="preserve">Slide 15: Board Call to Action</w:t>
      </w:r>
    </w:p>
    <w:p>
      <w:pPr>
        <w:pStyle w:val="Compact"/>
        <w:numPr>
          <w:ilvl w:val="0"/>
          <w:numId w:val="1013"/>
        </w:numPr>
      </w:pPr>
      <w:r>
        <w:t xml:space="preserve">Approve the legal formation of TownsendAI.</w:t>
      </w:r>
    </w:p>
    <w:p>
      <w:pPr>
        <w:pStyle w:val="Compact"/>
        <w:numPr>
          <w:ilvl w:val="0"/>
          <w:numId w:val="1013"/>
        </w:numPr>
      </w:pPr>
      <w:r>
        <w:t xml:space="preserve">License Townsend brand, data, and IP to the new entity.</w:t>
      </w:r>
    </w:p>
    <w:p>
      <w:pPr>
        <w:pStyle w:val="Compact"/>
        <w:numPr>
          <w:ilvl w:val="0"/>
          <w:numId w:val="1013"/>
        </w:numPr>
      </w:pPr>
      <w:r>
        <w:t xml:space="preserve">Allocate 33% equity to future key hires.</w:t>
      </w:r>
    </w:p>
    <w:p>
      <w:pPr>
        <w:pStyle w:val="Compact"/>
        <w:numPr>
          <w:ilvl w:val="0"/>
          <w:numId w:val="1013"/>
        </w:numPr>
      </w:pPr>
      <w:r>
        <w:t xml:space="preserve">Endorse near-term outsourcing to accelerate MVP delivery.</w:t>
      </w:r>
    </w:p>
    <w:p>
      <w:pPr>
        <w:pStyle w:val="Compact"/>
        <w:numPr>
          <w:ilvl w:val="0"/>
          <w:numId w:val="1013"/>
        </w:numPr>
      </w:pPr>
      <w:r>
        <w:t xml:space="preserve">Launch with a focus on benchmarking and AI underwriting.</w:t>
      </w:r>
    </w:p>
    <w:p>
      <w:r>
        <w:pict>
          <v:rect style="width:0;height:1.5pt" o:hralign="center" o:hrstd="t" o:hr="t"/>
        </w:pict>
      </w:r>
    </w:p>
    <w:bookmarkEnd w:id="34"/>
    <w:bookmarkStart w:id="35" w:name="slide-16-implementation-roadmap"/>
    <w:p>
      <w:pPr>
        <w:pStyle w:val="Heading3"/>
      </w:pPr>
      <w:r>
        <w:t xml:space="preserve">Slide 16: Implementation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1"/>
        <w:gridCol w:w="979"/>
        <w:gridCol w:w="6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Key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0–3 months</w:t>
            </w:r>
          </w:p>
        </w:tc>
        <w:tc>
          <w:tcPr/>
          <w:p>
            <w:pPr>
              <w:pStyle w:val="Compact"/>
            </w:pPr>
            <w:r>
              <w:t xml:space="preserve">Infrastructure build, MVP spec finalization, benchmarking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3–6 months</w:t>
            </w:r>
          </w:p>
        </w:tc>
        <w:tc>
          <w:tcPr/>
          <w:p>
            <w:pPr>
              <w:pStyle w:val="Compact"/>
            </w:pPr>
            <w:r>
              <w:t xml:space="preserve">Underwriting engine, forecasting module, and first client-ready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  <w:tc>
          <w:tcPr/>
          <w:p>
            <w:pPr>
              <w:pStyle w:val="Compact"/>
            </w:pPr>
            <w:r>
              <w:t xml:space="preserve">AI Capital Advisory, secondary exchange, and portfolio optimization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2b97b21ab608d8061859de38259160ee07a6b56"/>
    <w:p>
      <w:pPr>
        <w:pStyle w:val="Heading3"/>
      </w:pPr>
      <w:r>
        <w:t xml:space="preserve">Slide 17: Team Members Supporting Key Initiatives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Assigned Team Members &amp;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Benchmarking</w:t>
            </w:r>
          </w:p>
        </w:tc>
        <w:tc>
          <w:tcPr/>
          <w:p>
            <w:pPr>
              <w:pStyle w:val="Compact"/>
            </w:pPr>
            <w:r>
              <w:t xml:space="preserve">Jay &amp; Prashant – Set data policies</w:t>
            </w:r>
            <w:r>
              <w:t xml:space="preserve">Martin &amp; Prashant – Methodology</w:t>
            </w:r>
            <w:r>
              <w:t xml:space="preserve">Federico – U.S. benchmarks</w:t>
            </w:r>
            <w:r>
              <w:t xml:space="preserve">Mike – Infra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 Underwriting &amp; Ratings</w:t>
            </w:r>
          </w:p>
        </w:tc>
        <w:tc>
          <w:tcPr/>
          <w:p>
            <w:pPr>
              <w:pStyle w:val="Compact"/>
            </w:pPr>
            <w:r>
              <w:t xml:space="preserve">Jay &amp; Prashant – Set procedures</w:t>
            </w:r>
            <w:r>
              <w:t xml:space="preserve">Prashant – AI/DDQ integration, scoring, memo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Forecasting Engine</w:t>
            </w:r>
          </w:p>
        </w:tc>
        <w:tc>
          <w:tcPr/>
          <w:p>
            <w:pPr>
              <w:pStyle w:val="Compact"/>
            </w:pPr>
            <w:r>
              <w:t xml:space="preserve">Prashant &amp; Martin – Framework</w:t>
            </w:r>
            <w:r>
              <w:t xml:space="preserve">Prashant, Teddy, Dan, George, Gordon – Forecasts</w:t>
            </w:r>
            <w:r>
              <w:t xml:space="preserve">Prashant – Macro, optimizer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&amp; Global VOTW</w:t>
            </w:r>
          </w:p>
        </w:tc>
        <w:tc>
          <w:tcPr/>
          <w:p>
            <w:pPr>
              <w:pStyle w:val="Compact"/>
            </w:pPr>
            <w:r>
              <w:t xml:space="preserve">Prashant, Dan, Teddy – Sector updates</w:t>
            </w:r>
            <w:r>
              <w:t xml:space="preserve">Martin &amp; Prashant – Bi-monthly papers</w:t>
            </w:r>
            <w:r>
              <w:t xml:space="preserve">Asieh – Quarterly macro outlook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 &amp; Deal Pipeline</w:t>
            </w:r>
          </w:p>
        </w:tc>
        <w:tc>
          <w:tcPr/>
          <w:p>
            <w:pPr>
              <w:pStyle w:val="Compact"/>
            </w:pPr>
            <w:r>
              <w:t xml:space="preserve">Chris – US funds</w:t>
            </w:r>
            <w:r>
              <w:t xml:space="preserve">Jose – Core secondaries</w:t>
            </w:r>
            <w:r>
              <w:t xml:space="preserve">Scott – Deal pipeline</w:t>
            </w:r>
            <w:r>
              <w:t xml:space="preserve">George – Europe</w:t>
            </w:r>
            <w:r>
              <w:t xml:space="preserve">Gordon – Asia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 Advisory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Advisory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Marketplace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lide-18-team-assignments-by-individual"/>
    <w:p>
      <w:pPr>
        <w:pStyle w:val="Heading3"/>
      </w:pPr>
      <w:r>
        <w:t xml:space="preserve">Slide 18: Team Assignments by Individual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3"/>
        <w:gridCol w:w="72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Supported Initiatives &amp; Specific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Prashant</w:t>
            </w:r>
          </w:p>
        </w:tc>
        <w:tc>
          <w:tcPr/>
          <w:p>
            <w:pPr>
              <w:pStyle w:val="Compact"/>
            </w:pPr>
            <w:r>
              <w:t xml:space="preserve">All initiatives – Strategy, methodology, AI, memo production, forecasting, macro scenarios, optimization,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Jay</w:t>
            </w:r>
          </w:p>
        </w:tc>
        <w:tc>
          <w:tcPr/>
          <w:p>
            <w:pPr>
              <w:pStyle w:val="Compact"/>
            </w:pPr>
            <w:r>
              <w:t xml:space="preserve">Benchmarking &amp; Underwriting – Policy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</w:t>
            </w:r>
          </w:p>
        </w:tc>
        <w:tc>
          <w:tcPr/>
          <w:p>
            <w:pPr>
              <w:pStyle w:val="Compact"/>
            </w:pPr>
            <w:r>
              <w:t xml:space="preserve">Benchmarking &amp; Forecasting – Methodology, research co-author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Federico</w:t>
            </w:r>
          </w:p>
        </w:tc>
        <w:tc>
          <w:tcPr/>
          <w:p>
            <w:pPr>
              <w:pStyle w:val="Compact"/>
            </w:pPr>
            <w:r>
              <w:t xml:space="preserve">Benchmarking – U.S.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Mike</w:t>
            </w:r>
          </w:p>
        </w:tc>
        <w:tc>
          <w:tcPr/>
          <w:p>
            <w:pPr>
              <w:pStyle w:val="Compact"/>
            </w:pPr>
            <w:r>
              <w:t xml:space="preserve">Benchmarking – Infrastructure benchmark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</w:t>
            </w:r>
          </w:p>
        </w:tc>
        <w:tc>
          <w:tcPr/>
          <w:p>
            <w:pPr>
              <w:pStyle w:val="Compact"/>
            </w:pPr>
            <w:r>
              <w:t xml:space="preserve">Forecasting – Sector forecasts</w:t>
            </w:r>
            <w:r>
              <w:t xml:space="preserve">Research – VOTW contributor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Teddy</w:t>
            </w:r>
          </w:p>
        </w:tc>
        <w:tc>
          <w:tcPr/>
          <w:p>
            <w:pPr>
              <w:pStyle w:val="Compact"/>
            </w:pPr>
            <w:r>
              <w:t xml:space="preserve">Forecasting – Sector forecasts</w:t>
            </w:r>
            <w:r>
              <w:t xml:space="preserve">Research – VOTW contributor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George</w:t>
            </w:r>
          </w:p>
        </w:tc>
        <w:tc>
          <w:tcPr/>
          <w:p>
            <w:pPr>
              <w:pStyle w:val="Compact"/>
            </w:pPr>
            <w:r>
              <w:t xml:space="preserve">Forecasting – Europe</w:t>
            </w:r>
            <w:r>
              <w:t xml:space="preserve">Pipeline – Europe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Gordon</w:t>
            </w:r>
          </w:p>
        </w:tc>
        <w:tc>
          <w:tcPr/>
          <w:p>
            <w:pPr>
              <w:pStyle w:val="Compact"/>
            </w:pPr>
            <w:r>
              <w:t xml:space="preserve">Forecasting – Asia</w:t>
            </w:r>
            <w:r>
              <w:t xml:space="preserve">Pipeline – Asia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Asieh</w:t>
            </w:r>
          </w:p>
        </w:tc>
        <w:tc>
          <w:tcPr/>
          <w:p>
            <w:pPr>
              <w:pStyle w:val="Compact"/>
            </w:pPr>
            <w:r>
              <w:t xml:space="preserve">Research – Quarterly macro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</w:t>
            </w:r>
          </w:p>
        </w:tc>
        <w:tc>
          <w:tcPr/>
          <w:p>
            <w:pPr>
              <w:pStyle w:val="Compact"/>
            </w:pPr>
            <w:r>
              <w:t xml:space="preserve">Fund &amp; Deal Pipeline – U.S. fund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Fund &amp; Deal Pipeline – Core secondaries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Scott</w:t>
            </w:r>
          </w:p>
        </w:tc>
        <w:tc>
          <w:tcPr/>
          <w:p>
            <w:pPr>
              <w:pStyle w:val="Compact"/>
            </w:pPr>
            <w:r>
              <w:t xml:space="preserve">Fund &amp; Deal Pipeline – Deal sourcing and coordination</w:t>
            </w:r>
          </w:p>
        </w:tc>
      </w:tr>
    </w:tbl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2025-10-30T22:46:18Z</dcterms:created>
  <dcterms:modified xsi:type="dcterms:W3CDTF">2025-10-30T22:46:18Z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