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7215A" w14:textId="77777777" w:rsidR="002464E5" w:rsidRPr="002464E5" w:rsidRDefault="002464E5" w:rsidP="002464E5">
      <w:pPr>
        <w:rPr>
          <w:b/>
          <w:bCs/>
        </w:rPr>
      </w:pPr>
      <w:r w:rsidRPr="002464E5">
        <w:rPr>
          <w:b/>
          <w:bCs/>
        </w:rPr>
        <w:t>Townsend Capabilities – Full Summary</w:t>
      </w:r>
    </w:p>
    <w:p w14:paraId="2EE7447A" w14:textId="77777777" w:rsidR="002464E5" w:rsidRPr="002464E5" w:rsidRDefault="00000000" w:rsidP="002464E5">
      <w:r>
        <w:pict w14:anchorId="3EF641BC">
          <v:rect id="_x0000_i1025" style="width:0;height:1.5pt" o:hralign="center" o:hrstd="t" o:hr="t" fillcolor="#a0a0a0" stroked="f"/>
        </w:pict>
      </w:r>
    </w:p>
    <w:p w14:paraId="793ABA6F" w14:textId="77777777" w:rsidR="002464E5" w:rsidRPr="002464E5" w:rsidRDefault="002464E5" w:rsidP="002464E5">
      <w:pPr>
        <w:rPr>
          <w:b/>
          <w:bCs/>
        </w:rPr>
      </w:pPr>
      <w:r w:rsidRPr="002464E5">
        <w:rPr>
          <w:b/>
          <w:bCs/>
        </w:rPr>
        <w:t>1. Performance Database</w:t>
      </w:r>
    </w:p>
    <w:p w14:paraId="5D0F246A" w14:textId="77777777" w:rsidR="002464E5" w:rsidRPr="002464E5" w:rsidRDefault="002464E5" w:rsidP="002464E5">
      <w:r w:rsidRPr="002464E5">
        <w:t xml:space="preserve">A deep, structured historical dataset tracking </w:t>
      </w:r>
      <w:r w:rsidRPr="002464E5">
        <w:rPr>
          <w:b/>
          <w:bCs/>
        </w:rPr>
        <w:t>real estate fund performance</w:t>
      </w:r>
      <w:r w:rsidRPr="002464E5">
        <w:t xml:space="preserve"> across property types, geographies, and strategies. This database includes </w:t>
      </w:r>
      <w:r w:rsidRPr="002464E5">
        <w:rPr>
          <w:b/>
          <w:bCs/>
        </w:rPr>
        <w:t>five distinct verticals</w:t>
      </w:r>
      <w:r w:rsidRPr="002464E5">
        <w:t>, each segmented by strategy and region:</w:t>
      </w:r>
    </w:p>
    <w:p w14:paraId="28F4EC86" w14:textId="77777777" w:rsidR="002464E5" w:rsidRPr="002464E5" w:rsidRDefault="002464E5" w:rsidP="002464E5">
      <w:pPr>
        <w:rPr>
          <w:b/>
          <w:bCs/>
          <w:lang w:val="fr-FR"/>
        </w:rPr>
      </w:pPr>
      <w:r w:rsidRPr="002464E5">
        <w:rPr>
          <w:rFonts w:ascii="Segoe UI Emoji" w:hAnsi="Segoe UI Emoji" w:cs="Segoe UI Emoji"/>
          <w:b/>
          <w:bCs/>
        </w:rPr>
        <w:t>🏢</w:t>
      </w:r>
      <w:r w:rsidRPr="002464E5">
        <w:rPr>
          <w:b/>
          <w:bCs/>
          <w:lang w:val="fr-FR"/>
        </w:rPr>
        <w:t xml:space="preserve"> Real Estate (Core &amp; Non-Core)</w:t>
      </w:r>
    </w:p>
    <w:p w14:paraId="57228760" w14:textId="77777777" w:rsidR="002464E5" w:rsidRPr="002464E5" w:rsidRDefault="002464E5" w:rsidP="002464E5">
      <w:pPr>
        <w:numPr>
          <w:ilvl w:val="0"/>
          <w:numId w:val="2"/>
        </w:numPr>
      </w:pPr>
      <w:r w:rsidRPr="002464E5">
        <w:rPr>
          <w:b/>
          <w:bCs/>
        </w:rPr>
        <w:t>Two separate datasets</w:t>
      </w:r>
      <w:r w:rsidRPr="002464E5">
        <w:t>: one for core funds, one for non-core funds.</w:t>
      </w:r>
    </w:p>
    <w:p w14:paraId="62B05EA4" w14:textId="77777777" w:rsidR="002464E5" w:rsidRPr="002464E5" w:rsidRDefault="002464E5" w:rsidP="002464E5">
      <w:pPr>
        <w:numPr>
          <w:ilvl w:val="0"/>
          <w:numId w:val="2"/>
        </w:numPr>
      </w:pPr>
      <w:r w:rsidRPr="002464E5">
        <w:t xml:space="preserve">Available across </w:t>
      </w:r>
      <w:r w:rsidRPr="002464E5">
        <w:rPr>
          <w:b/>
          <w:bCs/>
        </w:rPr>
        <w:t>three regions</w:t>
      </w:r>
      <w:r w:rsidRPr="002464E5">
        <w:t>:</w:t>
      </w:r>
    </w:p>
    <w:p w14:paraId="232BA195" w14:textId="77777777" w:rsidR="002464E5" w:rsidRPr="002464E5" w:rsidRDefault="002464E5" w:rsidP="002464E5">
      <w:pPr>
        <w:numPr>
          <w:ilvl w:val="1"/>
          <w:numId w:val="2"/>
        </w:numPr>
      </w:pPr>
      <w:r w:rsidRPr="002464E5">
        <w:rPr>
          <w:b/>
          <w:bCs/>
        </w:rPr>
        <w:t>North America</w:t>
      </w:r>
    </w:p>
    <w:p w14:paraId="5BE28919" w14:textId="77777777" w:rsidR="002464E5" w:rsidRPr="002464E5" w:rsidRDefault="002464E5" w:rsidP="002464E5">
      <w:pPr>
        <w:numPr>
          <w:ilvl w:val="1"/>
          <w:numId w:val="2"/>
        </w:numPr>
      </w:pPr>
      <w:r w:rsidRPr="002464E5">
        <w:rPr>
          <w:b/>
          <w:bCs/>
        </w:rPr>
        <w:t>Europe</w:t>
      </w:r>
    </w:p>
    <w:p w14:paraId="1CB27839" w14:textId="77777777" w:rsidR="002464E5" w:rsidRPr="002464E5" w:rsidRDefault="002464E5" w:rsidP="002464E5">
      <w:pPr>
        <w:numPr>
          <w:ilvl w:val="1"/>
          <w:numId w:val="2"/>
        </w:numPr>
      </w:pPr>
      <w:r w:rsidRPr="002464E5">
        <w:rPr>
          <w:b/>
          <w:bCs/>
        </w:rPr>
        <w:t>Asia</w:t>
      </w:r>
    </w:p>
    <w:p w14:paraId="05BAEB04" w14:textId="77777777" w:rsidR="002464E5" w:rsidRPr="002464E5" w:rsidRDefault="002464E5" w:rsidP="002464E5">
      <w:pPr>
        <w:numPr>
          <w:ilvl w:val="0"/>
          <w:numId w:val="2"/>
        </w:numPr>
      </w:pPr>
      <w:r w:rsidRPr="002464E5">
        <w:t>Includes performance metrics such as IRRs, equity multiples, gross/net returns, J-curves, cash-on-cash returns, and fee impact over time.</w:t>
      </w:r>
    </w:p>
    <w:p w14:paraId="6ED6B6CA" w14:textId="77777777" w:rsidR="002464E5" w:rsidRPr="002464E5" w:rsidRDefault="002464E5" w:rsidP="002464E5">
      <w:pPr>
        <w:rPr>
          <w:b/>
          <w:bCs/>
        </w:rPr>
      </w:pPr>
      <w:r w:rsidRPr="002464E5">
        <w:rPr>
          <w:rFonts w:ascii="Segoe UI Emoji" w:hAnsi="Segoe UI Emoji" w:cs="Segoe UI Emoji"/>
          <w:b/>
          <w:bCs/>
        </w:rPr>
        <w:t>🏗️</w:t>
      </w:r>
      <w:r w:rsidRPr="002464E5">
        <w:rPr>
          <w:b/>
          <w:bCs/>
        </w:rPr>
        <w:t xml:space="preserve"> Infrastructure Performance</w:t>
      </w:r>
    </w:p>
    <w:p w14:paraId="3E2F6862" w14:textId="77777777" w:rsidR="002464E5" w:rsidRPr="002464E5" w:rsidRDefault="002464E5" w:rsidP="002464E5">
      <w:pPr>
        <w:numPr>
          <w:ilvl w:val="0"/>
          <w:numId w:val="3"/>
        </w:numPr>
      </w:pPr>
      <w:r w:rsidRPr="002464E5">
        <w:t xml:space="preserve">Two datasets: </w:t>
      </w:r>
      <w:r w:rsidRPr="002464E5">
        <w:rPr>
          <w:b/>
          <w:bCs/>
        </w:rPr>
        <w:t>core</w:t>
      </w:r>
      <w:r w:rsidRPr="002464E5">
        <w:t xml:space="preserve"> and </w:t>
      </w:r>
      <w:r w:rsidRPr="002464E5">
        <w:rPr>
          <w:b/>
          <w:bCs/>
        </w:rPr>
        <w:t>non-core infrastructure</w:t>
      </w:r>
      <w:r w:rsidRPr="002464E5">
        <w:t xml:space="preserve"> strategies.</w:t>
      </w:r>
    </w:p>
    <w:p w14:paraId="3BC43AF6" w14:textId="77777777" w:rsidR="002464E5" w:rsidRPr="002464E5" w:rsidRDefault="002464E5" w:rsidP="002464E5">
      <w:pPr>
        <w:numPr>
          <w:ilvl w:val="0"/>
          <w:numId w:val="3"/>
        </w:numPr>
      </w:pPr>
      <w:r w:rsidRPr="002464E5">
        <w:t xml:space="preserve">Includes return and risk metrics at both </w:t>
      </w:r>
      <w:r w:rsidRPr="002464E5">
        <w:rPr>
          <w:b/>
          <w:bCs/>
        </w:rPr>
        <w:t>asset</w:t>
      </w:r>
      <w:r w:rsidRPr="002464E5">
        <w:t xml:space="preserve"> and </w:t>
      </w:r>
      <w:r w:rsidRPr="002464E5">
        <w:rPr>
          <w:b/>
          <w:bCs/>
        </w:rPr>
        <w:t>fund level</w:t>
      </w:r>
      <w:r w:rsidRPr="002464E5">
        <w:t>, aligned to specific infra sectors (transport, digital, energy, utilities, etc.).</w:t>
      </w:r>
    </w:p>
    <w:p w14:paraId="7216D485" w14:textId="77777777" w:rsidR="002464E5" w:rsidRPr="002464E5" w:rsidRDefault="002464E5" w:rsidP="002464E5">
      <w:pPr>
        <w:rPr>
          <w:b/>
          <w:bCs/>
        </w:rPr>
      </w:pPr>
      <w:r w:rsidRPr="002464E5">
        <w:rPr>
          <w:rFonts w:ascii="Segoe UI Emoji" w:hAnsi="Segoe UI Emoji" w:cs="Segoe UI Emoji"/>
          <w:b/>
          <w:bCs/>
        </w:rPr>
        <w:t>🌾</w:t>
      </w:r>
      <w:r w:rsidRPr="002464E5">
        <w:rPr>
          <w:b/>
          <w:bCs/>
        </w:rPr>
        <w:t xml:space="preserve"> Agriculture Performance</w:t>
      </w:r>
    </w:p>
    <w:p w14:paraId="70E3D465" w14:textId="77777777" w:rsidR="002464E5" w:rsidRPr="002464E5" w:rsidRDefault="002464E5" w:rsidP="002464E5">
      <w:pPr>
        <w:numPr>
          <w:ilvl w:val="0"/>
          <w:numId w:val="4"/>
        </w:numPr>
      </w:pPr>
      <w:r w:rsidRPr="002464E5">
        <w:t>Dedicated dataset covering ag funds and strategies.</w:t>
      </w:r>
    </w:p>
    <w:p w14:paraId="6F581E0D" w14:textId="77777777" w:rsidR="002464E5" w:rsidRPr="002464E5" w:rsidRDefault="002464E5" w:rsidP="002464E5">
      <w:pPr>
        <w:numPr>
          <w:ilvl w:val="0"/>
          <w:numId w:val="4"/>
        </w:numPr>
      </w:pPr>
      <w:r w:rsidRPr="002464E5">
        <w:t>Tracks returns, geography, asset types (row crops, permanent crops), volatility, and capital structure.</w:t>
      </w:r>
    </w:p>
    <w:p w14:paraId="2285C033" w14:textId="77777777" w:rsidR="002464E5" w:rsidRPr="002464E5" w:rsidRDefault="002464E5" w:rsidP="002464E5">
      <w:pPr>
        <w:rPr>
          <w:b/>
          <w:bCs/>
        </w:rPr>
      </w:pPr>
      <w:r w:rsidRPr="002464E5">
        <w:rPr>
          <w:rFonts w:ascii="Segoe UI Emoji" w:hAnsi="Segoe UI Emoji" w:cs="Segoe UI Emoji"/>
          <w:b/>
          <w:bCs/>
        </w:rPr>
        <w:t>🌲</w:t>
      </w:r>
      <w:r w:rsidRPr="002464E5">
        <w:rPr>
          <w:b/>
          <w:bCs/>
        </w:rPr>
        <w:t xml:space="preserve"> Timber Fund Performance</w:t>
      </w:r>
    </w:p>
    <w:p w14:paraId="002B3887" w14:textId="77777777" w:rsidR="002464E5" w:rsidRPr="002464E5" w:rsidRDefault="002464E5" w:rsidP="002464E5">
      <w:pPr>
        <w:numPr>
          <w:ilvl w:val="0"/>
          <w:numId w:val="5"/>
        </w:numPr>
      </w:pPr>
      <w:r w:rsidRPr="002464E5">
        <w:t>A standalone database focused on timberland investments.</w:t>
      </w:r>
    </w:p>
    <w:p w14:paraId="152437E9" w14:textId="77777777" w:rsidR="002464E5" w:rsidRPr="002464E5" w:rsidRDefault="002464E5" w:rsidP="002464E5">
      <w:pPr>
        <w:numPr>
          <w:ilvl w:val="0"/>
          <w:numId w:val="5"/>
        </w:numPr>
      </w:pPr>
      <w:r w:rsidRPr="002464E5">
        <w:t>Tracks vintage year performance, geography (U.S. Southeast, Pacific Northwest, LATAM), and risk/return across core and opportunistic strategies.</w:t>
      </w:r>
    </w:p>
    <w:p w14:paraId="2981A736" w14:textId="77777777" w:rsidR="002464E5" w:rsidRPr="002464E5" w:rsidRDefault="002464E5" w:rsidP="002464E5">
      <w:r w:rsidRPr="002464E5">
        <w:t xml:space="preserve">This foundational dataset underpins products like </w:t>
      </w:r>
      <w:r w:rsidRPr="002464E5">
        <w:rPr>
          <w:b/>
          <w:bCs/>
        </w:rPr>
        <w:t>benchmarking</w:t>
      </w:r>
      <w:r w:rsidRPr="002464E5">
        <w:t xml:space="preserve">, </w:t>
      </w:r>
      <w:r w:rsidRPr="002464E5">
        <w:rPr>
          <w:b/>
          <w:bCs/>
        </w:rPr>
        <w:t>forecasting</w:t>
      </w:r>
      <w:r w:rsidRPr="002464E5">
        <w:t xml:space="preserve">, </w:t>
      </w:r>
      <w:r w:rsidRPr="002464E5">
        <w:rPr>
          <w:b/>
          <w:bCs/>
        </w:rPr>
        <w:t>ratings</w:t>
      </w:r>
      <w:r w:rsidRPr="002464E5">
        <w:t xml:space="preserve">, and </w:t>
      </w:r>
      <w:r w:rsidRPr="002464E5">
        <w:rPr>
          <w:b/>
          <w:bCs/>
        </w:rPr>
        <w:t>portfolio optimization</w:t>
      </w:r>
      <w:r w:rsidRPr="002464E5">
        <w:t>.</w:t>
      </w:r>
    </w:p>
    <w:p w14:paraId="6DF881FC" w14:textId="77777777" w:rsidR="002464E5" w:rsidRPr="002464E5" w:rsidRDefault="00000000" w:rsidP="002464E5">
      <w:r>
        <w:lastRenderedPageBreak/>
        <w:pict w14:anchorId="0844B19A">
          <v:rect id="_x0000_i1026" style="width:0;height:1.5pt" o:hralign="center" o:hrstd="t" o:hr="t" fillcolor="#a0a0a0" stroked="f"/>
        </w:pict>
      </w:r>
    </w:p>
    <w:p w14:paraId="719F9BE0" w14:textId="77777777" w:rsidR="002464E5" w:rsidRPr="002464E5" w:rsidRDefault="002464E5" w:rsidP="002464E5">
      <w:pPr>
        <w:rPr>
          <w:b/>
          <w:bCs/>
        </w:rPr>
      </w:pPr>
      <w:r w:rsidRPr="002464E5">
        <w:rPr>
          <w:b/>
          <w:bCs/>
        </w:rPr>
        <w:t>2. TURF – Townsend Underwriting &amp; Rating Framework</w:t>
      </w:r>
    </w:p>
    <w:p w14:paraId="132BDFFB" w14:textId="77777777" w:rsidR="002464E5" w:rsidRPr="002464E5" w:rsidRDefault="002464E5" w:rsidP="002464E5">
      <w:r w:rsidRPr="002464E5">
        <w:t xml:space="preserve">Townsend’s </w:t>
      </w:r>
      <w:r w:rsidRPr="002464E5">
        <w:rPr>
          <w:b/>
          <w:bCs/>
        </w:rPr>
        <w:t>proprietary methodology</w:t>
      </w:r>
      <w:r w:rsidRPr="002464E5">
        <w:t xml:space="preserve"> for evaluating real estate funds and direct investments, built and refined over decades.</w:t>
      </w:r>
    </w:p>
    <w:p w14:paraId="153C608D" w14:textId="77777777" w:rsidR="002464E5" w:rsidRPr="002464E5" w:rsidRDefault="002464E5" w:rsidP="002464E5">
      <w:pPr>
        <w:rPr>
          <w:b/>
          <w:bCs/>
        </w:rPr>
      </w:pPr>
      <w:r w:rsidRPr="002464E5">
        <w:rPr>
          <w:b/>
          <w:bCs/>
        </w:rPr>
        <w:t>Variants of TURF:</w:t>
      </w:r>
    </w:p>
    <w:p w14:paraId="4850B5D2" w14:textId="77777777" w:rsidR="002464E5" w:rsidRPr="002464E5" w:rsidRDefault="002464E5" w:rsidP="002464E5">
      <w:pPr>
        <w:numPr>
          <w:ilvl w:val="0"/>
          <w:numId w:val="6"/>
        </w:numPr>
      </w:pPr>
      <w:r w:rsidRPr="002464E5">
        <w:rPr>
          <w:b/>
          <w:bCs/>
        </w:rPr>
        <w:t>Core Fund Underwriting Process</w:t>
      </w:r>
    </w:p>
    <w:p w14:paraId="5B5C26C2" w14:textId="77777777" w:rsidR="002464E5" w:rsidRPr="002464E5" w:rsidRDefault="002464E5" w:rsidP="002464E5">
      <w:pPr>
        <w:numPr>
          <w:ilvl w:val="1"/>
          <w:numId w:val="6"/>
        </w:numPr>
      </w:pPr>
      <w:r w:rsidRPr="002464E5">
        <w:t>Focused on stabilized income-oriented vehicles with long-duration leases.</w:t>
      </w:r>
    </w:p>
    <w:p w14:paraId="7947C8C6" w14:textId="77777777" w:rsidR="002464E5" w:rsidRPr="002464E5" w:rsidRDefault="002464E5" w:rsidP="002464E5">
      <w:pPr>
        <w:numPr>
          <w:ilvl w:val="1"/>
          <w:numId w:val="6"/>
        </w:numPr>
      </w:pPr>
      <w:r w:rsidRPr="002464E5">
        <w:t>Heavily benchmarked against public/private core indices.</w:t>
      </w:r>
    </w:p>
    <w:p w14:paraId="51EE4E23" w14:textId="77777777" w:rsidR="002464E5" w:rsidRPr="002464E5" w:rsidRDefault="002464E5" w:rsidP="002464E5">
      <w:pPr>
        <w:numPr>
          <w:ilvl w:val="0"/>
          <w:numId w:val="6"/>
        </w:numPr>
      </w:pPr>
      <w:r w:rsidRPr="002464E5">
        <w:rPr>
          <w:b/>
          <w:bCs/>
        </w:rPr>
        <w:t>Non-Core Fund Underwriting Process</w:t>
      </w:r>
    </w:p>
    <w:p w14:paraId="3E387872" w14:textId="77777777" w:rsidR="002464E5" w:rsidRPr="002464E5" w:rsidRDefault="002464E5" w:rsidP="002464E5">
      <w:pPr>
        <w:numPr>
          <w:ilvl w:val="1"/>
          <w:numId w:val="6"/>
        </w:numPr>
      </w:pPr>
      <w:r w:rsidRPr="002464E5">
        <w:t>For value-add and opportunistic funds with heavier asset management and business plan risk.</w:t>
      </w:r>
    </w:p>
    <w:p w14:paraId="17717E31" w14:textId="77777777" w:rsidR="002464E5" w:rsidRPr="002464E5" w:rsidRDefault="002464E5" w:rsidP="002464E5">
      <w:pPr>
        <w:numPr>
          <w:ilvl w:val="1"/>
          <w:numId w:val="6"/>
        </w:numPr>
      </w:pPr>
      <w:r w:rsidRPr="002464E5">
        <w:t>Emphasizes return dispersion, strategy execution risk, team evaluation.</w:t>
      </w:r>
    </w:p>
    <w:p w14:paraId="7802C9EE" w14:textId="77777777" w:rsidR="002464E5" w:rsidRPr="002464E5" w:rsidRDefault="002464E5" w:rsidP="002464E5">
      <w:pPr>
        <w:numPr>
          <w:ilvl w:val="0"/>
          <w:numId w:val="6"/>
        </w:numPr>
      </w:pPr>
      <w:r w:rsidRPr="002464E5">
        <w:rPr>
          <w:b/>
          <w:bCs/>
        </w:rPr>
        <w:t>Direct Deal Underwriting Process</w:t>
      </w:r>
    </w:p>
    <w:p w14:paraId="1E09AF24" w14:textId="77777777" w:rsidR="002464E5" w:rsidRPr="002464E5" w:rsidRDefault="002464E5" w:rsidP="002464E5">
      <w:pPr>
        <w:numPr>
          <w:ilvl w:val="1"/>
          <w:numId w:val="6"/>
        </w:numPr>
      </w:pPr>
      <w:r w:rsidRPr="002464E5">
        <w:t>Custom underwriting templates used for co-investments and direct LP opportunities.</w:t>
      </w:r>
    </w:p>
    <w:p w14:paraId="7490BF55" w14:textId="77777777" w:rsidR="002464E5" w:rsidRPr="002464E5" w:rsidRDefault="002464E5" w:rsidP="002464E5">
      <w:pPr>
        <w:numPr>
          <w:ilvl w:val="1"/>
          <w:numId w:val="6"/>
        </w:numPr>
      </w:pPr>
      <w:r w:rsidRPr="002464E5">
        <w:t>Includes lease-up risk, capex timing, debt structuring, and exit planning.</w:t>
      </w:r>
    </w:p>
    <w:p w14:paraId="7009161D" w14:textId="77777777" w:rsidR="002464E5" w:rsidRPr="002464E5" w:rsidRDefault="002464E5" w:rsidP="002464E5">
      <w:r w:rsidRPr="002464E5">
        <w:t>TURF is central to AI-enabled memo generation, ratings, and diligence automation.</w:t>
      </w:r>
    </w:p>
    <w:p w14:paraId="27A248A7" w14:textId="77777777" w:rsidR="002464E5" w:rsidRPr="002464E5" w:rsidRDefault="00000000" w:rsidP="002464E5">
      <w:r>
        <w:pict w14:anchorId="4E5E0E6D">
          <v:rect id="_x0000_i1027" style="width:0;height:1.5pt" o:hralign="center" o:hrstd="t" o:hr="t" fillcolor="#a0a0a0" stroked="f"/>
        </w:pict>
      </w:r>
    </w:p>
    <w:p w14:paraId="17C9FAB9" w14:textId="77777777" w:rsidR="002464E5" w:rsidRPr="002464E5" w:rsidRDefault="002464E5" w:rsidP="002464E5">
      <w:pPr>
        <w:rPr>
          <w:b/>
          <w:bCs/>
        </w:rPr>
      </w:pPr>
      <w:r w:rsidRPr="002464E5">
        <w:rPr>
          <w:b/>
          <w:bCs/>
        </w:rPr>
        <w:t>3. MCAF – Manager Capability Assessment Framework</w:t>
      </w:r>
    </w:p>
    <w:p w14:paraId="3AA44CB2" w14:textId="77777777" w:rsidR="002464E5" w:rsidRPr="002464E5" w:rsidRDefault="002464E5" w:rsidP="002464E5">
      <w:r w:rsidRPr="002464E5">
        <w:t xml:space="preserve">Townsend’s internal, proprietary </w:t>
      </w:r>
      <w:r w:rsidRPr="002464E5">
        <w:rPr>
          <w:b/>
          <w:bCs/>
        </w:rPr>
        <w:t>structured database</w:t>
      </w:r>
      <w:r w:rsidRPr="002464E5">
        <w:t xml:space="preserve"> tracking the </w:t>
      </w:r>
      <w:r w:rsidRPr="002464E5">
        <w:rPr>
          <w:b/>
          <w:bCs/>
        </w:rPr>
        <w:t>capabilities of real estate, infrastructure, ag, and timber managers</w:t>
      </w:r>
      <w:r w:rsidRPr="002464E5">
        <w:t xml:space="preserve"> globally.</w:t>
      </w:r>
    </w:p>
    <w:p w14:paraId="4C1F1910" w14:textId="77777777" w:rsidR="002464E5" w:rsidRPr="002464E5" w:rsidRDefault="002464E5" w:rsidP="002464E5">
      <w:pPr>
        <w:rPr>
          <w:b/>
          <w:bCs/>
        </w:rPr>
      </w:pPr>
      <w:r w:rsidRPr="002464E5">
        <w:rPr>
          <w:b/>
          <w:bCs/>
        </w:rPr>
        <w:t>Attributes Captured:</w:t>
      </w:r>
    </w:p>
    <w:p w14:paraId="601150D4" w14:textId="77777777" w:rsidR="002464E5" w:rsidRPr="002464E5" w:rsidRDefault="002464E5" w:rsidP="002464E5">
      <w:pPr>
        <w:numPr>
          <w:ilvl w:val="0"/>
          <w:numId w:val="7"/>
        </w:numPr>
      </w:pPr>
      <w:r w:rsidRPr="002464E5">
        <w:rPr>
          <w:b/>
          <w:bCs/>
        </w:rPr>
        <w:t>Platform AUM</w:t>
      </w:r>
      <w:r w:rsidRPr="002464E5">
        <w:t xml:space="preserve"> by strategy and region</w:t>
      </w:r>
    </w:p>
    <w:p w14:paraId="1356C2F0" w14:textId="77777777" w:rsidR="002464E5" w:rsidRPr="002464E5" w:rsidRDefault="002464E5" w:rsidP="002464E5">
      <w:pPr>
        <w:numPr>
          <w:ilvl w:val="0"/>
          <w:numId w:val="7"/>
        </w:numPr>
      </w:pPr>
      <w:r w:rsidRPr="002464E5">
        <w:rPr>
          <w:b/>
          <w:bCs/>
        </w:rPr>
        <w:t>Team size</w:t>
      </w:r>
      <w:r w:rsidRPr="002464E5">
        <w:t>, structure, tenure, and turnover</w:t>
      </w:r>
    </w:p>
    <w:p w14:paraId="02813693" w14:textId="77777777" w:rsidR="002464E5" w:rsidRPr="002464E5" w:rsidRDefault="002464E5" w:rsidP="002464E5">
      <w:pPr>
        <w:numPr>
          <w:ilvl w:val="0"/>
          <w:numId w:val="7"/>
        </w:numPr>
      </w:pPr>
      <w:r w:rsidRPr="002464E5">
        <w:rPr>
          <w:b/>
          <w:bCs/>
        </w:rPr>
        <w:t>Sector and regional focus areas</w:t>
      </w:r>
    </w:p>
    <w:p w14:paraId="32176086" w14:textId="77777777" w:rsidR="002464E5" w:rsidRPr="002464E5" w:rsidRDefault="002464E5" w:rsidP="002464E5">
      <w:pPr>
        <w:numPr>
          <w:ilvl w:val="0"/>
          <w:numId w:val="7"/>
        </w:numPr>
      </w:pPr>
      <w:r w:rsidRPr="002464E5">
        <w:rPr>
          <w:b/>
          <w:bCs/>
        </w:rPr>
        <w:t>Acquisition, asset management, and property management capabilities</w:t>
      </w:r>
    </w:p>
    <w:p w14:paraId="45DEB439" w14:textId="77777777" w:rsidR="002464E5" w:rsidRPr="002464E5" w:rsidRDefault="002464E5" w:rsidP="002464E5">
      <w:pPr>
        <w:numPr>
          <w:ilvl w:val="0"/>
          <w:numId w:val="7"/>
        </w:numPr>
      </w:pPr>
      <w:r w:rsidRPr="002464E5">
        <w:rPr>
          <w:b/>
          <w:bCs/>
        </w:rPr>
        <w:t>Track record by fund vintage, net/gross returns, volatility</w:t>
      </w:r>
    </w:p>
    <w:p w14:paraId="0BB4BA63" w14:textId="77777777" w:rsidR="002464E5" w:rsidRPr="002464E5" w:rsidRDefault="002464E5" w:rsidP="002464E5">
      <w:pPr>
        <w:numPr>
          <w:ilvl w:val="0"/>
          <w:numId w:val="7"/>
        </w:numPr>
      </w:pPr>
      <w:r w:rsidRPr="002464E5">
        <w:rPr>
          <w:b/>
          <w:bCs/>
        </w:rPr>
        <w:lastRenderedPageBreak/>
        <w:t>Fee and promote structures</w:t>
      </w:r>
    </w:p>
    <w:p w14:paraId="2F5F2CFA" w14:textId="77777777" w:rsidR="002464E5" w:rsidRPr="002464E5" w:rsidRDefault="002464E5" w:rsidP="002464E5">
      <w:pPr>
        <w:numPr>
          <w:ilvl w:val="0"/>
          <w:numId w:val="7"/>
        </w:numPr>
      </w:pPr>
      <w:r w:rsidRPr="002464E5">
        <w:rPr>
          <w:b/>
          <w:bCs/>
        </w:rPr>
        <w:t>Client types (public vs. private), capital raised, investor dispersion</w:t>
      </w:r>
    </w:p>
    <w:p w14:paraId="714D3175" w14:textId="77777777" w:rsidR="002464E5" w:rsidRPr="002464E5" w:rsidRDefault="002464E5" w:rsidP="002464E5">
      <w:pPr>
        <w:numPr>
          <w:ilvl w:val="0"/>
          <w:numId w:val="7"/>
        </w:numPr>
      </w:pPr>
      <w:r w:rsidRPr="002464E5">
        <w:rPr>
          <w:b/>
          <w:bCs/>
        </w:rPr>
        <w:t>Current fundraising activities</w:t>
      </w:r>
      <w:r w:rsidRPr="002464E5">
        <w:t xml:space="preserve"> and performance benchmarking</w:t>
      </w:r>
    </w:p>
    <w:p w14:paraId="396F5003" w14:textId="77777777" w:rsidR="002464E5" w:rsidRPr="002464E5" w:rsidRDefault="002464E5" w:rsidP="002464E5">
      <w:r w:rsidRPr="002464E5">
        <w:t xml:space="preserve">MCAF is a critical intelligence engine for </w:t>
      </w:r>
      <w:r w:rsidRPr="002464E5">
        <w:rPr>
          <w:b/>
          <w:bCs/>
        </w:rPr>
        <w:t>fund screening, scoring, and platform ratings</w:t>
      </w:r>
      <w:r w:rsidRPr="002464E5">
        <w:t xml:space="preserve"> within TownsendAI.</w:t>
      </w:r>
    </w:p>
    <w:p w14:paraId="7E5D5C53" w14:textId="77777777" w:rsidR="002464E5" w:rsidRPr="002464E5" w:rsidRDefault="00000000" w:rsidP="002464E5">
      <w:r>
        <w:pict w14:anchorId="095C4F42">
          <v:rect id="_x0000_i1028" style="width:0;height:1.5pt" o:hralign="center" o:hrstd="t" o:hr="t" fillcolor="#a0a0a0" stroked="f"/>
        </w:pict>
      </w:r>
    </w:p>
    <w:p w14:paraId="5EABE92A" w14:textId="77777777" w:rsidR="002464E5" w:rsidRPr="002464E5" w:rsidRDefault="002464E5" w:rsidP="002464E5">
      <w:pPr>
        <w:rPr>
          <w:b/>
          <w:bCs/>
        </w:rPr>
      </w:pPr>
      <w:r w:rsidRPr="002464E5">
        <w:rPr>
          <w:b/>
          <w:bCs/>
        </w:rPr>
        <w:t>4. VOTW – View of the World Forecasting Engine</w:t>
      </w:r>
    </w:p>
    <w:p w14:paraId="041CEAC5" w14:textId="77777777" w:rsidR="002464E5" w:rsidRPr="002464E5" w:rsidRDefault="002464E5" w:rsidP="002464E5">
      <w:r w:rsidRPr="002464E5">
        <w:t xml:space="preserve">A sophisticated forecasting system that combines </w:t>
      </w:r>
      <w:r w:rsidRPr="002464E5">
        <w:rPr>
          <w:b/>
          <w:bCs/>
        </w:rPr>
        <w:t>macroeconomic outlooks</w:t>
      </w:r>
      <w:r w:rsidRPr="002464E5">
        <w:t xml:space="preserve"> with </w:t>
      </w:r>
      <w:r w:rsidRPr="002464E5">
        <w:rPr>
          <w:b/>
          <w:bCs/>
        </w:rPr>
        <w:t>sector-specific real estate forecasts</w:t>
      </w:r>
      <w:r w:rsidRPr="002464E5">
        <w:t xml:space="preserve"> across regions and strategies.</w:t>
      </w:r>
    </w:p>
    <w:p w14:paraId="64673A5E" w14:textId="77777777" w:rsidR="002464E5" w:rsidRPr="002464E5" w:rsidRDefault="002464E5" w:rsidP="002464E5">
      <w:pPr>
        <w:rPr>
          <w:b/>
          <w:bCs/>
        </w:rPr>
      </w:pPr>
      <w:r w:rsidRPr="002464E5">
        <w:rPr>
          <w:b/>
          <w:bCs/>
        </w:rPr>
        <w:t>Components:</w:t>
      </w:r>
    </w:p>
    <w:p w14:paraId="673707D4" w14:textId="77777777" w:rsidR="002464E5" w:rsidRPr="002464E5" w:rsidRDefault="002464E5" w:rsidP="002464E5">
      <w:r w:rsidRPr="002464E5">
        <w:rPr>
          <w:b/>
          <w:bCs/>
        </w:rPr>
        <w:t>A. Macro Forecasts</w:t>
      </w:r>
    </w:p>
    <w:p w14:paraId="45344E7F" w14:textId="77777777" w:rsidR="002464E5" w:rsidRPr="002464E5" w:rsidRDefault="002464E5" w:rsidP="002464E5">
      <w:pPr>
        <w:numPr>
          <w:ilvl w:val="0"/>
          <w:numId w:val="8"/>
        </w:numPr>
      </w:pPr>
      <w:r w:rsidRPr="002464E5">
        <w:t>6-year outlooks for:</w:t>
      </w:r>
    </w:p>
    <w:p w14:paraId="02B428FF" w14:textId="77777777" w:rsidR="002464E5" w:rsidRPr="002464E5" w:rsidRDefault="002464E5" w:rsidP="002464E5">
      <w:pPr>
        <w:numPr>
          <w:ilvl w:val="1"/>
          <w:numId w:val="8"/>
        </w:numPr>
      </w:pPr>
      <w:r w:rsidRPr="002464E5">
        <w:t>GDP growth</w:t>
      </w:r>
    </w:p>
    <w:p w14:paraId="54955D5B" w14:textId="77777777" w:rsidR="002464E5" w:rsidRPr="002464E5" w:rsidRDefault="002464E5" w:rsidP="002464E5">
      <w:pPr>
        <w:numPr>
          <w:ilvl w:val="1"/>
          <w:numId w:val="8"/>
        </w:numPr>
      </w:pPr>
      <w:r w:rsidRPr="002464E5">
        <w:t>Inflation</w:t>
      </w:r>
    </w:p>
    <w:p w14:paraId="012B5809" w14:textId="77777777" w:rsidR="002464E5" w:rsidRPr="002464E5" w:rsidRDefault="002464E5" w:rsidP="002464E5">
      <w:pPr>
        <w:numPr>
          <w:ilvl w:val="1"/>
          <w:numId w:val="8"/>
        </w:numPr>
      </w:pPr>
      <w:r w:rsidRPr="002464E5">
        <w:t>10-year and 5-year risk-free rates</w:t>
      </w:r>
    </w:p>
    <w:p w14:paraId="76DD11EE" w14:textId="77777777" w:rsidR="002464E5" w:rsidRPr="002464E5" w:rsidRDefault="002464E5" w:rsidP="002464E5">
      <w:pPr>
        <w:numPr>
          <w:ilvl w:val="1"/>
          <w:numId w:val="8"/>
        </w:numPr>
      </w:pPr>
      <w:r w:rsidRPr="002464E5">
        <w:t>Base borrowing costs for core/non-core strategies</w:t>
      </w:r>
    </w:p>
    <w:p w14:paraId="1A05CE4D" w14:textId="77777777" w:rsidR="002464E5" w:rsidRPr="002464E5" w:rsidRDefault="002464E5" w:rsidP="002464E5">
      <w:r w:rsidRPr="002464E5">
        <w:rPr>
          <w:b/>
          <w:bCs/>
        </w:rPr>
        <w:t>B. Sector &amp; Regional Forecasts</w:t>
      </w:r>
    </w:p>
    <w:p w14:paraId="6BC82222" w14:textId="77777777" w:rsidR="002464E5" w:rsidRPr="002464E5" w:rsidRDefault="002464E5" w:rsidP="002464E5">
      <w:pPr>
        <w:numPr>
          <w:ilvl w:val="0"/>
          <w:numId w:val="9"/>
        </w:numPr>
      </w:pPr>
      <w:r w:rsidRPr="002464E5">
        <w:rPr>
          <w:b/>
          <w:bCs/>
        </w:rPr>
        <w:t>U.S.</w:t>
      </w:r>
      <w:r w:rsidRPr="002464E5">
        <w:t>: 12–15 property sectors (e.g., Industrial, Office, Apartments, Student Housing, etc.)</w:t>
      </w:r>
    </w:p>
    <w:p w14:paraId="77D25B19" w14:textId="77777777" w:rsidR="002464E5" w:rsidRPr="002464E5" w:rsidRDefault="002464E5" w:rsidP="002464E5">
      <w:pPr>
        <w:numPr>
          <w:ilvl w:val="0"/>
          <w:numId w:val="9"/>
        </w:numPr>
      </w:pPr>
      <w:r w:rsidRPr="002464E5">
        <w:rPr>
          <w:b/>
          <w:bCs/>
        </w:rPr>
        <w:t>Europe</w:t>
      </w:r>
      <w:r w:rsidRPr="002464E5">
        <w:t>: 8–10 sectors across key countries</w:t>
      </w:r>
    </w:p>
    <w:p w14:paraId="5BFDCBE3" w14:textId="77777777" w:rsidR="002464E5" w:rsidRPr="002464E5" w:rsidRDefault="002464E5" w:rsidP="002464E5">
      <w:pPr>
        <w:numPr>
          <w:ilvl w:val="0"/>
          <w:numId w:val="9"/>
        </w:numPr>
      </w:pPr>
      <w:r w:rsidRPr="002464E5">
        <w:rPr>
          <w:b/>
          <w:bCs/>
        </w:rPr>
        <w:t>Asia</w:t>
      </w:r>
      <w:r w:rsidRPr="002464E5">
        <w:t>: 8–10 sectors spanning core markets (Japan, Australia, China, Singapore, etc.)</w:t>
      </w:r>
    </w:p>
    <w:p w14:paraId="32839C68" w14:textId="77777777" w:rsidR="002464E5" w:rsidRPr="002464E5" w:rsidRDefault="002464E5" w:rsidP="002464E5">
      <w:pPr>
        <w:numPr>
          <w:ilvl w:val="0"/>
          <w:numId w:val="9"/>
        </w:numPr>
      </w:pPr>
      <w:r w:rsidRPr="002464E5">
        <w:t>Forecast Metrics:</w:t>
      </w:r>
    </w:p>
    <w:p w14:paraId="7E140C8E" w14:textId="77777777" w:rsidR="002464E5" w:rsidRPr="002464E5" w:rsidRDefault="002464E5" w:rsidP="002464E5">
      <w:pPr>
        <w:numPr>
          <w:ilvl w:val="1"/>
          <w:numId w:val="9"/>
        </w:numPr>
      </w:pPr>
      <w:r w:rsidRPr="002464E5">
        <w:t>Entry/Exit cap rates (year-by-year)</w:t>
      </w:r>
    </w:p>
    <w:p w14:paraId="6232AE6D" w14:textId="77777777" w:rsidR="002464E5" w:rsidRPr="002464E5" w:rsidRDefault="002464E5" w:rsidP="002464E5">
      <w:pPr>
        <w:numPr>
          <w:ilvl w:val="1"/>
          <w:numId w:val="9"/>
        </w:numPr>
      </w:pPr>
      <w:r w:rsidRPr="002464E5">
        <w:t>Rent growth trajectories (6-year view)</w:t>
      </w:r>
    </w:p>
    <w:p w14:paraId="4D5A7BC4" w14:textId="77777777" w:rsidR="002464E5" w:rsidRPr="002464E5" w:rsidRDefault="002464E5" w:rsidP="002464E5">
      <w:pPr>
        <w:numPr>
          <w:ilvl w:val="1"/>
          <w:numId w:val="9"/>
        </w:numPr>
      </w:pPr>
      <w:r w:rsidRPr="002464E5">
        <w:t>Leverage targets</w:t>
      </w:r>
    </w:p>
    <w:p w14:paraId="234AE4D3" w14:textId="77777777" w:rsidR="002464E5" w:rsidRPr="002464E5" w:rsidRDefault="002464E5" w:rsidP="002464E5">
      <w:pPr>
        <w:numPr>
          <w:ilvl w:val="1"/>
          <w:numId w:val="9"/>
        </w:numPr>
      </w:pPr>
      <w:r w:rsidRPr="002464E5">
        <w:t>Capex expectations</w:t>
      </w:r>
    </w:p>
    <w:p w14:paraId="0B39253C" w14:textId="77777777" w:rsidR="002464E5" w:rsidRPr="002464E5" w:rsidRDefault="002464E5" w:rsidP="002464E5">
      <w:pPr>
        <w:numPr>
          <w:ilvl w:val="1"/>
          <w:numId w:val="9"/>
        </w:numPr>
      </w:pPr>
      <w:r w:rsidRPr="002464E5">
        <w:t>Total fee drag</w:t>
      </w:r>
    </w:p>
    <w:p w14:paraId="2A561337" w14:textId="77777777" w:rsidR="002464E5" w:rsidRPr="002464E5" w:rsidRDefault="002464E5" w:rsidP="002464E5">
      <w:pPr>
        <w:numPr>
          <w:ilvl w:val="1"/>
          <w:numId w:val="9"/>
        </w:numPr>
      </w:pPr>
      <w:r w:rsidRPr="002464E5">
        <w:lastRenderedPageBreak/>
        <w:t>Property-level returns, gross and net fund returns</w:t>
      </w:r>
    </w:p>
    <w:p w14:paraId="432BE319" w14:textId="77777777" w:rsidR="002464E5" w:rsidRPr="002464E5" w:rsidRDefault="002464E5" w:rsidP="002464E5">
      <w:r w:rsidRPr="002464E5">
        <w:rPr>
          <w:b/>
          <w:bCs/>
        </w:rPr>
        <w:t>C. Risk Analytics</w:t>
      </w:r>
    </w:p>
    <w:p w14:paraId="05B3FFD1" w14:textId="77777777" w:rsidR="002464E5" w:rsidRPr="002464E5" w:rsidRDefault="002464E5" w:rsidP="002464E5">
      <w:pPr>
        <w:numPr>
          <w:ilvl w:val="0"/>
          <w:numId w:val="10"/>
        </w:numPr>
      </w:pPr>
      <w:r w:rsidRPr="002464E5">
        <w:rPr>
          <w:b/>
          <w:bCs/>
        </w:rPr>
        <w:t>Sector-by-region volatilities</w:t>
      </w:r>
    </w:p>
    <w:p w14:paraId="65699E36" w14:textId="77777777" w:rsidR="002464E5" w:rsidRPr="002464E5" w:rsidRDefault="002464E5" w:rsidP="002464E5">
      <w:pPr>
        <w:numPr>
          <w:ilvl w:val="0"/>
          <w:numId w:val="10"/>
        </w:numPr>
      </w:pPr>
      <w:r w:rsidRPr="002464E5">
        <w:t>Correlation matrices for portfolio simulation</w:t>
      </w:r>
    </w:p>
    <w:p w14:paraId="1FE75AAE" w14:textId="77777777" w:rsidR="002464E5" w:rsidRPr="002464E5" w:rsidRDefault="002464E5" w:rsidP="002464E5">
      <w:pPr>
        <w:numPr>
          <w:ilvl w:val="0"/>
          <w:numId w:val="10"/>
        </w:numPr>
      </w:pPr>
      <w:r w:rsidRPr="002464E5">
        <w:t>Downside stress test assumptions</w:t>
      </w:r>
    </w:p>
    <w:p w14:paraId="098E8F9E" w14:textId="77777777" w:rsidR="002464E5" w:rsidRPr="002464E5" w:rsidRDefault="002464E5" w:rsidP="002464E5">
      <w:r w:rsidRPr="002464E5">
        <w:rPr>
          <w:b/>
          <w:bCs/>
        </w:rPr>
        <w:t>D. Research Layer</w:t>
      </w:r>
    </w:p>
    <w:p w14:paraId="3D286209" w14:textId="77777777" w:rsidR="002464E5" w:rsidRPr="002464E5" w:rsidRDefault="002464E5" w:rsidP="002464E5">
      <w:pPr>
        <w:numPr>
          <w:ilvl w:val="0"/>
          <w:numId w:val="11"/>
        </w:numPr>
      </w:pPr>
      <w:r w:rsidRPr="002464E5">
        <w:rPr>
          <w:b/>
          <w:bCs/>
        </w:rPr>
        <w:t>Monthly research publications</w:t>
      </w:r>
      <w:r w:rsidRPr="002464E5">
        <w:t xml:space="preserve"> on market themes</w:t>
      </w:r>
    </w:p>
    <w:p w14:paraId="5145D19B" w14:textId="77777777" w:rsidR="002464E5" w:rsidRPr="002464E5" w:rsidRDefault="002464E5" w:rsidP="002464E5">
      <w:pPr>
        <w:numPr>
          <w:ilvl w:val="0"/>
          <w:numId w:val="11"/>
        </w:numPr>
      </w:pPr>
      <w:r w:rsidRPr="002464E5">
        <w:rPr>
          <w:b/>
          <w:bCs/>
        </w:rPr>
        <w:t>Biannual VOTW report</w:t>
      </w:r>
      <w:r w:rsidRPr="002464E5">
        <w:t>—sector and region-level forecasts in a unified institutional format</w:t>
      </w:r>
    </w:p>
    <w:p w14:paraId="7E86F515" w14:textId="77777777" w:rsidR="002464E5" w:rsidRPr="002464E5" w:rsidRDefault="002464E5" w:rsidP="002464E5">
      <w:r w:rsidRPr="002464E5">
        <w:t xml:space="preserve">VOTW powers </w:t>
      </w:r>
      <w:r w:rsidRPr="002464E5">
        <w:rPr>
          <w:b/>
          <w:bCs/>
        </w:rPr>
        <w:t>forecasting tools</w:t>
      </w:r>
      <w:r w:rsidRPr="002464E5">
        <w:t xml:space="preserve">, </w:t>
      </w:r>
      <w:r w:rsidRPr="002464E5">
        <w:rPr>
          <w:b/>
          <w:bCs/>
        </w:rPr>
        <w:t>portfolio simulation</w:t>
      </w:r>
      <w:r w:rsidRPr="002464E5">
        <w:t xml:space="preserve">, </w:t>
      </w:r>
      <w:r w:rsidRPr="002464E5">
        <w:rPr>
          <w:b/>
          <w:bCs/>
        </w:rPr>
        <w:t>ratings</w:t>
      </w:r>
      <w:r w:rsidRPr="002464E5">
        <w:t xml:space="preserve">, and </w:t>
      </w:r>
      <w:r w:rsidRPr="002464E5">
        <w:rPr>
          <w:b/>
          <w:bCs/>
        </w:rPr>
        <w:t>AI memo context</w:t>
      </w:r>
      <w:r w:rsidRPr="002464E5">
        <w:t>.</w:t>
      </w:r>
    </w:p>
    <w:p w14:paraId="1A75154D" w14:textId="77777777" w:rsidR="002464E5" w:rsidRPr="002464E5" w:rsidRDefault="00000000" w:rsidP="002464E5">
      <w:r>
        <w:pict w14:anchorId="35593A6B">
          <v:rect id="_x0000_i1029" style="width:0;height:1.5pt" o:hralign="center" o:hrstd="t" o:hr="t" fillcolor="#a0a0a0" stroked="f"/>
        </w:pict>
      </w:r>
    </w:p>
    <w:p w14:paraId="18BEE964" w14:textId="77777777" w:rsidR="002464E5" w:rsidRPr="002464E5" w:rsidRDefault="002464E5" w:rsidP="002464E5">
      <w:pPr>
        <w:rPr>
          <w:b/>
          <w:bCs/>
        </w:rPr>
      </w:pPr>
      <w:r w:rsidRPr="002464E5">
        <w:rPr>
          <w:b/>
          <w:bCs/>
        </w:rPr>
        <w:t>5. Pipeline Intelligence (Funds + Deals)</w:t>
      </w:r>
    </w:p>
    <w:p w14:paraId="6F0C6091" w14:textId="77777777" w:rsidR="002464E5" w:rsidRPr="002464E5" w:rsidRDefault="002464E5" w:rsidP="002464E5">
      <w:r w:rsidRPr="002464E5">
        <w:t xml:space="preserve">A continuously updated database of </w:t>
      </w:r>
      <w:r w:rsidRPr="002464E5">
        <w:rPr>
          <w:b/>
          <w:bCs/>
        </w:rPr>
        <w:t>fundraising activity</w:t>
      </w:r>
      <w:r w:rsidRPr="002464E5">
        <w:t xml:space="preserve"> and </w:t>
      </w:r>
      <w:r w:rsidRPr="002464E5">
        <w:rPr>
          <w:b/>
          <w:bCs/>
        </w:rPr>
        <w:t>real estate transaction deal flow</w:t>
      </w:r>
      <w:r w:rsidRPr="002464E5">
        <w:t>, categorized for analytical insights and capital deployment planning.</w:t>
      </w:r>
    </w:p>
    <w:p w14:paraId="48E18034" w14:textId="77777777" w:rsidR="002464E5" w:rsidRPr="002464E5" w:rsidRDefault="002464E5" w:rsidP="002464E5">
      <w:pPr>
        <w:rPr>
          <w:b/>
          <w:bCs/>
        </w:rPr>
      </w:pPr>
      <w:r w:rsidRPr="002464E5">
        <w:rPr>
          <w:b/>
          <w:bCs/>
        </w:rPr>
        <w:t>A. Fund Pipeline</w:t>
      </w:r>
    </w:p>
    <w:p w14:paraId="0E002987" w14:textId="77777777" w:rsidR="002464E5" w:rsidRPr="002464E5" w:rsidRDefault="002464E5" w:rsidP="002464E5">
      <w:pPr>
        <w:numPr>
          <w:ilvl w:val="0"/>
          <w:numId w:val="12"/>
        </w:numPr>
      </w:pPr>
      <w:r w:rsidRPr="002464E5">
        <w:t>Covers 100–200 funds per region per year.</w:t>
      </w:r>
    </w:p>
    <w:p w14:paraId="3745E354" w14:textId="77777777" w:rsidR="002464E5" w:rsidRPr="002464E5" w:rsidRDefault="002464E5" w:rsidP="002464E5">
      <w:pPr>
        <w:numPr>
          <w:ilvl w:val="0"/>
          <w:numId w:val="12"/>
        </w:numPr>
      </w:pPr>
      <w:r w:rsidRPr="002464E5">
        <w:t>Tracks:</w:t>
      </w:r>
    </w:p>
    <w:p w14:paraId="0F2EEBB4" w14:textId="77777777" w:rsidR="002464E5" w:rsidRPr="002464E5" w:rsidRDefault="002464E5" w:rsidP="002464E5">
      <w:pPr>
        <w:numPr>
          <w:ilvl w:val="1"/>
          <w:numId w:val="12"/>
        </w:numPr>
      </w:pPr>
      <w:r w:rsidRPr="002464E5">
        <w:t>Strategy</w:t>
      </w:r>
    </w:p>
    <w:p w14:paraId="1615183B" w14:textId="77777777" w:rsidR="002464E5" w:rsidRPr="002464E5" w:rsidRDefault="002464E5" w:rsidP="002464E5">
      <w:pPr>
        <w:numPr>
          <w:ilvl w:val="1"/>
          <w:numId w:val="12"/>
        </w:numPr>
      </w:pPr>
      <w:r w:rsidRPr="002464E5">
        <w:t>Sector exposure</w:t>
      </w:r>
    </w:p>
    <w:p w14:paraId="424F5FFB" w14:textId="77777777" w:rsidR="002464E5" w:rsidRPr="002464E5" w:rsidRDefault="002464E5" w:rsidP="002464E5">
      <w:pPr>
        <w:numPr>
          <w:ilvl w:val="1"/>
          <w:numId w:val="12"/>
        </w:numPr>
      </w:pPr>
      <w:r w:rsidRPr="002464E5">
        <w:t>Geography</w:t>
      </w:r>
    </w:p>
    <w:p w14:paraId="7A220422" w14:textId="77777777" w:rsidR="002464E5" w:rsidRPr="002464E5" w:rsidRDefault="002464E5" w:rsidP="002464E5">
      <w:pPr>
        <w:numPr>
          <w:ilvl w:val="1"/>
          <w:numId w:val="12"/>
        </w:numPr>
      </w:pPr>
      <w:r w:rsidRPr="002464E5">
        <w:t>Return targets</w:t>
      </w:r>
    </w:p>
    <w:p w14:paraId="06059865" w14:textId="77777777" w:rsidR="002464E5" w:rsidRPr="002464E5" w:rsidRDefault="002464E5" w:rsidP="002464E5">
      <w:pPr>
        <w:numPr>
          <w:ilvl w:val="1"/>
          <w:numId w:val="12"/>
        </w:numPr>
      </w:pPr>
      <w:r w:rsidRPr="002464E5">
        <w:t>Risk style (core, value-add, opportunistic)</w:t>
      </w:r>
    </w:p>
    <w:p w14:paraId="1FB420E7" w14:textId="77777777" w:rsidR="002464E5" w:rsidRPr="002464E5" w:rsidRDefault="002464E5" w:rsidP="002464E5">
      <w:pPr>
        <w:numPr>
          <w:ilvl w:val="1"/>
          <w:numId w:val="12"/>
        </w:numPr>
      </w:pPr>
      <w:r w:rsidRPr="002464E5">
        <w:t>Status (pre-marketing, first close, final close)</w:t>
      </w:r>
    </w:p>
    <w:p w14:paraId="5C5EF8F6" w14:textId="77777777" w:rsidR="002464E5" w:rsidRPr="002464E5" w:rsidRDefault="002464E5" w:rsidP="002464E5">
      <w:pPr>
        <w:numPr>
          <w:ilvl w:val="1"/>
          <w:numId w:val="12"/>
        </w:numPr>
      </w:pPr>
      <w:r w:rsidRPr="002464E5">
        <w:t>Manager track record</w:t>
      </w:r>
    </w:p>
    <w:p w14:paraId="4281D44D" w14:textId="77777777" w:rsidR="002464E5" w:rsidRPr="002464E5" w:rsidRDefault="002464E5" w:rsidP="002464E5">
      <w:pPr>
        <w:numPr>
          <w:ilvl w:val="1"/>
          <w:numId w:val="12"/>
        </w:numPr>
      </w:pPr>
      <w:r w:rsidRPr="002464E5">
        <w:t>Fee terms and structure</w:t>
      </w:r>
    </w:p>
    <w:p w14:paraId="09BA6D23" w14:textId="77777777" w:rsidR="002464E5" w:rsidRPr="002464E5" w:rsidRDefault="002464E5" w:rsidP="002464E5">
      <w:pPr>
        <w:rPr>
          <w:b/>
          <w:bCs/>
        </w:rPr>
      </w:pPr>
      <w:r w:rsidRPr="002464E5">
        <w:rPr>
          <w:b/>
          <w:bCs/>
        </w:rPr>
        <w:t>B. Deal Pipeline</w:t>
      </w:r>
    </w:p>
    <w:p w14:paraId="4FF97F0D" w14:textId="77777777" w:rsidR="002464E5" w:rsidRPr="002464E5" w:rsidRDefault="002464E5" w:rsidP="002464E5">
      <w:pPr>
        <w:numPr>
          <w:ilvl w:val="0"/>
          <w:numId w:val="13"/>
        </w:numPr>
      </w:pPr>
      <w:r w:rsidRPr="002464E5">
        <w:t>Tracks direct co-investment and one-off GP deal flow.</w:t>
      </w:r>
    </w:p>
    <w:p w14:paraId="318BFD6D" w14:textId="77777777" w:rsidR="002464E5" w:rsidRPr="002464E5" w:rsidRDefault="002464E5" w:rsidP="002464E5">
      <w:pPr>
        <w:numPr>
          <w:ilvl w:val="0"/>
          <w:numId w:val="13"/>
        </w:numPr>
      </w:pPr>
      <w:r w:rsidRPr="002464E5">
        <w:lastRenderedPageBreak/>
        <w:t>Tagging includes:</w:t>
      </w:r>
    </w:p>
    <w:p w14:paraId="6286010F" w14:textId="77777777" w:rsidR="002464E5" w:rsidRPr="002464E5" w:rsidRDefault="002464E5" w:rsidP="002464E5">
      <w:pPr>
        <w:numPr>
          <w:ilvl w:val="1"/>
          <w:numId w:val="13"/>
        </w:numPr>
      </w:pPr>
      <w:r w:rsidRPr="002464E5">
        <w:t>Region and sector</w:t>
      </w:r>
    </w:p>
    <w:p w14:paraId="49E37AB5" w14:textId="77777777" w:rsidR="002464E5" w:rsidRPr="002464E5" w:rsidRDefault="002464E5" w:rsidP="002464E5">
      <w:pPr>
        <w:numPr>
          <w:ilvl w:val="1"/>
          <w:numId w:val="13"/>
        </w:numPr>
      </w:pPr>
      <w:r w:rsidRPr="002464E5">
        <w:t>Cap rate</w:t>
      </w:r>
    </w:p>
    <w:p w14:paraId="36E75EED" w14:textId="77777777" w:rsidR="002464E5" w:rsidRPr="002464E5" w:rsidRDefault="002464E5" w:rsidP="002464E5">
      <w:pPr>
        <w:numPr>
          <w:ilvl w:val="1"/>
          <w:numId w:val="13"/>
        </w:numPr>
      </w:pPr>
      <w:r w:rsidRPr="002464E5">
        <w:t>Business plan type (lease-up, redevelopment, etc.)</w:t>
      </w:r>
    </w:p>
    <w:p w14:paraId="65317686" w14:textId="77777777" w:rsidR="002464E5" w:rsidRPr="002464E5" w:rsidRDefault="002464E5" w:rsidP="002464E5">
      <w:pPr>
        <w:numPr>
          <w:ilvl w:val="1"/>
          <w:numId w:val="13"/>
        </w:numPr>
      </w:pPr>
      <w:r w:rsidRPr="002464E5">
        <w:t>Sponsor underwriting</w:t>
      </w:r>
    </w:p>
    <w:p w14:paraId="359CD702" w14:textId="77777777" w:rsidR="002464E5" w:rsidRPr="002464E5" w:rsidRDefault="002464E5" w:rsidP="002464E5">
      <w:pPr>
        <w:numPr>
          <w:ilvl w:val="1"/>
          <w:numId w:val="13"/>
        </w:numPr>
      </w:pPr>
      <w:r w:rsidRPr="002464E5">
        <w:t>Deal status (live, closing, paused)</w:t>
      </w:r>
    </w:p>
    <w:p w14:paraId="5CF149E2" w14:textId="77777777" w:rsidR="002464E5" w:rsidRDefault="002464E5" w:rsidP="002464E5">
      <w:r w:rsidRPr="002464E5">
        <w:t xml:space="preserve">This fuels the </w:t>
      </w:r>
      <w:r w:rsidRPr="002464E5">
        <w:rPr>
          <w:b/>
          <w:bCs/>
        </w:rPr>
        <w:t>Fund &amp; Deal Pipeline Engine</w:t>
      </w:r>
      <w:r w:rsidRPr="002464E5">
        <w:t>, AI Capital Advisory, and Secondary Marketplace.</w:t>
      </w:r>
    </w:p>
    <w:p w14:paraId="2FAC3AFE" w14:textId="77777777" w:rsidR="002464E5" w:rsidRPr="002464E5" w:rsidRDefault="00000000" w:rsidP="002464E5">
      <w:r>
        <w:pict w14:anchorId="3B22F17D">
          <v:rect id="_x0000_i1030" style="width:0;height:1.5pt" o:hralign="center" o:hrstd="t" o:hr="t" fillcolor="#a0a0a0" stroked="f"/>
        </w:pict>
      </w:r>
    </w:p>
    <w:p w14:paraId="7D5FFE95" w14:textId="77777777" w:rsidR="002464E5" w:rsidRPr="002464E5" w:rsidRDefault="002464E5" w:rsidP="002464E5">
      <w:pPr>
        <w:rPr>
          <w:b/>
          <w:bCs/>
        </w:rPr>
      </w:pPr>
      <w:r w:rsidRPr="002464E5">
        <w:rPr>
          <w:b/>
          <w:bCs/>
        </w:rPr>
        <w:t>6. Townsend Brand &amp; Relationship Network</w:t>
      </w:r>
    </w:p>
    <w:p w14:paraId="66B691F0" w14:textId="77777777" w:rsidR="002464E5" w:rsidRPr="002464E5" w:rsidRDefault="002464E5" w:rsidP="002464E5">
      <w:r w:rsidRPr="002464E5">
        <w:t xml:space="preserve">Townsend’s </w:t>
      </w:r>
      <w:r w:rsidRPr="002464E5">
        <w:rPr>
          <w:b/>
          <w:bCs/>
        </w:rPr>
        <w:t>institutional reputation and client access</w:t>
      </w:r>
      <w:r w:rsidRPr="002464E5">
        <w:t xml:space="preserve"> built over 40+ years of serving global LPs and GPs in real estate, infrastructure, agriculture, and timber.</w:t>
      </w:r>
    </w:p>
    <w:p w14:paraId="05098F1D" w14:textId="77777777" w:rsidR="002464E5" w:rsidRPr="002464E5" w:rsidRDefault="002464E5" w:rsidP="002464E5">
      <w:pPr>
        <w:rPr>
          <w:b/>
          <w:bCs/>
        </w:rPr>
      </w:pPr>
      <w:r w:rsidRPr="002464E5">
        <w:rPr>
          <w:b/>
          <w:bCs/>
        </w:rPr>
        <w:t>Strengths:</w:t>
      </w:r>
    </w:p>
    <w:p w14:paraId="5AC406BA" w14:textId="77777777" w:rsidR="002464E5" w:rsidRPr="002464E5" w:rsidRDefault="002464E5" w:rsidP="002464E5">
      <w:pPr>
        <w:numPr>
          <w:ilvl w:val="0"/>
          <w:numId w:val="14"/>
        </w:numPr>
      </w:pPr>
      <w:r w:rsidRPr="002464E5">
        <w:rPr>
          <w:b/>
          <w:bCs/>
        </w:rPr>
        <w:t>Trusted advisor</w:t>
      </w:r>
      <w:r w:rsidRPr="002464E5">
        <w:t xml:space="preserve"> to the largest LPs worldwide (pensions, sovereigns, insurers, etc.)</w:t>
      </w:r>
    </w:p>
    <w:p w14:paraId="2D42FA71" w14:textId="77777777" w:rsidR="002464E5" w:rsidRPr="002464E5" w:rsidRDefault="002464E5" w:rsidP="002464E5">
      <w:pPr>
        <w:numPr>
          <w:ilvl w:val="0"/>
          <w:numId w:val="14"/>
        </w:numPr>
      </w:pPr>
      <w:r w:rsidRPr="002464E5">
        <w:t xml:space="preserve">Deep ties to </w:t>
      </w:r>
      <w:r w:rsidRPr="002464E5">
        <w:rPr>
          <w:b/>
          <w:bCs/>
        </w:rPr>
        <w:t>leading GPs</w:t>
      </w:r>
      <w:r w:rsidRPr="002464E5">
        <w:t>, including established global firms and emerging managers</w:t>
      </w:r>
    </w:p>
    <w:p w14:paraId="7D8E97F7" w14:textId="77777777" w:rsidR="002464E5" w:rsidRPr="002464E5" w:rsidRDefault="002464E5" w:rsidP="002464E5">
      <w:pPr>
        <w:numPr>
          <w:ilvl w:val="0"/>
          <w:numId w:val="14"/>
        </w:numPr>
      </w:pPr>
      <w:r w:rsidRPr="002464E5">
        <w:rPr>
          <w:b/>
          <w:bCs/>
        </w:rPr>
        <w:t>Unmatched LP visibility</w:t>
      </w:r>
      <w:r w:rsidRPr="002464E5">
        <w:t xml:space="preserve"> into capital flows and manager performance</w:t>
      </w:r>
    </w:p>
    <w:p w14:paraId="6268D38B" w14:textId="77777777" w:rsidR="002464E5" w:rsidRPr="002464E5" w:rsidRDefault="002464E5" w:rsidP="002464E5">
      <w:pPr>
        <w:numPr>
          <w:ilvl w:val="0"/>
          <w:numId w:val="14"/>
        </w:numPr>
      </w:pPr>
      <w:r w:rsidRPr="002464E5">
        <w:t xml:space="preserve">Known for </w:t>
      </w:r>
      <w:r w:rsidRPr="002464E5">
        <w:rPr>
          <w:b/>
          <w:bCs/>
        </w:rPr>
        <w:t>integrity, objectivity, and data discipline</w:t>
      </w:r>
    </w:p>
    <w:p w14:paraId="6A885C3A" w14:textId="77777777" w:rsidR="002464E5" w:rsidRPr="002464E5" w:rsidRDefault="002464E5" w:rsidP="002464E5">
      <w:pPr>
        <w:numPr>
          <w:ilvl w:val="0"/>
          <w:numId w:val="14"/>
        </w:numPr>
      </w:pPr>
      <w:r w:rsidRPr="002464E5">
        <w:t xml:space="preserve">Influential in </w:t>
      </w:r>
      <w:r w:rsidRPr="002464E5">
        <w:rPr>
          <w:b/>
          <w:bCs/>
        </w:rPr>
        <w:t>capital allocation and fund formation trends</w:t>
      </w:r>
    </w:p>
    <w:p w14:paraId="0C470A05" w14:textId="77777777" w:rsidR="002464E5" w:rsidRPr="002464E5" w:rsidRDefault="002464E5" w:rsidP="002464E5">
      <w:pPr>
        <w:numPr>
          <w:ilvl w:val="0"/>
          <w:numId w:val="14"/>
        </w:numPr>
      </w:pPr>
      <w:r w:rsidRPr="002464E5">
        <w:t>Embedded in industry working groups, research panels, and policy forums</w:t>
      </w:r>
    </w:p>
    <w:p w14:paraId="1C581957" w14:textId="77777777" w:rsidR="002464E5" w:rsidRPr="002464E5" w:rsidRDefault="002464E5" w:rsidP="002464E5">
      <w:r w:rsidRPr="002464E5">
        <w:t xml:space="preserve">The brand and network are essential to monetizing products like </w:t>
      </w:r>
      <w:r w:rsidRPr="002464E5">
        <w:rPr>
          <w:b/>
          <w:bCs/>
        </w:rPr>
        <w:t>AI Fund Ratings</w:t>
      </w:r>
      <w:r w:rsidRPr="002464E5">
        <w:t xml:space="preserve">, </w:t>
      </w:r>
      <w:r w:rsidRPr="002464E5">
        <w:rPr>
          <w:b/>
          <w:bCs/>
        </w:rPr>
        <w:t>GP Advisory</w:t>
      </w:r>
      <w:r w:rsidRPr="002464E5">
        <w:t xml:space="preserve">, </w:t>
      </w:r>
      <w:r w:rsidRPr="002464E5">
        <w:rPr>
          <w:b/>
          <w:bCs/>
        </w:rPr>
        <w:t>AI Capital Advisory</w:t>
      </w:r>
      <w:r w:rsidRPr="002464E5">
        <w:t xml:space="preserve">, and building a successful </w:t>
      </w:r>
      <w:r w:rsidRPr="002464E5">
        <w:rPr>
          <w:b/>
          <w:bCs/>
        </w:rPr>
        <w:t>Secondary Marketplace</w:t>
      </w:r>
      <w:r w:rsidRPr="002464E5">
        <w:t>.</w:t>
      </w:r>
    </w:p>
    <w:p w14:paraId="1A20EE48" w14:textId="77777777" w:rsidR="00656782" w:rsidRPr="002464E5" w:rsidRDefault="00656782" w:rsidP="00656782">
      <w:r>
        <w:pict w14:anchorId="64548937">
          <v:rect id="_x0000_i1075" style="width:0;height:1.5pt" o:hralign="center" o:hrstd="t" o:hr="t" fillcolor="#a0a0a0" stroked="f"/>
        </w:pict>
      </w:r>
    </w:p>
    <w:p w14:paraId="13CAABE6" w14:textId="7CB06113" w:rsidR="002464E5" w:rsidRPr="003821CC" w:rsidRDefault="00656782">
      <w:pPr>
        <w:rPr>
          <w:b/>
          <w:bCs/>
        </w:rPr>
      </w:pPr>
      <w:r w:rsidRPr="003821CC">
        <w:rPr>
          <w:b/>
          <w:bCs/>
        </w:rPr>
        <w:t>7. Townsend proprietary fund and deal underwriting models</w:t>
      </w:r>
    </w:p>
    <w:p w14:paraId="43C3825A" w14:textId="1E1A238F" w:rsidR="00656782" w:rsidRDefault="00656782">
      <w:r>
        <w:t>Various model categories are available</w:t>
      </w:r>
    </w:p>
    <w:p w14:paraId="132D1A9E" w14:textId="077D58BF" w:rsidR="00656782" w:rsidRDefault="00656782" w:rsidP="00656782">
      <w:pPr>
        <w:pStyle w:val="ListParagraph"/>
        <w:numPr>
          <w:ilvl w:val="0"/>
          <w:numId w:val="30"/>
        </w:numPr>
      </w:pPr>
      <w:r>
        <w:t xml:space="preserve">Core fund model – in this the user selects the core open end funds.  The details about the funds sector mix, current appraised cap rates, appraised NAVs, leverage level, fee structure, etc are pre-loaded.  The user can either use Townsend’s real </w:t>
      </w:r>
      <w:r>
        <w:lastRenderedPageBreak/>
        <w:t xml:space="preserve">estate forecast (rent growth, value add potential, capex burden, etc.) or can Bring Your Own Assumptions (BYOA).  In BYOA, the user brings in their own assumptions on rent growth, exit cap rates, discounts or premiums on entry and exit etc.  Townsend assumptions can offer stress testing scenarios of higher or lower growth when entry and exit queues form, respectively which can impact returns.  Townsend views also take into account manager capabilities which impact return and risk.  Townsend also maintains volatility assumptions to better quantify risk and enable model portfolio construction. Townsend also provides subtle differences across funds like some funds may have apartments in higher growth coastal areas but at higher valuation </w:t>
      </w:r>
      <w:r w:rsidR="00194292">
        <w:t xml:space="preserve">(or lower income yield) </w:t>
      </w:r>
      <w:r>
        <w:t>vs. in lower growth Midwest</w:t>
      </w:r>
      <w:r w:rsidR="00194292">
        <w:t xml:space="preserve"> regions but at lower valuation (or higher income yield)</w:t>
      </w:r>
    </w:p>
    <w:p w14:paraId="1B5FC6E4" w14:textId="5CCE1240" w:rsidR="00656782" w:rsidRDefault="00656782" w:rsidP="00656782">
      <w:pPr>
        <w:pStyle w:val="ListParagraph"/>
        <w:numPr>
          <w:ilvl w:val="0"/>
          <w:numId w:val="30"/>
        </w:numPr>
      </w:pPr>
      <w:r>
        <w:t>Core plus model – same as above as they are also open end funds</w:t>
      </w:r>
      <w:r w:rsidR="00194292">
        <w:t xml:space="preserve"> with all the same characteristics of the core funds but at higher leverage and often tend to be sector focused vs. core funds that are sector diversified</w:t>
      </w:r>
    </w:p>
    <w:p w14:paraId="3A96FF0A" w14:textId="4E8D5034" w:rsidR="00194292" w:rsidRDefault="00194292" w:rsidP="00656782">
      <w:pPr>
        <w:pStyle w:val="ListParagraph"/>
        <w:numPr>
          <w:ilvl w:val="0"/>
          <w:numId w:val="30"/>
        </w:numPr>
      </w:pPr>
      <w:r>
        <w:t>Value add funds with prespecified assets – the model takes into account the outlook for the seed portfolio as well as the remaining blind pool part of the fund. Townsend assumptions in votw, mcaf, etc are applied with flexibility for user to BYOA.  Townsend approach will highlight subtle issues like layered fees if the manager is using real estate operators to which the fund pays the fees, as well as have a comprehensive gross to net fee drag issues.  User can pressure test the manager’s return targets and clearly understand what it will take to achieve those returns.  E.g., is the manager too optimistic on rent growth assumptions or exit cap rate assumptions. The user will also be able to quantify risk and determine whether the risk of additional leverage, lack of liquidity, etc is being adequately compensated in the return expectations.  The user can run the return expectations at manager’s assumptions, Townsend assumptions, or BYOA</w:t>
      </w:r>
    </w:p>
    <w:p w14:paraId="0CD584D3" w14:textId="3804180E" w:rsidR="00194292" w:rsidRDefault="00194292" w:rsidP="00656782">
      <w:pPr>
        <w:pStyle w:val="ListParagraph"/>
        <w:numPr>
          <w:ilvl w:val="0"/>
          <w:numId w:val="30"/>
        </w:numPr>
      </w:pPr>
      <w:r>
        <w:t>Blind pool value add funds – same as value add funds but with no seed.  This is inherently more risky</w:t>
      </w:r>
    </w:p>
    <w:p w14:paraId="0F1A678D" w14:textId="7119CDD6" w:rsidR="00194292" w:rsidRDefault="00194292" w:rsidP="00656782">
      <w:pPr>
        <w:pStyle w:val="ListParagraph"/>
        <w:numPr>
          <w:ilvl w:val="0"/>
          <w:numId w:val="30"/>
        </w:numPr>
      </w:pPr>
      <w:r>
        <w:t>SM</w:t>
      </w:r>
      <w:r w:rsidR="00D339DD">
        <w:t>A – these managed accounts have a defined strategy and often act as fund of one with special rights to the LPs.  The model is tailored to reflect greater LP control in these situations</w:t>
      </w:r>
    </w:p>
    <w:p w14:paraId="77861986" w14:textId="58EBE0B6" w:rsidR="00D339DD" w:rsidRDefault="00D339DD" w:rsidP="00656782">
      <w:pPr>
        <w:pStyle w:val="ListParagraph"/>
        <w:numPr>
          <w:ilvl w:val="0"/>
          <w:numId w:val="30"/>
        </w:numPr>
      </w:pPr>
      <w:r>
        <w:t xml:space="preserve">Single asset </w:t>
      </w:r>
    </w:p>
    <w:p w14:paraId="02F48B8D" w14:textId="79F8B82B" w:rsidR="00D339DD" w:rsidRDefault="00D339DD" w:rsidP="00656782">
      <w:pPr>
        <w:pStyle w:val="ListParagraph"/>
        <w:numPr>
          <w:ilvl w:val="0"/>
          <w:numId w:val="30"/>
        </w:numPr>
      </w:pPr>
      <w:r>
        <w:t>Portfolio of assets</w:t>
      </w:r>
    </w:p>
    <w:p w14:paraId="7F5F7E31" w14:textId="1C5C346B" w:rsidR="00D339DD" w:rsidRDefault="00D339DD" w:rsidP="00656782">
      <w:pPr>
        <w:pStyle w:val="ListParagraph"/>
        <w:numPr>
          <w:ilvl w:val="0"/>
          <w:numId w:val="30"/>
        </w:numPr>
      </w:pPr>
      <w:r>
        <w:t>Secondary fund investments – act as primary value add funds that are entirely prespecified with assets</w:t>
      </w:r>
    </w:p>
    <w:p w14:paraId="5E184706" w14:textId="77CF5062" w:rsidR="00D339DD" w:rsidRDefault="00D339DD" w:rsidP="00656782">
      <w:pPr>
        <w:pStyle w:val="ListParagraph"/>
        <w:numPr>
          <w:ilvl w:val="0"/>
          <w:numId w:val="30"/>
        </w:numPr>
      </w:pPr>
      <w:r>
        <w:t>GP staking – underlying secondary opportunity with attachment to GP economics</w:t>
      </w:r>
    </w:p>
    <w:p w14:paraId="5C0643C6" w14:textId="47B455FF" w:rsidR="00D339DD" w:rsidRDefault="00D339DD" w:rsidP="00656782">
      <w:pPr>
        <w:pStyle w:val="ListParagraph"/>
        <w:numPr>
          <w:ilvl w:val="0"/>
          <w:numId w:val="30"/>
        </w:numPr>
      </w:pPr>
      <w:r>
        <w:t>Entity level investing – PE valuation of the GP platform</w:t>
      </w:r>
    </w:p>
    <w:p w14:paraId="6B01EB63" w14:textId="4B3298CD" w:rsidR="00D339DD" w:rsidRDefault="00D339DD" w:rsidP="00656782">
      <w:pPr>
        <w:pStyle w:val="ListParagraph"/>
        <w:numPr>
          <w:ilvl w:val="0"/>
          <w:numId w:val="30"/>
        </w:numPr>
      </w:pPr>
      <w:r>
        <w:lastRenderedPageBreak/>
        <w:t>Entity level plus LP commitment – hybrid between a fund investment opportunity and paying for entity valuation (PE)</w:t>
      </w:r>
    </w:p>
    <w:p w14:paraId="146EDC88" w14:textId="77777777" w:rsidR="003821CC" w:rsidRPr="002464E5" w:rsidRDefault="003821CC" w:rsidP="003821CC">
      <w:pPr>
        <w:ind w:left="360"/>
      </w:pPr>
      <w:r>
        <w:pict w14:anchorId="4880E8C6">
          <v:rect id="_x0000_i1077" style="width:0;height:1.5pt" o:hralign="center" o:hrstd="t" o:hr="t" fillcolor="#a0a0a0" stroked="f"/>
        </w:pict>
      </w:r>
    </w:p>
    <w:p w14:paraId="7C0F16C2" w14:textId="527EEA4E" w:rsidR="003821CC" w:rsidRPr="003821CC" w:rsidRDefault="003821CC" w:rsidP="003821CC">
      <w:pPr>
        <w:rPr>
          <w:b/>
          <w:bCs/>
        </w:rPr>
      </w:pPr>
      <w:r>
        <w:rPr>
          <w:b/>
          <w:bCs/>
        </w:rPr>
        <w:t>8</w:t>
      </w:r>
      <w:r w:rsidRPr="003821CC">
        <w:rPr>
          <w:b/>
          <w:bCs/>
        </w:rPr>
        <w:t>. Townsend p</w:t>
      </w:r>
      <w:r>
        <w:rPr>
          <w:b/>
          <w:bCs/>
        </w:rPr>
        <w:t>ortfolio management insights</w:t>
      </w:r>
    </w:p>
    <w:p w14:paraId="69E90A02" w14:textId="12E5A6EF" w:rsidR="003821CC" w:rsidRDefault="003821CC" w:rsidP="003821CC">
      <w:r>
        <w:t>xxx</w:t>
      </w:r>
    </w:p>
    <w:p w14:paraId="5E1A8872" w14:textId="77777777" w:rsidR="003821CC" w:rsidRDefault="003821CC" w:rsidP="003821CC"/>
    <w:p w14:paraId="3CF46F6E" w14:textId="2C4CC7CF" w:rsidR="001204BE" w:rsidRDefault="002464E5">
      <w:r>
        <w:br w:type="page"/>
      </w:r>
      <w:r w:rsidR="001204BE">
        <w:lastRenderedPageBreak/>
        <w:br w:type="page"/>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9"/>
        <w:gridCol w:w="2980"/>
        <w:gridCol w:w="4011"/>
      </w:tblGrid>
      <w:tr w:rsidR="001204BE" w:rsidRPr="001204BE" w14:paraId="7FC30E1E" w14:textId="77777777" w:rsidTr="001204BE">
        <w:trPr>
          <w:tblHeader/>
          <w:tblCellSpacing w:w="15" w:type="dxa"/>
        </w:trPr>
        <w:tc>
          <w:tcPr>
            <w:tcW w:w="0" w:type="auto"/>
            <w:vAlign w:val="center"/>
            <w:hideMark/>
          </w:tcPr>
          <w:p w14:paraId="1D1869B2" w14:textId="77777777" w:rsidR="001204BE" w:rsidRPr="001204BE" w:rsidRDefault="001204BE" w:rsidP="001204BE">
            <w:pPr>
              <w:rPr>
                <w:b/>
                <w:bCs/>
              </w:rPr>
            </w:pPr>
            <w:r w:rsidRPr="001204BE">
              <w:rPr>
                <w:b/>
                <w:bCs/>
              </w:rPr>
              <w:lastRenderedPageBreak/>
              <w:t>Product Offering</w:t>
            </w:r>
          </w:p>
        </w:tc>
        <w:tc>
          <w:tcPr>
            <w:tcW w:w="0" w:type="auto"/>
            <w:vAlign w:val="center"/>
            <w:hideMark/>
          </w:tcPr>
          <w:p w14:paraId="4C9BA090" w14:textId="77777777" w:rsidR="001204BE" w:rsidRPr="001204BE" w:rsidRDefault="001204BE" w:rsidP="001204BE">
            <w:pPr>
              <w:rPr>
                <w:b/>
                <w:bCs/>
              </w:rPr>
            </w:pPr>
            <w:r w:rsidRPr="001204BE">
              <w:rPr>
                <w:b/>
                <w:bCs/>
              </w:rPr>
              <w:t>Mapped Capabilities</w:t>
            </w:r>
          </w:p>
        </w:tc>
        <w:tc>
          <w:tcPr>
            <w:tcW w:w="0" w:type="auto"/>
            <w:vAlign w:val="center"/>
            <w:hideMark/>
          </w:tcPr>
          <w:p w14:paraId="096B986C" w14:textId="77777777" w:rsidR="001204BE" w:rsidRPr="001204BE" w:rsidRDefault="001204BE" w:rsidP="001204BE">
            <w:pPr>
              <w:rPr>
                <w:b/>
                <w:bCs/>
              </w:rPr>
            </w:pPr>
            <w:r w:rsidRPr="001204BE">
              <w:rPr>
                <w:b/>
                <w:bCs/>
              </w:rPr>
              <w:t>Notes</w:t>
            </w:r>
          </w:p>
        </w:tc>
      </w:tr>
      <w:tr w:rsidR="001204BE" w:rsidRPr="001204BE" w14:paraId="331EB4F2" w14:textId="77777777" w:rsidTr="001204BE">
        <w:trPr>
          <w:tblCellSpacing w:w="15" w:type="dxa"/>
        </w:trPr>
        <w:tc>
          <w:tcPr>
            <w:tcW w:w="0" w:type="auto"/>
            <w:vAlign w:val="center"/>
            <w:hideMark/>
          </w:tcPr>
          <w:p w14:paraId="79019F83" w14:textId="77777777" w:rsidR="001204BE" w:rsidRPr="001204BE" w:rsidRDefault="001204BE" w:rsidP="001204BE">
            <w:r w:rsidRPr="001204BE">
              <w:rPr>
                <w:b/>
                <w:bCs/>
              </w:rPr>
              <w:t>Smart Benchmarking</w:t>
            </w:r>
            <w:r w:rsidRPr="001204BE">
              <w:t xml:space="preserve"> </w:t>
            </w:r>
            <w:r w:rsidRPr="001204BE">
              <w:rPr>
                <w:i/>
                <w:iCs/>
              </w:rPr>
              <w:t>(incl. Infra, Ag, Timber)</w:t>
            </w:r>
          </w:p>
        </w:tc>
        <w:tc>
          <w:tcPr>
            <w:tcW w:w="0" w:type="auto"/>
            <w:vAlign w:val="center"/>
            <w:hideMark/>
          </w:tcPr>
          <w:p w14:paraId="4E51664A" w14:textId="77777777" w:rsidR="001204BE" w:rsidRPr="001204BE" w:rsidRDefault="001204BE" w:rsidP="001204BE">
            <w:r w:rsidRPr="001204BE">
              <w:rPr>
                <w:rFonts w:ascii="Segoe UI Emoji" w:hAnsi="Segoe UI Emoji" w:cs="Segoe UI Emoji"/>
              </w:rPr>
              <w:t>✅</w:t>
            </w:r>
            <w:r w:rsidRPr="001204BE">
              <w:t xml:space="preserve"> Performance Database</w:t>
            </w:r>
          </w:p>
        </w:tc>
        <w:tc>
          <w:tcPr>
            <w:tcW w:w="0" w:type="auto"/>
            <w:vAlign w:val="center"/>
            <w:hideMark/>
          </w:tcPr>
          <w:p w14:paraId="23CE0EE9" w14:textId="77777777" w:rsidR="001204BE" w:rsidRPr="001204BE" w:rsidRDefault="001204BE" w:rsidP="001204BE">
            <w:r w:rsidRPr="001204BE">
              <w:t>Benchmarks span strategy type (income-oriented, alpha-seeking), sectors, and regions. Infra, Ag, Timber included.</w:t>
            </w:r>
          </w:p>
        </w:tc>
      </w:tr>
      <w:tr w:rsidR="001204BE" w:rsidRPr="001204BE" w14:paraId="7B271610" w14:textId="77777777" w:rsidTr="001204BE">
        <w:trPr>
          <w:tblCellSpacing w:w="15" w:type="dxa"/>
        </w:trPr>
        <w:tc>
          <w:tcPr>
            <w:tcW w:w="0" w:type="auto"/>
            <w:vAlign w:val="center"/>
            <w:hideMark/>
          </w:tcPr>
          <w:p w14:paraId="3C107983" w14:textId="77777777" w:rsidR="001204BE" w:rsidRPr="001204BE" w:rsidRDefault="001204BE" w:rsidP="001204BE">
            <w:r w:rsidRPr="001204BE">
              <w:rPr>
                <w:b/>
                <w:bCs/>
              </w:rPr>
              <w:t>Forecasting &amp; Portfolio Strategy</w:t>
            </w:r>
          </w:p>
        </w:tc>
        <w:tc>
          <w:tcPr>
            <w:tcW w:w="0" w:type="auto"/>
            <w:vAlign w:val="center"/>
            <w:hideMark/>
          </w:tcPr>
          <w:p w14:paraId="5F126902" w14:textId="77777777" w:rsidR="001204BE" w:rsidRPr="001204BE" w:rsidRDefault="001204BE" w:rsidP="001204BE">
            <w:r w:rsidRPr="001204BE">
              <w:rPr>
                <w:rFonts w:ascii="Segoe UI Emoji" w:hAnsi="Segoe UI Emoji" w:cs="Segoe UI Emoji"/>
              </w:rPr>
              <w:t>✅</w:t>
            </w:r>
            <w:r w:rsidRPr="001204BE">
              <w:t xml:space="preserve"> VOTW</w:t>
            </w:r>
          </w:p>
        </w:tc>
        <w:tc>
          <w:tcPr>
            <w:tcW w:w="0" w:type="auto"/>
            <w:vAlign w:val="center"/>
            <w:hideMark/>
          </w:tcPr>
          <w:p w14:paraId="60536A6F" w14:textId="77777777" w:rsidR="001204BE" w:rsidRPr="001204BE" w:rsidRDefault="001204BE" w:rsidP="001204BE">
            <w:r w:rsidRPr="001204BE">
              <w:t>VOTW models power 6-year return forecasts, scenario stress testing, and portfolio optimizer.</w:t>
            </w:r>
          </w:p>
        </w:tc>
      </w:tr>
      <w:tr w:rsidR="001204BE" w:rsidRPr="001204BE" w14:paraId="565F7D96" w14:textId="77777777" w:rsidTr="001204BE">
        <w:trPr>
          <w:tblCellSpacing w:w="15" w:type="dxa"/>
        </w:trPr>
        <w:tc>
          <w:tcPr>
            <w:tcW w:w="0" w:type="auto"/>
            <w:vAlign w:val="center"/>
            <w:hideMark/>
          </w:tcPr>
          <w:p w14:paraId="258659AD" w14:textId="77777777" w:rsidR="001204BE" w:rsidRPr="001204BE" w:rsidRDefault="001204BE" w:rsidP="001204BE">
            <w:r w:rsidRPr="001204BE">
              <w:rPr>
                <w:b/>
                <w:bCs/>
              </w:rPr>
              <w:t>Research &amp; Global VOTW</w:t>
            </w:r>
          </w:p>
        </w:tc>
        <w:tc>
          <w:tcPr>
            <w:tcW w:w="0" w:type="auto"/>
            <w:vAlign w:val="center"/>
            <w:hideMark/>
          </w:tcPr>
          <w:p w14:paraId="2E2B110C" w14:textId="77777777" w:rsidR="001204BE" w:rsidRPr="001204BE" w:rsidRDefault="001204BE" w:rsidP="001204BE">
            <w:r w:rsidRPr="001204BE">
              <w:rPr>
                <w:rFonts w:ascii="Segoe UI Emoji" w:hAnsi="Segoe UI Emoji" w:cs="Segoe UI Emoji"/>
              </w:rPr>
              <w:t>✅</w:t>
            </w:r>
            <w:r w:rsidRPr="001204BE">
              <w:t xml:space="preserve"> VOTW</w:t>
            </w:r>
          </w:p>
        </w:tc>
        <w:tc>
          <w:tcPr>
            <w:tcW w:w="0" w:type="auto"/>
            <w:vAlign w:val="center"/>
            <w:hideMark/>
          </w:tcPr>
          <w:p w14:paraId="4539D2F9" w14:textId="77777777" w:rsidR="001204BE" w:rsidRPr="001204BE" w:rsidRDefault="001204BE" w:rsidP="001204BE">
            <w:r w:rsidRPr="001204BE">
              <w:t>Monthly papers + biannual macro + sector views. Draws from VOTW models and research layer.</w:t>
            </w:r>
          </w:p>
        </w:tc>
      </w:tr>
      <w:tr w:rsidR="001204BE" w:rsidRPr="001204BE" w14:paraId="11752681" w14:textId="77777777" w:rsidTr="001204BE">
        <w:trPr>
          <w:tblCellSpacing w:w="15" w:type="dxa"/>
        </w:trPr>
        <w:tc>
          <w:tcPr>
            <w:tcW w:w="0" w:type="auto"/>
            <w:vAlign w:val="center"/>
            <w:hideMark/>
          </w:tcPr>
          <w:p w14:paraId="2861C93F" w14:textId="1CE54151" w:rsidR="001204BE" w:rsidRPr="001204BE" w:rsidRDefault="001204BE" w:rsidP="001204BE">
            <w:r w:rsidRPr="001204BE">
              <w:rPr>
                <w:b/>
                <w:bCs/>
              </w:rPr>
              <w:t>AI Underwriting &amp; Ratings</w:t>
            </w:r>
          </w:p>
        </w:tc>
        <w:tc>
          <w:tcPr>
            <w:tcW w:w="0" w:type="auto"/>
            <w:vAlign w:val="center"/>
            <w:hideMark/>
          </w:tcPr>
          <w:p w14:paraId="4A7242FD" w14:textId="77777777" w:rsidR="001204BE" w:rsidRPr="001204BE" w:rsidRDefault="001204BE" w:rsidP="001204BE">
            <w:r w:rsidRPr="001204BE">
              <w:rPr>
                <w:rFonts w:ascii="Segoe UI Emoji" w:hAnsi="Segoe UI Emoji" w:cs="Segoe UI Emoji"/>
              </w:rPr>
              <w:t>✅</w:t>
            </w:r>
            <w:r w:rsidRPr="001204BE">
              <w:t xml:space="preserve"> AI Underwriting Capability </w:t>
            </w:r>
            <w:r w:rsidRPr="001204BE">
              <w:rPr>
                <w:i/>
                <w:iCs/>
              </w:rPr>
              <w:t>(TURF + VOTW + MCAF + Performance Database)</w:t>
            </w:r>
          </w:p>
        </w:tc>
        <w:tc>
          <w:tcPr>
            <w:tcW w:w="0" w:type="auto"/>
            <w:vAlign w:val="center"/>
            <w:hideMark/>
          </w:tcPr>
          <w:p w14:paraId="1C80BA3B" w14:textId="77777777" w:rsidR="001204BE" w:rsidRPr="001204BE" w:rsidRDefault="001204BE" w:rsidP="001204BE">
            <w:r w:rsidRPr="001204BE">
              <w:t>Memo generation, scoring, and fund ratings. Sold to GPs, consumed by LPs and consultants.</w:t>
            </w:r>
          </w:p>
        </w:tc>
      </w:tr>
      <w:tr w:rsidR="001204BE" w:rsidRPr="001204BE" w14:paraId="399E5727" w14:textId="77777777" w:rsidTr="001204BE">
        <w:trPr>
          <w:tblCellSpacing w:w="15" w:type="dxa"/>
        </w:trPr>
        <w:tc>
          <w:tcPr>
            <w:tcW w:w="0" w:type="auto"/>
            <w:vAlign w:val="center"/>
            <w:hideMark/>
          </w:tcPr>
          <w:p w14:paraId="5652D7C3" w14:textId="77777777" w:rsidR="001204BE" w:rsidRPr="001204BE" w:rsidRDefault="001204BE" w:rsidP="001204BE">
            <w:r w:rsidRPr="001204BE">
              <w:rPr>
                <w:b/>
                <w:bCs/>
              </w:rPr>
              <w:t>Fund &amp; Deal Pipeline Engine</w:t>
            </w:r>
          </w:p>
        </w:tc>
        <w:tc>
          <w:tcPr>
            <w:tcW w:w="0" w:type="auto"/>
            <w:vAlign w:val="center"/>
            <w:hideMark/>
          </w:tcPr>
          <w:p w14:paraId="432C36D2" w14:textId="77777777" w:rsidR="001204BE" w:rsidRPr="001204BE" w:rsidRDefault="001204BE" w:rsidP="001204BE">
            <w:r w:rsidRPr="001204BE">
              <w:rPr>
                <w:rFonts w:ascii="Segoe UI Emoji" w:hAnsi="Segoe UI Emoji" w:cs="Segoe UI Emoji"/>
              </w:rPr>
              <w:t>✅</w:t>
            </w:r>
            <w:r w:rsidRPr="001204BE">
              <w:t xml:space="preserve"> Pipeline </w:t>
            </w:r>
            <w:r w:rsidRPr="001204BE">
              <w:rPr>
                <w:rFonts w:ascii="Segoe UI Emoji" w:hAnsi="Segoe UI Emoji" w:cs="Segoe UI Emoji"/>
              </w:rPr>
              <w:t>✅</w:t>
            </w:r>
            <w:r w:rsidRPr="001204BE">
              <w:t xml:space="preserve"> AI Underwriting Capability</w:t>
            </w:r>
          </w:p>
        </w:tc>
        <w:tc>
          <w:tcPr>
            <w:tcW w:w="0" w:type="auto"/>
            <w:vAlign w:val="center"/>
            <w:hideMark/>
          </w:tcPr>
          <w:p w14:paraId="123FEE1C" w14:textId="77777777" w:rsidR="001204BE" w:rsidRPr="001204BE" w:rsidRDefault="001204BE" w:rsidP="001204BE">
            <w:r w:rsidRPr="001204BE">
              <w:t>LP-side portfolio gap analysis + GP-side pipeline exposure. AI Underwriting used to prioritize matches.</w:t>
            </w:r>
          </w:p>
        </w:tc>
      </w:tr>
      <w:tr w:rsidR="001204BE" w:rsidRPr="001204BE" w14:paraId="2B8A7115" w14:textId="77777777" w:rsidTr="001204BE">
        <w:trPr>
          <w:tblCellSpacing w:w="15" w:type="dxa"/>
        </w:trPr>
        <w:tc>
          <w:tcPr>
            <w:tcW w:w="0" w:type="auto"/>
            <w:vAlign w:val="center"/>
            <w:hideMark/>
          </w:tcPr>
          <w:p w14:paraId="0A8248BD" w14:textId="77777777" w:rsidR="001204BE" w:rsidRPr="001204BE" w:rsidRDefault="001204BE" w:rsidP="001204BE">
            <w:r w:rsidRPr="001204BE">
              <w:rPr>
                <w:b/>
                <w:bCs/>
              </w:rPr>
              <w:t>GP Advisory (via JV/affiliate)</w:t>
            </w:r>
          </w:p>
        </w:tc>
        <w:tc>
          <w:tcPr>
            <w:tcW w:w="0" w:type="auto"/>
            <w:vAlign w:val="center"/>
            <w:hideMark/>
          </w:tcPr>
          <w:p w14:paraId="432D3EC5" w14:textId="77777777" w:rsidR="001204BE" w:rsidRPr="001204BE" w:rsidRDefault="001204BE" w:rsidP="001204BE">
            <w:r w:rsidRPr="001204BE">
              <w:rPr>
                <w:rFonts w:ascii="Segoe UI Emoji" w:hAnsi="Segoe UI Emoji" w:cs="Segoe UI Emoji"/>
              </w:rPr>
              <w:t>✅</w:t>
            </w:r>
            <w:r w:rsidRPr="001204BE">
              <w:t xml:space="preserve"> TURF </w:t>
            </w:r>
            <w:r w:rsidRPr="001204BE">
              <w:rPr>
                <w:rFonts w:ascii="Segoe UI Emoji" w:hAnsi="Segoe UI Emoji" w:cs="Segoe UI Emoji"/>
              </w:rPr>
              <w:t>✅</w:t>
            </w:r>
            <w:r w:rsidRPr="001204BE">
              <w:t xml:space="preserve"> VOTW </w:t>
            </w:r>
            <w:r w:rsidRPr="001204BE">
              <w:rPr>
                <w:rFonts w:ascii="Segoe UI Emoji" w:hAnsi="Segoe UI Emoji" w:cs="Segoe UI Emoji"/>
              </w:rPr>
              <w:t>✅</w:t>
            </w:r>
            <w:r w:rsidRPr="001204BE">
              <w:t xml:space="preserve"> MCAF </w:t>
            </w:r>
            <w:r w:rsidRPr="001204BE">
              <w:rPr>
                <w:rFonts w:ascii="Segoe UI Emoji" w:hAnsi="Segoe UI Emoji" w:cs="Segoe UI Emoji"/>
              </w:rPr>
              <w:t>✅</w:t>
            </w:r>
            <w:r w:rsidRPr="001204BE">
              <w:t xml:space="preserve"> Performance Database </w:t>
            </w:r>
            <w:r w:rsidRPr="001204BE">
              <w:rPr>
                <w:rFonts w:ascii="Segoe UI Emoji" w:hAnsi="Segoe UI Emoji" w:cs="Segoe UI Emoji"/>
              </w:rPr>
              <w:t>✅</w:t>
            </w:r>
            <w:r w:rsidRPr="001204BE">
              <w:t xml:space="preserve"> Brand &amp; Network</w:t>
            </w:r>
          </w:p>
        </w:tc>
        <w:tc>
          <w:tcPr>
            <w:tcW w:w="0" w:type="auto"/>
            <w:vAlign w:val="center"/>
            <w:hideMark/>
          </w:tcPr>
          <w:p w14:paraId="39CDE9AD" w14:textId="77777777" w:rsidR="001204BE" w:rsidRPr="001204BE" w:rsidRDefault="001204BE" w:rsidP="001204BE">
            <w:r w:rsidRPr="001204BE">
              <w:t>Benchmarking, fund strategy, GTM support—delivered outside fiduciary structure.</w:t>
            </w:r>
          </w:p>
        </w:tc>
      </w:tr>
      <w:tr w:rsidR="001204BE" w:rsidRPr="001204BE" w14:paraId="08E97BD4" w14:textId="77777777" w:rsidTr="001204BE">
        <w:trPr>
          <w:tblCellSpacing w:w="15" w:type="dxa"/>
        </w:trPr>
        <w:tc>
          <w:tcPr>
            <w:tcW w:w="0" w:type="auto"/>
            <w:vAlign w:val="center"/>
            <w:hideMark/>
          </w:tcPr>
          <w:p w14:paraId="7921074B" w14:textId="77777777" w:rsidR="001204BE" w:rsidRPr="001204BE" w:rsidRDefault="001204BE" w:rsidP="001204BE">
            <w:r w:rsidRPr="001204BE">
              <w:rPr>
                <w:b/>
                <w:bCs/>
              </w:rPr>
              <w:t>AI Capital Advisory</w:t>
            </w:r>
          </w:p>
        </w:tc>
        <w:tc>
          <w:tcPr>
            <w:tcW w:w="0" w:type="auto"/>
            <w:vAlign w:val="center"/>
            <w:hideMark/>
          </w:tcPr>
          <w:p w14:paraId="0321D231" w14:textId="77777777" w:rsidR="001204BE" w:rsidRPr="001204BE" w:rsidRDefault="001204BE" w:rsidP="001204BE">
            <w:r w:rsidRPr="001204BE">
              <w:rPr>
                <w:rFonts w:ascii="Segoe UI Emoji" w:hAnsi="Segoe UI Emoji" w:cs="Segoe UI Emoji"/>
              </w:rPr>
              <w:t>✅</w:t>
            </w:r>
            <w:r w:rsidRPr="001204BE">
              <w:t xml:space="preserve"> AI Underwriting Capability </w:t>
            </w:r>
            <w:r w:rsidRPr="001204BE">
              <w:rPr>
                <w:rFonts w:ascii="Segoe UI Emoji" w:hAnsi="Segoe UI Emoji" w:cs="Segoe UI Emoji"/>
              </w:rPr>
              <w:t>✅</w:t>
            </w:r>
            <w:r w:rsidRPr="001204BE">
              <w:t xml:space="preserve"> Brand &amp; Network</w:t>
            </w:r>
          </w:p>
        </w:tc>
        <w:tc>
          <w:tcPr>
            <w:tcW w:w="0" w:type="auto"/>
            <w:vAlign w:val="center"/>
            <w:hideMark/>
          </w:tcPr>
          <w:p w14:paraId="438964B6" w14:textId="77777777" w:rsidR="001204BE" w:rsidRPr="001204BE" w:rsidRDefault="001204BE" w:rsidP="001204BE">
            <w:r w:rsidRPr="001204BE">
              <w:t>Intelligent deal matching + M&amp;A enablement; credibility matters for institutional adoption.</w:t>
            </w:r>
          </w:p>
        </w:tc>
      </w:tr>
      <w:tr w:rsidR="001204BE" w:rsidRPr="001204BE" w14:paraId="72301F18" w14:textId="77777777" w:rsidTr="001204BE">
        <w:trPr>
          <w:tblCellSpacing w:w="15" w:type="dxa"/>
        </w:trPr>
        <w:tc>
          <w:tcPr>
            <w:tcW w:w="0" w:type="auto"/>
            <w:vAlign w:val="center"/>
            <w:hideMark/>
          </w:tcPr>
          <w:p w14:paraId="0040391B" w14:textId="77777777" w:rsidR="001204BE" w:rsidRPr="001204BE" w:rsidRDefault="001204BE" w:rsidP="001204BE">
            <w:r w:rsidRPr="001204BE">
              <w:rPr>
                <w:b/>
                <w:bCs/>
              </w:rPr>
              <w:t>Secondary Marketplace</w:t>
            </w:r>
          </w:p>
        </w:tc>
        <w:tc>
          <w:tcPr>
            <w:tcW w:w="0" w:type="auto"/>
            <w:vAlign w:val="center"/>
            <w:hideMark/>
          </w:tcPr>
          <w:p w14:paraId="3ADB600E" w14:textId="77777777" w:rsidR="001204BE" w:rsidRPr="001204BE" w:rsidRDefault="001204BE" w:rsidP="001204BE">
            <w:r w:rsidRPr="001204BE">
              <w:rPr>
                <w:rFonts w:ascii="Segoe UI Emoji" w:hAnsi="Segoe UI Emoji" w:cs="Segoe UI Emoji"/>
              </w:rPr>
              <w:t>✅</w:t>
            </w:r>
            <w:r w:rsidRPr="001204BE">
              <w:t xml:space="preserve"> AI Underwriting Capability </w:t>
            </w:r>
            <w:r w:rsidRPr="001204BE">
              <w:rPr>
                <w:rFonts w:ascii="Segoe UI Emoji" w:hAnsi="Segoe UI Emoji" w:cs="Segoe UI Emoji"/>
              </w:rPr>
              <w:t>✅</w:t>
            </w:r>
            <w:r w:rsidRPr="001204BE">
              <w:t xml:space="preserve"> Pipeline </w:t>
            </w:r>
            <w:r w:rsidRPr="001204BE">
              <w:rPr>
                <w:rFonts w:ascii="Segoe UI Emoji" w:hAnsi="Segoe UI Emoji" w:cs="Segoe UI Emoji"/>
              </w:rPr>
              <w:t>✅</w:t>
            </w:r>
            <w:r w:rsidRPr="001204BE">
              <w:t xml:space="preserve"> Brand &amp; Network</w:t>
            </w:r>
          </w:p>
        </w:tc>
        <w:tc>
          <w:tcPr>
            <w:tcW w:w="0" w:type="auto"/>
            <w:vAlign w:val="center"/>
            <w:hideMark/>
          </w:tcPr>
          <w:p w14:paraId="0D00C91D" w14:textId="77777777" w:rsidR="001204BE" w:rsidRPr="001204BE" w:rsidRDefault="001204BE" w:rsidP="001204BE">
            <w:r w:rsidRPr="001204BE">
              <w:t>AI suggests buy/sell actions. Success relies on transaction flow and trust from both LPs and GPs.</w:t>
            </w:r>
          </w:p>
        </w:tc>
      </w:tr>
    </w:tbl>
    <w:p w14:paraId="7442CEDB" w14:textId="47D3BF95" w:rsidR="00EF395F" w:rsidRDefault="00EF395F" w:rsidP="007177FA"/>
    <w:p w14:paraId="2169844F" w14:textId="77777777" w:rsidR="00EF395F" w:rsidRDefault="00EF395F">
      <w:r>
        <w:br w:type="page"/>
      </w:r>
    </w:p>
    <w:p w14:paraId="56D86CD3" w14:textId="0A39FDD9" w:rsidR="00DA666D" w:rsidRPr="00EF395F" w:rsidRDefault="00EF395F" w:rsidP="00EF395F">
      <w:pPr>
        <w:jc w:val="center"/>
        <w:rPr>
          <w:b/>
          <w:bCs/>
        </w:rPr>
      </w:pPr>
      <w:r w:rsidRPr="00EF395F">
        <w:rPr>
          <w:b/>
          <w:bCs/>
        </w:rPr>
        <w:lastRenderedPageBreak/>
        <w:t>DETAILED PRODUCT DESCRIPTION</w:t>
      </w:r>
    </w:p>
    <w:p w14:paraId="451CB754" w14:textId="77777777" w:rsidR="002F02A3" w:rsidRPr="002F02A3" w:rsidRDefault="002F02A3" w:rsidP="002F02A3">
      <w:pPr>
        <w:rPr>
          <w:b/>
          <w:bCs/>
        </w:rPr>
      </w:pPr>
      <w:r w:rsidRPr="002F02A3">
        <w:rPr>
          <w:b/>
          <w:bCs/>
        </w:rPr>
        <w:t>1. Smart Benchmarking</w:t>
      </w:r>
    </w:p>
    <w:p w14:paraId="79B1DB94" w14:textId="77777777" w:rsidR="002F02A3" w:rsidRPr="002F02A3" w:rsidRDefault="002F02A3" w:rsidP="002F02A3">
      <w:r w:rsidRPr="002F02A3">
        <w:rPr>
          <w:i/>
          <w:iCs/>
        </w:rPr>
        <w:t>Real estate, infrastructure, agriculture, and timber performance benchmarking platform.</w:t>
      </w:r>
    </w:p>
    <w:p w14:paraId="3741BEFE" w14:textId="77777777" w:rsidR="002F02A3" w:rsidRPr="002F02A3" w:rsidRDefault="00000000" w:rsidP="002F02A3">
      <w:r>
        <w:pict w14:anchorId="29E7163B">
          <v:rect id="_x0000_i1031" style="width:0;height:1.5pt" o:hralign="center" o:hrstd="t" o:hr="t" fillcolor="#a0a0a0" stroked="f"/>
        </w:pict>
      </w:r>
    </w:p>
    <w:p w14:paraId="7048E46C" w14:textId="77777777" w:rsidR="002F02A3" w:rsidRPr="002F02A3" w:rsidRDefault="002F02A3" w:rsidP="002F02A3">
      <w:pPr>
        <w:rPr>
          <w:b/>
          <w:bCs/>
        </w:rPr>
      </w:pPr>
      <w:r w:rsidRPr="002F02A3">
        <w:rPr>
          <w:b/>
          <w:bCs/>
        </w:rPr>
        <w:t>A. What the Product Does (Functionality)</w:t>
      </w:r>
    </w:p>
    <w:p w14:paraId="376FEE62" w14:textId="77777777" w:rsidR="002F02A3" w:rsidRPr="002F02A3" w:rsidRDefault="002F02A3" w:rsidP="002F02A3">
      <w:r w:rsidRPr="002F02A3">
        <w:t>Smart Benchmarking provides TownsendAI clients with access to strategy-, sector-, region-, and vintage-specific performance indices derived from Townsend’s proprietary fund performance databases.</w:t>
      </w:r>
    </w:p>
    <w:p w14:paraId="5C18F5D9" w14:textId="77777777" w:rsidR="002F02A3" w:rsidRPr="002F02A3" w:rsidRDefault="002F02A3" w:rsidP="002F02A3">
      <w:r w:rsidRPr="002F02A3">
        <w:rPr>
          <w:b/>
          <w:bCs/>
        </w:rPr>
        <w:t>Key features:</w:t>
      </w:r>
    </w:p>
    <w:p w14:paraId="449C7447" w14:textId="77777777" w:rsidR="002F02A3" w:rsidRPr="002F02A3" w:rsidRDefault="002F02A3" w:rsidP="002F02A3">
      <w:pPr>
        <w:numPr>
          <w:ilvl w:val="0"/>
          <w:numId w:val="19"/>
        </w:numPr>
      </w:pPr>
      <w:r w:rsidRPr="002F02A3">
        <w:rPr>
          <w:b/>
          <w:bCs/>
        </w:rPr>
        <w:t>Benchmark segmentation:</w:t>
      </w:r>
    </w:p>
    <w:p w14:paraId="41259798" w14:textId="77777777" w:rsidR="002F02A3" w:rsidRPr="002F02A3" w:rsidRDefault="002F02A3" w:rsidP="002F02A3">
      <w:pPr>
        <w:numPr>
          <w:ilvl w:val="1"/>
          <w:numId w:val="19"/>
        </w:numPr>
      </w:pPr>
      <w:r w:rsidRPr="002F02A3">
        <w:rPr>
          <w:b/>
          <w:bCs/>
        </w:rPr>
        <w:t>Strategy Type:</w:t>
      </w:r>
      <w:r w:rsidRPr="002F02A3">
        <w:t xml:space="preserve"> Income-oriented (e.g., stabilized) and alpha-seeking (e.g., value-add/opportunistic)</w:t>
      </w:r>
    </w:p>
    <w:p w14:paraId="5A3566DA" w14:textId="77777777" w:rsidR="002F02A3" w:rsidRPr="002F02A3" w:rsidRDefault="002F02A3" w:rsidP="002F02A3">
      <w:pPr>
        <w:numPr>
          <w:ilvl w:val="1"/>
          <w:numId w:val="19"/>
        </w:numPr>
      </w:pPr>
      <w:r w:rsidRPr="002F02A3">
        <w:rPr>
          <w:b/>
          <w:bCs/>
        </w:rPr>
        <w:t>Asset Class:</w:t>
      </w:r>
      <w:r w:rsidRPr="002F02A3">
        <w:t xml:space="preserve"> Real estate, infrastructure, agriculture, timber</w:t>
      </w:r>
    </w:p>
    <w:p w14:paraId="4DB7A1B8" w14:textId="77777777" w:rsidR="002F02A3" w:rsidRPr="002F02A3" w:rsidRDefault="002F02A3" w:rsidP="002F02A3">
      <w:pPr>
        <w:numPr>
          <w:ilvl w:val="1"/>
          <w:numId w:val="19"/>
        </w:numPr>
      </w:pPr>
      <w:r w:rsidRPr="002F02A3">
        <w:rPr>
          <w:b/>
          <w:bCs/>
        </w:rPr>
        <w:t>Geography:</w:t>
      </w:r>
      <w:r w:rsidRPr="002F02A3">
        <w:t xml:space="preserve"> North America, Europe, Asia</w:t>
      </w:r>
    </w:p>
    <w:p w14:paraId="18C3F899" w14:textId="77777777" w:rsidR="002F02A3" w:rsidRPr="002F02A3" w:rsidRDefault="002F02A3" w:rsidP="002F02A3">
      <w:pPr>
        <w:numPr>
          <w:ilvl w:val="1"/>
          <w:numId w:val="19"/>
        </w:numPr>
      </w:pPr>
      <w:r w:rsidRPr="002F02A3">
        <w:rPr>
          <w:b/>
          <w:bCs/>
        </w:rPr>
        <w:t>Sector:</w:t>
      </w:r>
      <w:r w:rsidRPr="002F02A3">
        <w:t xml:space="preserve"> Industrial, retail, office, logistics, housing, data centers, renewables, timberland, farmland, etc.</w:t>
      </w:r>
    </w:p>
    <w:p w14:paraId="3124B683" w14:textId="77777777" w:rsidR="002F02A3" w:rsidRPr="002F02A3" w:rsidRDefault="002F02A3" w:rsidP="002F02A3">
      <w:pPr>
        <w:numPr>
          <w:ilvl w:val="0"/>
          <w:numId w:val="19"/>
        </w:numPr>
      </w:pPr>
      <w:r w:rsidRPr="002F02A3">
        <w:rPr>
          <w:b/>
          <w:bCs/>
        </w:rPr>
        <w:t>Benchmark outputs:</w:t>
      </w:r>
    </w:p>
    <w:p w14:paraId="687A8A84" w14:textId="77777777" w:rsidR="002F02A3" w:rsidRPr="002F02A3" w:rsidRDefault="002F02A3" w:rsidP="002F02A3">
      <w:pPr>
        <w:numPr>
          <w:ilvl w:val="1"/>
          <w:numId w:val="19"/>
        </w:numPr>
      </w:pPr>
      <w:r w:rsidRPr="002F02A3">
        <w:t>Net and gross IRRs</w:t>
      </w:r>
    </w:p>
    <w:p w14:paraId="4020DC5E" w14:textId="77777777" w:rsidR="002F02A3" w:rsidRPr="002F02A3" w:rsidRDefault="002F02A3" w:rsidP="002F02A3">
      <w:pPr>
        <w:numPr>
          <w:ilvl w:val="1"/>
          <w:numId w:val="19"/>
        </w:numPr>
      </w:pPr>
      <w:r w:rsidRPr="002F02A3">
        <w:t>Equity multiples</w:t>
      </w:r>
    </w:p>
    <w:p w14:paraId="47B2EA00" w14:textId="77777777" w:rsidR="002F02A3" w:rsidRPr="002F02A3" w:rsidRDefault="002F02A3" w:rsidP="002F02A3">
      <w:pPr>
        <w:numPr>
          <w:ilvl w:val="1"/>
          <w:numId w:val="19"/>
        </w:numPr>
      </w:pPr>
      <w:r w:rsidRPr="002F02A3">
        <w:t>Cap rate spreads</w:t>
      </w:r>
    </w:p>
    <w:p w14:paraId="35C7D266" w14:textId="77777777" w:rsidR="002F02A3" w:rsidRPr="002F02A3" w:rsidRDefault="002F02A3" w:rsidP="002F02A3">
      <w:pPr>
        <w:numPr>
          <w:ilvl w:val="1"/>
          <w:numId w:val="19"/>
        </w:numPr>
      </w:pPr>
      <w:r w:rsidRPr="002F02A3">
        <w:t>Fund dispersion</w:t>
      </w:r>
    </w:p>
    <w:p w14:paraId="4DDF6912" w14:textId="77777777" w:rsidR="002F02A3" w:rsidRPr="002F02A3" w:rsidRDefault="002F02A3" w:rsidP="002F02A3">
      <w:pPr>
        <w:numPr>
          <w:ilvl w:val="1"/>
          <w:numId w:val="19"/>
        </w:numPr>
      </w:pPr>
      <w:r w:rsidRPr="002F02A3">
        <w:t>Sharpe ratios and other risk-adjusted metrics</w:t>
      </w:r>
    </w:p>
    <w:p w14:paraId="0ECEC576" w14:textId="77777777" w:rsidR="002F02A3" w:rsidRPr="002F02A3" w:rsidRDefault="002F02A3" w:rsidP="002F02A3">
      <w:pPr>
        <w:numPr>
          <w:ilvl w:val="0"/>
          <w:numId w:val="19"/>
        </w:numPr>
      </w:pPr>
      <w:r w:rsidRPr="002F02A3">
        <w:rPr>
          <w:b/>
          <w:bCs/>
        </w:rPr>
        <w:t>Delivery channels:</w:t>
      </w:r>
    </w:p>
    <w:p w14:paraId="2D7A0541" w14:textId="77777777" w:rsidR="002F02A3" w:rsidRPr="002F02A3" w:rsidRDefault="002F02A3" w:rsidP="002F02A3">
      <w:pPr>
        <w:numPr>
          <w:ilvl w:val="1"/>
          <w:numId w:val="19"/>
        </w:numPr>
      </w:pPr>
      <w:r w:rsidRPr="002F02A3">
        <w:t>Interactive dashboards (peer group filtering, sector/vintage slicing)</w:t>
      </w:r>
    </w:p>
    <w:p w14:paraId="3D2849BB" w14:textId="77777777" w:rsidR="002F02A3" w:rsidRPr="002F02A3" w:rsidRDefault="002F02A3" w:rsidP="002F02A3">
      <w:pPr>
        <w:numPr>
          <w:ilvl w:val="1"/>
          <w:numId w:val="19"/>
        </w:numPr>
      </w:pPr>
      <w:r w:rsidRPr="002F02A3">
        <w:t>Downloadable reports</w:t>
      </w:r>
    </w:p>
    <w:p w14:paraId="4DA170D6" w14:textId="77777777" w:rsidR="002F02A3" w:rsidRPr="002F02A3" w:rsidRDefault="002F02A3" w:rsidP="002F02A3">
      <w:pPr>
        <w:numPr>
          <w:ilvl w:val="1"/>
          <w:numId w:val="19"/>
        </w:numPr>
      </w:pPr>
      <w:r w:rsidRPr="002F02A3">
        <w:t>API access for integration with LP systems or consultant workflows</w:t>
      </w:r>
    </w:p>
    <w:p w14:paraId="45729CC8" w14:textId="77777777" w:rsidR="002F02A3" w:rsidRPr="002F02A3" w:rsidRDefault="00000000" w:rsidP="002F02A3">
      <w:r>
        <w:pict w14:anchorId="214C980C">
          <v:rect id="_x0000_i1032" style="width:0;height:1.5pt" o:hralign="center" o:hrstd="t" o:hr="t" fillcolor="#a0a0a0" stroked="f"/>
        </w:pict>
      </w:r>
    </w:p>
    <w:p w14:paraId="58F572BB" w14:textId="77777777" w:rsidR="002F02A3" w:rsidRPr="002F02A3" w:rsidRDefault="002F02A3" w:rsidP="002F02A3">
      <w:pPr>
        <w:rPr>
          <w:b/>
          <w:bCs/>
        </w:rPr>
      </w:pPr>
      <w:bookmarkStart w:id="0" w:name="_Hlk213062583"/>
      <w:r w:rsidRPr="002F02A3">
        <w:rPr>
          <w:b/>
          <w:bCs/>
        </w:rPr>
        <w:lastRenderedPageBreak/>
        <w:t>B. Target Clients and Their Key Use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7"/>
        <w:gridCol w:w="7083"/>
      </w:tblGrid>
      <w:tr w:rsidR="002F02A3" w:rsidRPr="002F02A3" w14:paraId="0EABBC40" w14:textId="77777777" w:rsidTr="002F02A3">
        <w:trPr>
          <w:tblHeader/>
          <w:tblCellSpacing w:w="15" w:type="dxa"/>
        </w:trPr>
        <w:tc>
          <w:tcPr>
            <w:tcW w:w="0" w:type="auto"/>
            <w:vAlign w:val="center"/>
            <w:hideMark/>
          </w:tcPr>
          <w:bookmarkEnd w:id="0"/>
          <w:p w14:paraId="5B3F541D" w14:textId="77777777" w:rsidR="002F02A3" w:rsidRPr="002F02A3" w:rsidRDefault="002F02A3" w:rsidP="002F02A3">
            <w:pPr>
              <w:rPr>
                <w:b/>
                <w:bCs/>
              </w:rPr>
            </w:pPr>
            <w:r w:rsidRPr="002F02A3">
              <w:rPr>
                <w:b/>
                <w:bCs/>
              </w:rPr>
              <w:t>Client Type</w:t>
            </w:r>
          </w:p>
        </w:tc>
        <w:tc>
          <w:tcPr>
            <w:tcW w:w="0" w:type="auto"/>
            <w:vAlign w:val="center"/>
            <w:hideMark/>
          </w:tcPr>
          <w:p w14:paraId="278AB0C2" w14:textId="77777777" w:rsidR="002F02A3" w:rsidRPr="002F02A3" w:rsidRDefault="002F02A3" w:rsidP="002F02A3">
            <w:pPr>
              <w:rPr>
                <w:b/>
                <w:bCs/>
              </w:rPr>
            </w:pPr>
            <w:r w:rsidRPr="002F02A3">
              <w:rPr>
                <w:b/>
                <w:bCs/>
              </w:rPr>
              <w:t>Use Cases</w:t>
            </w:r>
          </w:p>
        </w:tc>
      </w:tr>
      <w:tr w:rsidR="002F02A3" w:rsidRPr="002F02A3" w14:paraId="42D4BA79" w14:textId="77777777" w:rsidTr="002F02A3">
        <w:trPr>
          <w:tblCellSpacing w:w="15" w:type="dxa"/>
        </w:trPr>
        <w:tc>
          <w:tcPr>
            <w:tcW w:w="0" w:type="auto"/>
            <w:vAlign w:val="center"/>
            <w:hideMark/>
          </w:tcPr>
          <w:p w14:paraId="6D619872" w14:textId="77777777" w:rsidR="002F02A3" w:rsidRPr="002F02A3" w:rsidRDefault="002F02A3" w:rsidP="002F02A3">
            <w:bookmarkStart w:id="1" w:name="_Hlk213062619"/>
            <w:r w:rsidRPr="002F02A3">
              <w:rPr>
                <w:b/>
                <w:bCs/>
              </w:rPr>
              <w:t>Institutional LPs</w:t>
            </w:r>
          </w:p>
        </w:tc>
        <w:tc>
          <w:tcPr>
            <w:tcW w:w="0" w:type="auto"/>
            <w:vAlign w:val="center"/>
            <w:hideMark/>
          </w:tcPr>
          <w:p w14:paraId="54224C44" w14:textId="77777777" w:rsidR="002F02A3" w:rsidRPr="002F02A3" w:rsidRDefault="002F02A3" w:rsidP="002F02A3">
            <w:r w:rsidRPr="002F02A3">
              <w:t>Benchmark real estate and real asset portfolios; build sector and strategy performance comps</w:t>
            </w:r>
          </w:p>
        </w:tc>
      </w:tr>
      <w:tr w:rsidR="002F02A3" w:rsidRPr="002F02A3" w14:paraId="7C4D6A53" w14:textId="77777777" w:rsidTr="002F02A3">
        <w:trPr>
          <w:tblCellSpacing w:w="15" w:type="dxa"/>
        </w:trPr>
        <w:tc>
          <w:tcPr>
            <w:tcW w:w="0" w:type="auto"/>
            <w:vAlign w:val="center"/>
            <w:hideMark/>
          </w:tcPr>
          <w:p w14:paraId="760291C4" w14:textId="77777777" w:rsidR="002F02A3" w:rsidRPr="002F02A3" w:rsidRDefault="002F02A3" w:rsidP="002F02A3">
            <w:r w:rsidRPr="002F02A3">
              <w:rPr>
                <w:b/>
                <w:bCs/>
              </w:rPr>
              <w:t>GPs / Asset Managers</w:t>
            </w:r>
          </w:p>
        </w:tc>
        <w:tc>
          <w:tcPr>
            <w:tcW w:w="0" w:type="auto"/>
            <w:vAlign w:val="center"/>
            <w:hideMark/>
          </w:tcPr>
          <w:p w14:paraId="5B9EF5ED" w14:textId="77777777" w:rsidR="002F02A3" w:rsidRPr="002F02A3" w:rsidRDefault="002F02A3" w:rsidP="002F02A3">
            <w:r w:rsidRPr="002F02A3">
              <w:t>Compare fund performance to peer groups; design and promote strategy-aligned offerings</w:t>
            </w:r>
          </w:p>
        </w:tc>
      </w:tr>
      <w:tr w:rsidR="002F02A3" w:rsidRPr="002F02A3" w14:paraId="2B00F4DA" w14:textId="77777777" w:rsidTr="002F02A3">
        <w:trPr>
          <w:tblCellSpacing w:w="15" w:type="dxa"/>
        </w:trPr>
        <w:tc>
          <w:tcPr>
            <w:tcW w:w="0" w:type="auto"/>
            <w:vAlign w:val="center"/>
            <w:hideMark/>
          </w:tcPr>
          <w:p w14:paraId="40F4DB34" w14:textId="77777777" w:rsidR="002F02A3" w:rsidRPr="002F02A3" w:rsidRDefault="002F02A3" w:rsidP="002F02A3">
            <w:r w:rsidRPr="002F02A3">
              <w:rPr>
                <w:b/>
                <w:bCs/>
              </w:rPr>
              <w:t>Consultants</w:t>
            </w:r>
          </w:p>
        </w:tc>
        <w:tc>
          <w:tcPr>
            <w:tcW w:w="0" w:type="auto"/>
            <w:vAlign w:val="center"/>
            <w:hideMark/>
          </w:tcPr>
          <w:p w14:paraId="0C8A26D8" w14:textId="77777777" w:rsidR="002F02A3" w:rsidRPr="002F02A3" w:rsidRDefault="002F02A3" w:rsidP="002F02A3">
            <w:r w:rsidRPr="002F02A3">
              <w:t>Performance attribution; peer group analysis; client benchmarking and reporting</w:t>
            </w:r>
          </w:p>
        </w:tc>
      </w:tr>
      <w:tr w:rsidR="002F02A3" w:rsidRPr="002F02A3" w14:paraId="60C813E6" w14:textId="77777777" w:rsidTr="002F02A3">
        <w:trPr>
          <w:tblCellSpacing w:w="15" w:type="dxa"/>
        </w:trPr>
        <w:tc>
          <w:tcPr>
            <w:tcW w:w="0" w:type="auto"/>
            <w:vAlign w:val="center"/>
            <w:hideMark/>
          </w:tcPr>
          <w:p w14:paraId="5EBE1481" w14:textId="77777777" w:rsidR="002F02A3" w:rsidRPr="002F02A3" w:rsidRDefault="002F02A3" w:rsidP="002F02A3">
            <w:r w:rsidRPr="002F02A3">
              <w:rPr>
                <w:b/>
                <w:bCs/>
              </w:rPr>
              <w:t>Wealth Platforms</w:t>
            </w:r>
          </w:p>
        </w:tc>
        <w:tc>
          <w:tcPr>
            <w:tcW w:w="0" w:type="auto"/>
            <w:vAlign w:val="center"/>
            <w:hideMark/>
          </w:tcPr>
          <w:p w14:paraId="3D257361" w14:textId="77777777" w:rsidR="002F02A3" w:rsidRPr="002F02A3" w:rsidRDefault="002F02A3" w:rsidP="002F02A3">
            <w:r w:rsidRPr="002F02A3">
              <w:t>Offer smart beta real asset exposure; build index-linked SMA strategies</w:t>
            </w:r>
          </w:p>
        </w:tc>
      </w:tr>
      <w:tr w:rsidR="002F02A3" w:rsidRPr="002F02A3" w14:paraId="6934F20B" w14:textId="77777777" w:rsidTr="002F02A3">
        <w:trPr>
          <w:tblCellSpacing w:w="15" w:type="dxa"/>
        </w:trPr>
        <w:tc>
          <w:tcPr>
            <w:tcW w:w="0" w:type="auto"/>
            <w:vAlign w:val="center"/>
            <w:hideMark/>
          </w:tcPr>
          <w:p w14:paraId="76B03937" w14:textId="77777777" w:rsidR="002F02A3" w:rsidRPr="002F02A3" w:rsidRDefault="002F02A3" w:rsidP="002F02A3">
            <w:r w:rsidRPr="002F02A3">
              <w:rPr>
                <w:b/>
                <w:bCs/>
              </w:rPr>
              <w:t>Family Offices</w:t>
            </w:r>
          </w:p>
        </w:tc>
        <w:tc>
          <w:tcPr>
            <w:tcW w:w="0" w:type="auto"/>
            <w:vAlign w:val="center"/>
            <w:hideMark/>
          </w:tcPr>
          <w:p w14:paraId="618FEAF0" w14:textId="77777777" w:rsidR="002F02A3" w:rsidRPr="002F02A3" w:rsidRDefault="002F02A3" w:rsidP="002F02A3">
            <w:r w:rsidRPr="002F02A3">
              <w:t>Evaluate current managers or co-investments; align with institutional frameworks</w:t>
            </w:r>
          </w:p>
        </w:tc>
      </w:tr>
      <w:tr w:rsidR="002F02A3" w:rsidRPr="002F02A3" w14:paraId="414186AF" w14:textId="77777777" w:rsidTr="002F02A3">
        <w:trPr>
          <w:tblCellSpacing w:w="15" w:type="dxa"/>
        </w:trPr>
        <w:tc>
          <w:tcPr>
            <w:tcW w:w="0" w:type="auto"/>
            <w:vAlign w:val="center"/>
            <w:hideMark/>
          </w:tcPr>
          <w:p w14:paraId="2F368FAD" w14:textId="77777777" w:rsidR="002F02A3" w:rsidRPr="002F02A3" w:rsidRDefault="002F02A3" w:rsidP="002F02A3">
            <w:r w:rsidRPr="002F02A3">
              <w:rPr>
                <w:b/>
                <w:bCs/>
              </w:rPr>
              <w:t>Academia / Research</w:t>
            </w:r>
          </w:p>
        </w:tc>
        <w:tc>
          <w:tcPr>
            <w:tcW w:w="0" w:type="auto"/>
            <w:vAlign w:val="center"/>
            <w:hideMark/>
          </w:tcPr>
          <w:p w14:paraId="5B32A71A" w14:textId="77777777" w:rsidR="002F02A3" w:rsidRPr="002F02A3" w:rsidRDefault="002F02A3" w:rsidP="002F02A3">
            <w:r w:rsidRPr="002F02A3">
              <w:t>Use as source data for publications and advanced analytics</w:t>
            </w:r>
          </w:p>
        </w:tc>
      </w:tr>
      <w:bookmarkEnd w:id="1"/>
      <w:tr w:rsidR="002F02A3" w:rsidRPr="002F02A3" w14:paraId="1FA313E0" w14:textId="77777777" w:rsidTr="002F02A3">
        <w:trPr>
          <w:tblCellSpacing w:w="15" w:type="dxa"/>
        </w:trPr>
        <w:tc>
          <w:tcPr>
            <w:tcW w:w="0" w:type="auto"/>
            <w:vAlign w:val="center"/>
            <w:hideMark/>
          </w:tcPr>
          <w:p w14:paraId="09D8B32E" w14:textId="77777777" w:rsidR="002F02A3" w:rsidRPr="002F02A3" w:rsidRDefault="002F02A3" w:rsidP="002F02A3">
            <w:r w:rsidRPr="002F02A3">
              <w:rPr>
                <w:b/>
                <w:bCs/>
              </w:rPr>
              <w:t>Passive Product Creators</w:t>
            </w:r>
          </w:p>
        </w:tc>
        <w:tc>
          <w:tcPr>
            <w:tcW w:w="0" w:type="auto"/>
            <w:vAlign w:val="center"/>
            <w:hideMark/>
          </w:tcPr>
          <w:p w14:paraId="595EA9C0" w14:textId="77777777" w:rsidR="002F02A3" w:rsidRPr="002F02A3" w:rsidRDefault="002F02A3" w:rsidP="002F02A3">
            <w:r w:rsidRPr="002F02A3">
              <w:t>Use Townsend benchmarks as index inputs for passive vehicles (e.g., smart beta REIT funds, RE SMAs)</w:t>
            </w:r>
          </w:p>
        </w:tc>
      </w:tr>
    </w:tbl>
    <w:p w14:paraId="4E3E4C25" w14:textId="77777777" w:rsidR="002F02A3" w:rsidRPr="002F02A3" w:rsidRDefault="00000000" w:rsidP="002F02A3">
      <w:r>
        <w:pict w14:anchorId="1271D5B2">
          <v:rect id="_x0000_i1033" style="width:0;height:1.5pt" o:hralign="center" o:hrstd="t" o:hr="t" fillcolor="#a0a0a0" stroked="f"/>
        </w:pict>
      </w:r>
    </w:p>
    <w:p w14:paraId="46FC0421" w14:textId="77777777" w:rsidR="002F02A3" w:rsidRPr="002F02A3" w:rsidRDefault="002F02A3" w:rsidP="002F02A3">
      <w:pPr>
        <w:rPr>
          <w:b/>
          <w:bCs/>
        </w:rPr>
      </w:pPr>
      <w:r w:rsidRPr="002F02A3">
        <w:rPr>
          <w:b/>
          <w:bCs/>
        </w:rPr>
        <w:t>C. Development Status</w:t>
      </w:r>
    </w:p>
    <w:p w14:paraId="4D3733EA" w14:textId="77777777" w:rsidR="002F02A3" w:rsidRPr="002F02A3" w:rsidRDefault="002F02A3" w:rsidP="002F02A3">
      <w:r w:rsidRPr="002F02A3">
        <w:rPr>
          <w:b/>
          <w:bCs/>
        </w:rPr>
        <w:t>Benchmarks Currently Developed or Near Completion:</w:t>
      </w:r>
    </w:p>
    <w:p w14:paraId="59CF6E40" w14:textId="77777777" w:rsidR="002F02A3" w:rsidRPr="002F02A3" w:rsidRDefault="002F02A3" w:rsidP="002F02A3">
      <w:pPr>
        <w:numPr>
          <w:ilvl w:val="0"/>
          <w:numId w:val="20"/>
        </w:numPr>
      </w:pPr>
      <w:r w:rsidRPr="002F02A3">
        <w:t>U.S. Core Real Estate Benchmark</w:t>
      </w:r>
    </w:p>
    <w:p w14:paraId="05C569B7" w14:textId="77777777" w:rsidR="002F02A3" w:rsidRPr="002F02A3" w:rsidRDefault="002F02A3" w:rsidP="002F02A3">
      <w:pPr>
        <w:numPr>
          <w:ilvl w:val="0"/>
          <w:numId w:val="20"/>
        </w:numPr>
      </w:pPr>
      <w:r w:rsidRPr="002F02A3">
        <w:t>U.S. Core Plus Real Estate Benchmark</w:t>
      </w:r>
    </w:p>
    <w:p w14:paraId="01754A81" w14:textId="77777777" w:rsidR="002F02A3" w:rsidRPr="002F02A3" w:rsidRDefault="002F02A3" w:rsidP="002F02A3">
      <w:pPr>
        <w:numPr>
          <w:ilvl w:val="0"/>
          <w:numId w:val="20"/>
        </w:numPr>
      </w:pPr>
      <w:r w:rsidRPr="002F02A3">
        <w:t>U.S. Non-Core Real Estate Benchmark</w:t>
      </w:r>
    </w:p>
    <w:p w14:paraId="0BB7F31C" w14:textId="77777777" w:rsidR="002F02A3" w:rsidRPr="002F02A3" w:rsidRDefault="002F02A3" w:rsidP="002F02A3">
      <w:pPr>
        <w:numPr>
          <w:ilvl w:val="0"/>
          <w:numId w:val="20"/>
        </w:numPr>
      </w:pPr>
      <w:r w:rsidRPr="002F02A3">
        <w:t>Infrastructure Core Benchmark</w:t>
      </w:r>
    </w:p>
    <w:p w14:paraId="2AF62E26" w14:textId="77777777" w:rsidR="002F02A3" w:rsidRPr="002F02A3" w:rsidRDefault="002F02A3" w:rsidP="002F02A3">
      <w:pPr>
        <w:numPr>
          <w:ilvl w:val="0"/>
          <w:numId w:val="20"/>
        </w:numPr>
      </w:pPr>
      <w:r w:rsidRPr="002F02A3">
        <w:rPr>
          <w:i/>
          <w:iCs/>
        </w:rPr>
        <w:t>(Additional benchmarks in development across Europe, Asia, Ag, Timber, and by sector)</w:t>
      </w:r>
    </w:p>
    <w:p w14:paraId="415536E4" w14:textId="77777777" w:rsidR="002F02A3" w:rsidRPr="002F02A3" w:rsidRDefault="00000000" w:rsidP="002F02A3">
      <w:r>
        <w:pict w14:anchorId="341FDAE1">
          <v:rect id="_x0000_i1034" style="width:0;height:1.5pt" o:hralign="center" o:hrstd="t" o:hr="t" fillcolor="#a0a0a0" stroked="f"/>
        </w:pict>
      </w:r>
    </w:p>
    <w:p w14:paraId="7D27AB2B" w14:textId="77777777" w:rsidR="002F02A3" w:rsidRPr="002F02A3" w:rsidRDefault="002F02A3" w:rsidP="002F02A3">
      <w:pPr>
        <w:rPr>
          <w:b/>
          <w:bCs/>
        </w:rPr>
      </w:pPr>
      <w:r w:rsidRPr="002F02A3">
        <w:rPr>
          <w:b/>
          <w:bCs/>
        </w:rPr>
        <w:t>D. Next Steps and Responsibilities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9"/>
        <w:gridCol w:w="1941"/>
        <w:gridCol w:w="4940"/>
      </w:tblGrid>
      <w:tr w:rsidR="002F02A3" w:rsidRPr="002F02A3" w14:paraId="01884184" w14:textId="77777777" w:rsidTr="002F02A3">
        <w:trPr>
          <w:tblHeader/>
          <w:tblCellSpacing w:w="15" w:type="dxa"/>
        </w:trPr>
        <w:tc>
          <w:tcPr>
            <w:tcW w:w="0" w:type="auto"/>
            <w:vAlign w:val="center"/>
            <w:hideMark/>
          </w:tcPr>
          <w:p w14:paraId="75DE8D26" w14:textId="77777777" w:rsidR="002F02A3" w:rsidRPr="002F02A3" w:rsidRDefault="002F02A3" w:rsidP="002F02A3">
            <w:pPr>
              <w:rPr>
                <w:b/>
                <w:bCs/>
              </w:rPr>
            </w:pPr>
            <w:r w:rsidRPr="002F02A3">
              <w:rPr>
                <w:b/>
                <w:bCs/>
              </w:rPr>
              <w:lastRenderedPageBreak/>
              <w:t>Task</w:t>
            </w:r>
          </w:p>
        </w:tc>
        <w:tc>
          <w:tcPr>
            <w:tcW w:w="0" w:type="auto"/>
            <w:vAlign w:val="center"/>
            <w:hideMark/>
          </w:tcPr>
          <w:p w14:paraId="75D9E6CF" w14:textId="77777777" w:rsidR="002F02A3" w:rsidRPr="002F02A3" w:rsidRDefault="002F02A3" w:rsidP="002F02A3">
            <w:pPr>
              <w:rPr>
                <w:b/>
                <w:bCs/>
              </w:rPr>
            </w:pPr>
            <w:r w:rsidRPr="002F02A3">
              <w:rPr>
                <w:b/>
                <w:bCs/>
              </w:rPr>
              <w:t>Responsible Person(s)</w:t>
            </w:r>
          </w:p>
        </w:tc>
        <w:tc>
          <w:tcPr>
            <w:tcW w:w="0" w:type="auto"/>
            <w:vAlign w:val="center"/>
            <w:hideMark/>
          </w:tcPr>
          <w:p w14:paraId="437884B7" w14:textId="77777777" w:rsidR="002F02A3" w:rsidRPr="002F02A3" w:rsidRDefault="002F02A3" w:rsidP="002F02A3">
            <w:pPr>
              <w:rPr>
                <w:b/>
                <w:bCs/>
              </w:rPr>
            </w:pPr>
            <w:r w:rsidRPr="002F02A3">
              <w:rPr>
                <w:b/>
                <w:bCs/>
              </w:rPr>
              <w:t>Description</w:t>
            </w:r>
          </w:p>
        </w:tc>
      </w:tr>
      <w:tr w:rsidR="002F02A3" w:rsidRPr="002F02A3" w14:paraId="514B7947" w14:textId="77777777" w:rsidTr="002F02A3">
        <w:trPr>
          <w:tblCellSpacing w:w="15" w:type="dxa"/>
        </w:trPr>
        <w:tc>
          <w:tcPr>
            <w:tcW w:w="0" w:type="auto"/>
            <w:vAlign w:val="center"/>
            <w:hideMark/>
          </w:tcPr>
          <w:p w14:paraId="6346210B" w14:textId="77777777" w:rsidR="002F02A3" w:rsidRPr="002F02A3" w:rsidRDefault="002F02A3" w:rsidP="002F02A3">
            <w:r w:rsidRPr="002F02A3">
              <w:t>1. Benchmark Calculation (RE &amp; Infra)</w:t>
            </w:r>
          </w:p>
        </w:tc>
        <w:tc>
          <w:tcPr>
            <w:tcW w:w="0" w:type="auto"/>
            <w:vAlign w:val="center"/>
            <w:hideMark/>
          </w:tcPr>
          <w:p w14:paraId="146E96C4" w14:textId="77777777" w:rsidR="002F02A3" w:rsidRPr="002F02A3" w:rsidRDefault="002F02A3" w:rsidP="002F02A3">
            <w:r w:rsidRPr="002F02A3">
              <w:t>Nick Mone</w:t>
            </w:r>
          </w:p>
        </w:tc>
        <w:tc>
          <w:tcPr>
            <w:tcW w:w="0" w:type="auto"/>
            <w:vAlign w:val="center"/>
            <w:hideMark/>
          </w:tcPr>
          <w:p w14:paraId="719A8E21" w14:textId="77777777" w:rsidR="002F02A3" w:rsidRPr="002F02A3" w:rsidRDefault="002F02A3" w:rsidP="002F02A3">
            <w:r w:rsidRPr="002F02A3">
              <w:t>Build and finalize benchmark calculation logic for real estate and infra across strategy and region</w:t>
            </w:r>
          </w:p>
        </w:tc>
      </w:tr>
      <w:tr w:rsidR="002F02A3" w:rsidRPr="002F02A3" w14:paraId="7262CB45" w14:textId="77777777" w:rsidTr="002F02A3">
        <w:trPr>
          <w:tblCellSpacing w:w="15" w:type="dxa"/>
        </w:trPr>
        <w:tc>
          <w:tcPr>
            <w:tcW w:w="0" w:type="auto"/>
            <w:vAlign w:val="center"/>
            <w:hideMark/>
          </w:tcPr>
          <w:p w14:paraId="57788B35" w14:textId="77777777" w:rsidR="002F02A3" w:rsidRPr="002F02A3" w:rsidRDefault="002F02A3" w:rsidP="002F02A3">
            <w:r w:rsidRPr="002F02A3">
              <w:t>2. Methodology Development</w:t>
            </w:r>
          </w:p>
        </w:tc>
        <w:tc>
          <w:tcPr>
            <w:tcW w:w="0" w:type="auto"/>
            <w:vAlign w:val="center"/>
            <w:hideMark/>
          </w:tcPr>
          <w:p w14:paraId="4681581B" w14:textId="77777777" w:rsidR="002F02A3" w:rsidRPr="002F02A3" w:rsidRDefault="002F02A3" w:rsidP="002F02A3">
            <w:r w:rsidRPr="002F02A3">
              <w:t>Jay Long</w:t>
            </w:r>
          </w:p>
        </w:tc>
        <w:tc>
          <w:tcPr>
            <w:tcW w:w="0" w:type="auto"/>
            <w:vAlign w:val="center"/>
            <w:hideMark/>
          </w:tcPr>
          <w:p w14:paraId="6B1DD434" w14:textId="77777777" w:rsidR="002F02A3" w:rsidRPr="002F02A3" w:rsidRDefault="002F02A3" w:rsidP="002F02A3">
            <w:r w:rsidRPr="002F02A3">
              <w:t>Define firmwide calculation methodology: aggregation, weighting, return formulas, dispersion modeling</w:t>
            </w:r>
          </w:p>
        </w:tc>
      </w:tr>
      <w:tr w:rsidR="002F02A3" w:rsidRPr="002F02A3" w14:paraId="0F8D8B5E" w14:textId="77777777" w:rsidTr="002F02A3">
        <w:trPr>
          <w:tblCellSpacing w:w="15" w:type="dxa"/>
        </w:trPr>
        <w:tc>
          <w:tcPr>
            <w:tcW w:w="0" w:type="auto"/>
            <w:vAlign w:val="center"/>
            <w:hideMark/>
          </w:tcPr>
          <w:p w14:paraId="531D03FC" w14:textId="77777777" w:rsidR="002F02A3" w:rsidRPr="002F02A3" w:rsidRDefault="002F02A3" w:rsidP="002F02A3">
            <w:r w:rsidRPr="002F02A3">
              <w:t>3. Internal Policy for Index Usage</w:t>
            </w:r>
          </w:p>
        </w:tc>
        <w:tc>
          <w:tcPr>
            <w:tcW w:w="0" w:type="auto"/>
            <w:vAlign w:val="center"/>
            <w:hideMark/>
          </w:tcPr>
          <w:p w14:paraId="1B2EC65F" w14:textId="77777777" w:rsidR="002F02A3" w:rsidRPr="002F02A3" w:rsidRDefault="002F02A3" w:rsidP="002F02A3">
            <w:r w:rsidRPr="002F02A3">
              <w:t>Jay Long</w:t>
            </w:r>
          </w:p>
        </w:tc>
        <w:tc>
          <w:tcPr>
            <w:tcW w:w="0" w:type="auto"/>
            <w:vAlign w:val="center"/>
            <w:hideMark/>
          </w:tcPr>
          <w:p w14:paraId="6C7CEC99" w14:textId="77777777" w:rsidR="002F02A3" w:rsidRPr="002F02A3" w:rsidRDefault="002F02A3" w:rsidP="002F02A3">
            <w:r w:rsidRPr="002F02A3">
              <w:t>Develop guidance for underwriters on use of Townsend vs. external benchmarks (Preqin, Burgiss, etc.)</w:t>
            </w:r>
          </w:p>
        </w:tc>
      </w:tr>
      <w:tr w:rsidR="002F02A3" w:rsidRPr="002F02A3" w14:paraId="48228B30" w14:textId="77777777" w:rsidTr="002F02A3">
        <w:trPr>
          <w:tblCellSpacing w:w="15" w:type="dxa"/>
        </w:trPr>
        <w:tc>
          <w:tcPr>
            <w:tcW w:w="0" w:type="auto"/>
            <w:vAlign w:val="center"/>
            <w:hideMark/>
          </w:tcPr>
          <w:p w14:paraId="44284A46" w14:textId="77777777" w:rsidR="002F02A3" w:rsidRPr="002F02A3" w:rsidRDefault="002F02A3" w:rsidP="002F02A3">
            <w:r w:rsidRPr="002F02A3">
              <w:t>4. Data Compliance Framework</w:t>
            </w:r>
          </w:p>
        </w:tc>
        <w:tc>
          <w:tcPr>
            <w:tcW w:w="0" w:type="auto"/>
            <w:vAlign w:val="center"/>
            <w:hideMark/>
          </w:tcPr>
          <w:p w14:paraId="58B630F3" w14:textId="77777777" w:rsidR="002F02A3" w:rsidRPr="002F02A3" w:rsidRDefault="002F02A3" w:rsidP="002F02A3">
            <w:r w:rsidRPr="002F02A3">
              <w:t>Jay Long</w:t>
            </w:r>
          </w:p>
        </w:tc>
        <w:tc>
          <w:tcPr>
            <w:tcW w:w="0" w:type="auto"/>
            <w:vAlign w:val="center"/>
            <w:hideMark/>
          </w:tcPr>
          <w:p w14:paraId="6080CC17" w14:textId="77777777" w:rsidR="002F02A3" w:rsidRPr="002F02A3" w:rsidRDefault="002F02A3" w:rsidP="002F02A3">
            <w:r w:rsidRPr="002F02A3">
              <w:t>Establish policies and incentives to increase manager compliance with data submission requirements</w:t>
            </w:r>
          </w:p>
        </w:tc>
      </w:tr>
      <w:tr w:rsidR="002F02A3" w:rsidRPr="002F02A3" w14:paraId="43005ED7" w14:textId="77777777" w:rsidTr="002F02A3">
        <w:trPr>
          <w:tblCellSpacing w:w="15" w:type="dxa"/>
        </w:trPr>
        <w:tc>
          <w:tcPr>
            <w:tcW w:w="0" w:type="auto"/>
            <w:vAlign w:val="center"/>
            <w:hideMark/>
          </w:tcPr>
          <w:p w14:paraId="70427B70" w14:textId="77777777" w:rsidR="002F02A3" w:rsidRPr="002F02A3" w:rsidRDefault="002F02A3" w:rsidP="002F02A3">
            <w:r w:rsidRPr="002F02A3">
              <w:t>5. Data Gap Analysis</w:t>
            </w:r>
          </w:p>
        </w:tc>
        <w:tc>
          <w:tcPr>
            <w:tcW w:w="0" w:type="auto"/>
            <w:vAlign w:val="center"/>
            <w:hideMark/>
          </w:tcPr>
          <w:p w14:paraId="41867112" w14:textId="77777777" w:rsidR="002F02A3" w:rsidRPr="002F02A3" w:rsidRDefault="002F02A3" w:rsidP="002F02A3">
            <w:r w:rsidRPr="002F02A3">
              <w:t>Jay Long &amp; Nick Mone</w:t>
            </w:r>
          </w:p>
        </w:tc>
        <w:tc>
          <w:tcPr>
            <w:tcW w:w="0" w:type="auto"/>
            <w:vAlign w:val="center"/>
            <w:hideMark/>
          </w:tcPr>
          <w:p w14:paraId="5DACA344" w14:textId="77777777" w:rsidR="002F02A3" w:rsidRPr="002F02A3" w:rsidRDefault="002F02A3" w:rsidP="002F02A3">
            <w:r w:rsidRPr="002F02A3">
              <w:t>Identify coverage blind spots (by strategy, region, sector); recommend enhancements</w:t>
            </w:r>
          </w:p>
        </w:tc>
      </w:tr>
      <w:tr w:rsidR="002F02A3" w:rsidRPr="002F02A3" w14:paraId="0C71BDD8" w14:textId="77777777" w:rsidTr="002F02A3">
        <w:trPr>
          <w:tblCellSpacing w:w="15" w:type="dxa"/>
        </w:trPr>
        <w:tc>
          <w:tcPr>
            <w:tcW w:w="0" w:type="auto"/>
            <w:vAlign w:val="center"/>
            <w:hideMark/>
          </w:tcPr>
          <w:p w14:paraId="0043309B" w14:textId="77777777" w:rsidR="002F02A3" w:rsidRPr="002F02A3" w:rsidRDefault="002F02A3" w:rsidP="002F02A3">
            <w:r w:rsidRPr="002F02A3">
              <w:t>6. Ag &amp; Timber Benchmark Development</w:t>
            </w:r>
          </w:p>
        </w:tc>
        <w:tc>
          <w:tcPr>
            <w:tcW w:w="0" w:type="auto"/>
            <w:vAlign w:val="center"/>
            <w:hideMark/>
          </w:tcPr>
          <w:p w14:paraId="2CAC5D43" w14:textId="77777777" w:rsidR="002F02A3" w:rsidRPr="002F02A3" w:rsidRDefault="002F02A3" w:rsidP="002F02A3">
            <w:r w:rsidRPr="002F02A3">
              <w:t>Kevin Rivchun &amp; Nick Mone</w:t>
            </w:r>
          </w:p>
        </w:tc>
        <w:tc>
          <w:tcPr>
            <w:tcW w:w="0" w:type="auto"/>
            <w:vAlign w:val="center"/>
            <w:hideMark/>
          </w:tcPr>
          <w:p w14:paraId="6B829A99" w14:textId="77777777" w:rsidR="002F02A3" w:rsidRPr="002F02A3" w:rsidRDefault="002F02A3" w:rsidP="002F02A3">
            <w:r w:rsidRPr="002F02A3">
              <w:t>Build comparable benchmark methodologies and models for agriculture and timber asset classes</w:t>
            </w:r>
          </w:p>
        </w:tc>
      </w:tr>
    </w:tbl>
    <w:p w14:paraId="467ADBA1" w14:textId="7348B549" w:rsidR="002F02A3" w:rsidRDefault="002F02A3" w:rsidP="009F6263"/>
    <w:p w14:paraId="3CAF14E7" w14:textId="6605D3FC" w:rsidR="00DF1331" w:rsidRPr="005607ED" w:rsidRDefault="002F02A3" w:rsidP="00DF1331">
      <w:r>
        <w:br w:type="page"/>
      </w:r>
      <w:r w:rsidR="00DF1331" w:rsidRPr="00DF1331">
        <w:rPr>
          <w:b/>
          <w:bCs/>
        </w:rPr>
        <w:lastRenderedPageBreak/>
        <w:t>2. Forecasting &amp; Portfolio Strategy Engine</w:t>
      </w:r>
    </w:p>
    <w:p w14:paraId="23C1A6EE" w14:textId="77777777" w:rsidR="00DF1331" w:rsidRPr="00DF1331" w:rsidRDefault="00DF1331" w:rsidP="00DF1331">
      <w:r w:rsidRPr="00DF1331">
        <w:rPr>
          <w:i/>
          <w:iCs/>
        </w:rPr>
        <w:t>Forward-looking return forecasts, macroeconomic scenario planning, and portfolio optimization tools for real estate and real assets.</w:t>
      </w:r>
    </w:p>
    <w:p w14:paraId="572DB71A" w14:textId="77777777" w:rsidR="00DF1331" w:rsidRPr="00DF1331" w:rsidRDefault="00000000" w:rsidP="00DF1331">
      <w:r>
        <w:pict w14:anchorId="02A0A4EB">
          <v:rect id="_x0000_i1035" style="width:0;height:1.5pt" o:hralign="center" o:hrstd="t" o:hr="t" fillcolor="#a0a0a0" stroked="f"/>
        </w:pict>
      </w:r>
    </w:p>
    <w:p w14:paraId="0FD63498" w14:textId="77777777" w:rsidR="00DF1331" w:rsidRPr="00DF1331" w:rsidRDefault="00DF1331" w:rsidP="00DF1331">
      <w:pPr>
        <w:rPr>
          <w:b/>
          <w:bCs/>
        </w:rPr>
      </w:pPr>
      <w:r w:rsidRPr="00DF1331">
        <w:rPr>
          <w:b/>
          <w:bCs/>
        </w:rPr>
        <w:t>A. What the Product Does (Functionality)</w:t>
      </w:r>
    </w:p>
    <w:p w14:paraId="27AC5E06" w14:textId="77777777" w:rsidR="00DF1331" w:rsidRPr="00DF1331" w:rsidRDefault="00DF1331" w:rsidP="00DF1331">
      <w:r w:rsidRPr="00DF1331">
        <w:t>The Forecasting &amp; Portfolio Strategy Engine is TownsendAI’s predictive analytics platform, built on proprietary macroeconomic models, sector forecasts, and optimizer tools. It supports 6-year forecasts across multiple asset classes, regions, and economic scenarios.</w:t>
      </w:r>
    </w:p>
    <w:p w14:paraId="1A9FC581" w14:textId="77777777" w:rsidR="00DF1331" w:rsidRPr="00DF1331" w:rsidRDefault="00DF1331" w:rsidP="00DF1331">
      <w:pPr>
        <w:rPr>
          <w:b/>
          <w:bCs/>
        </w:rPr>
      </w:pPr>
      <w:r w:rsidRPr="00DF1331">
        <w:rPr>
          <w:b/>
          <w:bCs/>
        </w:rPr>
        <w:t>Core Modules:</w:t>
      </w:r>
    </w:p>
    <w:p w14:paraId="7E68979D" w14:textId="77777777" w:rsidR="00DF1331" w:rsidRPr="00DF1331" w:rsidRDefault="00DF1331" w:rsidP="00DF1331">
      <w:pPr>
        <w:numPr>
          <w:ilvl w:val="0"/>
          <w:numId w:val="21"/>
        </w:numPr>
      </w:pPr>
      <w:r w:rsidRPr="00DF1331">
        <w:rPr>
          <w:b/>
          <w:bCs/>
        </w:rPr>
        <w:t>Macroeconomic Scenario Forecasts (6-Year Horizon)</w:t>
      </w:r>
    </w:p>
    <w:p w14:paraId="0D8D5341" w14:textId="77777777" w:rsidR="00DF1331" w:rsidRPr="00DF1331" w:rsidRDefault="00DF1331" w:rsidP="00DF1331">
      <w:pPr>
        <w:numPr>
          <w:ilvl w:val="1"/>
          <w:numId w:val="21"/>
        </w:numPr>
      </w:pPr>
      <w:r w:rsidRPr="00DF1331">
        <w:rPr>
          <w:b/>
          <w:bCs/>
        </w:rPr>
        <w:t>Scenarios</w:t>
      </w:r>
      <w:r w:rsidRPr="00DF1331">
        <w:t>: Base case, Low Growth, High Growth</w:t>
      </w:r>
    </w:p>
    <w:p w14:paraId="01BFA9C7" w14:textId="77777777" w:rsidR="00DF1331" w:rsidRPr="00DF1331" w:rsidRDefault="00DF1331" w:rsidP="00DF1331">
      <w:pPr>
        <w:numPr>
          <w:ilvl w:val="1"/>
          <w:numId w:val="21"/>
        </w:numPr>
      </w:pPr>
      <w:r w:rsidRPr="00DF1331">
        <w:rPr>
          <w:b/>
          <w:bCs/>
        </w:rPr>
        <w:t>Regions</w:t>
      </w:r>
      <w:r w:rsidRPr="00DF1331">
        <w:t>: U.S., U.K., Continental Europe, Australia, Japan</w:t>
      </w:r>
    </w:p>
    <w:p w14:paraId="30E0DD82" w14:textId="77777777" w:rsidR="00DF1331" w:rsidRPr="00DF1331" w:rsidRDefault="00DF1331" w:rsidP="00DF1331">
      <w:pPr>
        <w:numPr>
          <w:ilvl w:val="1"/>
          <w:numId w:val="21"/>
        </w:numPr>
      </w:pPr>
      <w:r w:rsidRPr="00DF1331">
        <w:rPr>
          <w:b/>
          <w:bCs/>
        </w:rPr>
        <w:t>Forecasted variables</w:t>
      </w:r>
      <w:r w:rsidRPr="00DF1331">
        <w:t>:</w:t>
      </w:r>
    </w:p>
    <w:p w14:paraId="3D9E9022" w14:textId="77777777" w:rsidR="00DF1331" w:rsidRPr="00DF1331" w:rsidRDefault="00DF1331" w:rsidP="00DF1331">
      <w:pPr>
        <w:numPr>
          <w:ilvl w:val="2"/>
          <w:numId w:val="21"/>
        </w:numPr>
      </w:pPr>
      <w:r w:rsidRPr="00DF1331">
        <w:t>GDP growth</w:t>
      </w:r>
    </w:p>
    <w:p w14:paraId="070C32E9" w14:textId="77777777" w:rsidR="00DF1331" w:rsidRPr="00DF1331" w:rsidRDefault="00DF1331" w:rsidP="00DF1331">
      <w:pPr>
        <w:numPr>
          <w:ilvl w:val="2"/>
          <w:numId w:val="21"/>
        </w:numPr>
      </w:pPr>
      <w:r w:rsidRPr="00DF1331">
        <w:t>Inflation</w:t>
      </w:r>
    </w:p>
    <w:p w14:paraId="7A09BDDA" w14:textId="77777777" w:rsidR="00DF1331" w:rsidRPr="00DF1331" w:rsidRDefault="00DF1331" w:rsidP="00DF1331">
      <w:pPr>
        <w:numPr>
          <w:ilvl w:val="2"/>
          <w:numId w:val="21"/>
        </w:numPr>
      </w:pPr>
      <w:r w:rsidRPr="00DF1331">
        <w:t>10-year and 5-year risk-free rates</w:t>
      </w:r>
    </w:p>
    <w:p w14:paraId="62C550A6" w14:textId="77777777" w:rsidR="00DF1331" w:rsidRPr="00DF1331" w:rsidRDefault="00DF1331" w:rsidP="00DF1331">
      <w:pPr>
        <w:numPr>
          <w:ilvl w:val="2"/>
          <w:numId w:val="21"/>
        </w:numPr>
      </w:pPr>
      <w:r w:rsidRPr="00DF1331">
        <w:t>Borrowing costs / cost of debt</w:t>
      </w:r>
    </w:p>
    <w:p w14:paraId="46B3E545" w14:textId="77777777" w:rsidR="00DF1331" w:rsidRPr="00DF1331" w:rsidRDefault="00DF1331" w:rsidP="00DF1331">
      <w:pPr>
        <w:numPr>
          <w:ilvl w:val="0"/>
          <w:numId w:val="21"/>
        </w:numPr>
      </w:pPr>
      <w:r w:rsidRPr="00DF1331">
        <w:rPr>
          <w:b/>
          <w:bCs/>
        </w:rPr>
        <w:t>Sector-Level Real Asset Forecasts</w:t>
      </w:r>
    </w:p>
    <w:p w14:paraId="7E6F504B" w14:textId="77777777" w:rsidR="00DF1331" w:rsidRPr="00DF1331" w:rsidRDefault="00DF1331" w:rsidP="00DF1331">
      <w:pPr>
        <w:numPr>
          <w:ilvl w:val="1"/>
          <w:numId w:val="21"/>
        </w:numPr>
      </w:pPr>
      <w:r w:rsidRPr="00DF1331">
        <w:rPr>
          <w:b/>
          <w:bCs/>
        </w:rPr>
        <w:t>Regions</w:t>
      </w:r>
      <w:r w:rsidRPr="00DF1331">
        <w:t>:</w:t>
      </w:r>
    </w:p>
    <w:p w14:paraId="0F685159" w14:textId="77777777" w:rsidR="00DF1331" w:rsidRPr="00DF1331" w:rsidRDefault="00DF1331" w:rsidP="00DF1331">
      <w:pPr>
        <w:numPr>
          <w:ilvl w:val="2"/>
          <w:numId w:val="21"/>
        </w:numPr>
      </w:pPr>
      <w:r w:rsidRPr="00DF1331">
        <w:t>U.S.: Industrial, multifamily, retail, office, +8 others</w:t>
      </w:r>
    </w:p>
    <w:p w14:paraId="30057FCD" w14:textId="77777777" w:rsidR="00DF1331" w:rsidRPr="00DF1331" w:rsidRDefault="00DF1331" w:rsidP="00DF1331">
      <w:pPr>
        <w:numPr>
          <w:ilvl w:val="2"/>
          <w:numId w:val="21"/>
        </w:numPr>
      </w:pPr>
      <w:r w:rsidRPr="00DF1331">
        <w:t>Europe: 8–10 major sectors across U.K. and Continental Europe</w:t>
      </w:r>
    </w:p>
    <w:p w14:paraId="5E04A55A" w14:textId="77777777" w:rsidR="00DF1331" w:rsidRPr="00DF1331" w:rsidRDefault="00DF1331" w:rsidP="00DF1331">
      <w:pPr>
        <w:numPr>
          <w:ilvl w:val="2"/>
          <w:numId w:val="21"/>
        </w:numPr>
      </w:pPr>
      <w:r w:rsidRPr="00DF1331">
        <w:t>Asia: Key sectors in Australia, Japan, Hong Kong, and Singapore</w:t>
      </w:r>
    </w:p>
    <w:p w14:paraId="73484B47" w14:textId="77777777" w:rsidR="00DF1331" w:rsidRPr="00DF1331" w:rsidRDefault="00DF1331" w:rsidP="00DF1331">
      <w:pPr>
        <w:numPr>
          <w:ilvl w:val="1"/>
          <w:numId w:val="21"/>
        </w:numPr>
      </w:pPr>
      <w:r w:rsidRPr="00DF1331">
        <w:rPr>
          <w:b/>
          <w:bCs/>
        </w:rPr>
        <w:t>Forecast outputs</w:t>
      </w:r>
      <w:r w:rsidRPr="00DF1331">
        <w:t>:</w:t>
      </w:r>
    </w:p>
    <w:p w14:paraId="377CDDFA" w14:textId="77777777" w:rsidR="00DF1331" w:rsidRPr="00DF1331" w:rsidRDefault="00DF1331" w:rsidP="00DF1331">
      <w:pPr>
        <w:numPr>
          <w:ilvl w:val="2"/>
          <w:numId w:val="21"/>
        </w:numPr>
      </w:pPr>
      <w:r w:rsidRPr="00DF1331">
        <w:t>Entry &amp; exit cap rates (year-by-year)</w:t>
      </w:r>
    </w:p>
    <w:p w14:paraId="4C5C8AF9" w14:textId="77777777" w:rsidR="00DF1331" w:rsidRPr="00DF1331" w:rsidRDefault="00DF1331" w:rsidP="00DF1331">
      <w:pPr>
        <w:numPr>
          <w:ilvl w:val="2"/>
          <w:numId w:val="21"/>
        </w:numPr>
      </w:pPr>
      <w:r w:rsidRPr="00DF1331">
        <w:t>Capex burden</w:t>
      </w:r>
    </w:p>
    <w:p w14:paraId="154C536B" w14:textId="77777777" w:rsidR="00DF1331" w:rsidRPr="00DF1331" w:rsidRDefault="00DF1331" w:rsidP="00DF1331">
      <w:pPr>
        <w:numPr>
          <w:ilvl w:val="2"/>
          <w:numId w:val="21"/>
        </w:numPr>
      </w:pPr>
      <w:r w:rsidRPr="00DF1331">
        <w:t>Rent growth per annum</w:t>
      </w:r>
    </w:p>
    <w:p w14:paraId="2C28E4FF" w14:textId="77777777" w:rsidR="00DF1331" w:rsidRPr="00DF1331" w:rsidRDefault="00DF1331" w:rsidP="00DF1331">
      <w:pPr>
        <w:numPr>
          <w:ilvl w:val="2"/>
          <w:numId w:val="21"/>
        </w:numPr>
      </w:pPr>
      <w:r w:rsidRPr="00DF1331">
        <w:t>Debt costs and LTV assumptions</w:t>
      </w:r>
    </w:p>
    <w:p w14:paraId="37E5DC29" w14:textId="77777777" w:rsidR="00DF1331" w:rsidRPr="00DF1331" w:rsidRDefault="00DF1331" w:rsidP="00DF1331">
      <w:pPr>
        <w:numPr>
          <w:ilvl w:val="2"/>
          <w:numId w:val="21"/>
        </w:numPr>
      </w:pPr>
      <w:r w:rsidRPr="00DF1331">
        <w:lastRenderedPageBreak/>
        <w:t>Fund-level fee load</w:t>
      </w:r>
    </w:p>
    <w:p w14:paraId="083BDC5A" w14:textId="77777777" w:rsidR="00DF1331" w:rsidRPr="00DF1331" w:rsidRDefault="00DF1331" w:rsidP="00DF1331">
      <w:pPr>
        <w:numPr>
          <w:ilvl w:val="2"/>
          <w:numId w:val="21"/>
        </w:numPr>
      </w:pPr>
      <w:r w:rsidRPr="00DF1331">
        <w:t>Property-level returns</w:t>
      </w:r>
    </w:p>
    <w:p w14:paraId="7B8118CC" w14:textId="77777777" w:rsidR="00DF1331" w:rsidRPr="00DF1331" w:rsidRDefault="00DF1331" w:rsidP="00DF1331">
      <w:pPr>
        <w:numPr>
          <w:ilvl w:val="2"/>
          <w:numId w:val="21"/>
        </w:numPr>
      </w:pPr>
      <w:r w:rsidRPr="00DF1331">
        <w:t>Gross and net fund-level returns</w:t>
      </w:r>
    </w:p>
    <w:p w14:paraId="22A13B7A" w14:textId="77777777" w:rsidR="00DF1331" w:rsidRPr="00DF1331" w:rsidRDefault="00DF1331" w:rsidP="00DF1331">
      <w:pPr>
        <w:numPr>
          <w:ilvl w:val="0"/>
          <w:numId w:val="21"/>
        </w:numPr>
        <w:rPr>
          <w:lang w:val="pt-BR"/>
        </w:rPr>
      </w:pPr>
      <w:r w:rsidRPr="00DF1331">
        <w:rPr>
          <w:b/>
          <w:bCs/>
          <w:lang w:val="pt-BR"/>
        </w:rPr>
        <w:t>Portfolio Optimizer (CAPM + Custom Constraints)</w:t>
      </w:r>
    </w:p>
    <w:p w14:paraId="1E738A6B" w14:textId="77777777" w:rsidR="00DF1331" w:rsidRPr="00DF1331" w:rsidRDefault="00DF1331" w:rsidP="00DF1331">
      <w:pPr>
        <w:numPr>
          <w:ilvl w:val="1"/>
          <w:numId w:val="21"/>
        </w:numPr>
      </w:pPr>
      <w:r w:rsidRPr="00DF1331">
        <w:t>Uses long-term expected return and volatility estimates across asset classes:</w:t>
      </w:r>
    </w:p>
    <w:p w14:paraId="5191EF34" w14:textId="77777777" w:rsidR="00DF1331" w:rsidRPr="00DF1331" w:rsidRDefault="00DF1331" w:rsidP="00DF1331">
      <w:pPr>
        <w:numPr>
          <w:ilvl w:val="2"/>
          <w:numId w:val="21"/>
        </w:numPr>
      </w:pPr>
      <w:r w:rsidRPr="00DF1331">
        <w:t>Core, Value-Add, and Opportunistic RE</w:t>
      </w:r>
    </w:p>
    <w:p w14:paraId="669290E7" w14:textId="77777777" w:rsidR="00DF1331" w:rsidRPr="00DF1331" w:rsidRDefault="00DF1331" w:rsidP="00DF1331">
      <w:pPr>
        <w:numPr>
          <w:ilvl w:val="2"/>
          <w:numId w:val="21"/>
        </w:numPr>
      </w:pPr>
      <w:r w:rsidRPr="00DF1331">
        <w:t>REITs, Infrastructure, Agriculture, Timber</w:t>
      </w:r>
    </w:p>
    <w:p w14:paraId="1FCDE727" w14:textId="77777777" w:rsidR="00DF1331" w:rsidRPr="00DF1331" w:rsidRDefault="00DF1331" w:rsidP="00DF1331">
      <w:pPr>
        <w:numPr>
          <w:ilvl w:val="2"/>
          <w:numId w:val="21"/>
        </w:numPr>
      </w:pPr>
      <w:r w:rsidRPr="00DF1331">
        <w:t>Public Equities, Bonds, Private Equity</w:t>
      </w:r>
    </w:p>
    <w:p w14:paraId="392998F6" w14:textId="77777777" w:rsidR="00DF1331" w:rsidRPr="00DF1331" w:rsidRDefault="00DF1331" w:rsidP="00DF1331">
      <w:pPr>
        <w:numPr>
          <w:ilvl w:val="1"/>
          <w:numId w:val="21"/>
        </w:numPr>
      </w:pPr>
      <w:r w:rsidRPr="00DF1331">
        <w:t>Outputs:</w:t>
      </w:r>
    </w:p>
    <w:p w14:paraId="0BDDEE63" w14:textId="77777777" w:rsidR="00DF1331" w:rsidRPr="00DF1331" w:rsidRDefault="00DF1331" w:rsidP="00DF1331">
      <w:pPr>
        <w:numPr>
          <w:ilvl w:val="2"/>
          <w:numId w:val="21"/>
        </w:numPr>
      </w:pPr>
      <w:r w:rsidRPr="00DF1331">
        <w:t>Optimal real asset allocations for LPs</w:t>
      </w:r>
    </w:p>
    <w:p w14:paraId="5C0EF759" w14:textId="77777777" w:rsidR="00DF1331" w:rsidRPr="00DF1331" w:rsidRDefault="00DF1331" w:rsidP="00DF1331">
      <w:pPr>
        <w:numPr>
          <w:ilvl w:val="2"/>
          <w:numId w:val="21"/>
        </w:numPr>
      </w:pPr>
      <w:r w:rsidRPr="00DF1331">
        <w:t>Cross-asset allocation mix to position real assets within broader portfolios</w:t>
      </w:r>
    </w:p>
    <w:p w14:paraId="4533F1B1" w14:textId="77777777" w:rsidR="00DF1331" w:rsidRPr="00DF1331" w:rsidRDefault="00DF1331" w:rsidP="00DF1331">
      <w:pPr>
        <w:numPr>
          <w:ilvl w:val="2"/>
          <w:numId w:val="21"/>
        </w:numPr>
      </w:pPr>
      <w:r w:rsidRPr="00DF1331">
        <w:t>Custom optimizer overlays for LP preferences and constraints</w:t>
      </w:r>
    </w:p>
    <w:p w14:paraId="74CBDD67" w14:textId="77777777" w:rsidR="00DF1331" w:rsidRPr="00DF1331" w:rsidRDefault="00DF1331" w:rsidP="00DF1331">
      <w:pPr>
        <w:numPr>
          <w:ilvl w:val="0"/>
          <w:numId w:val="21"/>
        </w:numPr>
      </w:pPr>
      <w:r w:rsidRPr="00DF1331">
        <w:rPr>
          <w:b/>
          <w:bCs/>
        </w:rPr>
        <w:t>Scenario Planning &amp; Stress Testing</w:t>
      </w:r>
    </w:p>
    <w:p w14:paraId="4BF9AAE8" w14:textId="77777777" w:rsidR="00DF1331" w:rsidRPr="00DF1331" w:rsidRDefault="00DF1331" w:rsidP="00DF1331">
      <w:pPr>
        <w:numPr>
          <w:ilvl w:val="1"/>
          <w:numId w:val="21"/>
        </w:numPr>
      </w:pPr>
      <w:r w:rsidRPr="00DF1331">
        <w:t>Sector/region-level volatility estimates</w:t>
      </w:r>
    </w:p>
    <w:p w14:paraId="441E751A" w14:textId="77777777" w:rsidR="00DF1331" w:rsidRPr="00DF1331" w:rsidRDefault="00DF1331" w:rsidP="00DF1331">
      <w:pPr>
        <w:numPr>
          <w:ilvl w:val="1"/>
          <w:numId w:val="21"/>
        </w:numPr>
      </w:pPr>
      <w:r w:rsidRPr="00DF1331">
        <w:t>Scenario-specific return and downside capture analysis</w:t>
      </w:r>
    </w:p>
    <w:p w14:paraId="5F7F32B9" w14:textId="77777777" w:rsidR="00DF1331" w:rsidRPr="00DF1331" w:rsidRDefault="00DF1331" w:rsidP="00DF1331">
      <w:pPr>
        <w:numPr>
          <w:ilvl w:val="1"/>
          <w:numId w:val="21"/>
        </w:numPr>
      </w:pPr>
      <w:r w:rsidRPr="00DF1331">
        <w:t xml:space="preserve">Delivers </w:t>
      </w:r>
      <w:r w:rsidRPr="00DF1331">
        <w:rPr>
          <w:b/>
          <w:bCs/>
        </w:rPr>
        <w:t>Townsend Risk Assessment &amp; Scenario Planning Report (TRASPR)</w:t>
      </w:r>
      <w:r w:rsidRPr="00DF1331">
        <w:t xml:space="preserve"> for decision support</w:t>
      </w:r>
    </w:p>
    <w:p w14:paraId="2DC9B99A" w14:textId="77777777" w:rsidR="00DF1331" w:rsidRPr="00DF1331" w:rsidRDefault="00000000" w:rsidP="00DF1331">
      <w:r>
        <w:pict w14:anchorId="67E3787A">
          <v:rect id="_x0000_i1036" style="width:0;height:1.5pt" o:hralign="center" o:hrstd="t" o:hr="t" fillcolor="#a0a0a0" stroked="f"/>
        </w:pict>
      </w:r>
    </w:p>
    <w:p w14:paraId="2EE20CFB" w14:textId="77777777" w:rsidR="00DF1331" w:rsidRPr="00DF1331" w:rsidRDefault="00DF1331" w:rsidP="00DF1331">
      <w:pPr>
        <w:rPr>
          <w:b/>
          <w:bCs/>
        </w:rPr>
      </w:pPr>
      <w:r w:rsidRPr="00DF1331">
        <w:rPr>
          <w:b/>
          <w:bCs/>
        </w:rPr>
        <w:t>B. Target Clients and Their Key Use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2"/>
        <w:gridCol w:w="7388"/>
      </w:tblGrid>
      <w:tr w:rsidR="00DF1331" w:rsidRPr="00DF1331" w14:paraId="43B0C685" w14:textId="77777777" w:rsidTr="00DF1331">
        <w:trPr>
          <w:tblHeader/>
          <w:tblCellSpacing w:w="15" w:type="dxa"/>
        </w:trPr>
        <w:tc>
          <w:tcPr>
            <w:tcW w:w="0" w:type="auto"/>
            <w:vAlign w:val="center"/>
            <w:hideMark/>
          </w:tcPr>
          <w:p w14:paraId="3118D054" w14:textId="77777777" w:rsidR="00DF1331" w:rsidRPr="00DF1331" w:rsidRDefault="00DF1331" w:rsidP="00DF1331">
            <w:pPr>
              <w:rPr>
                <w:b/>
                <w:bCs/>
              </w:rPr>
            </w:pPr>
            <w:r w:rsidRPr="00DF1331">
              <w:rPr>
                <w:b/>
                <w:bCs/>
              </w:rPr>
              <w:t>Client Type</w:t>
            </w:r>
          </w:p>
        </w:tc>
        <w:tc>
          <w:tcPr>
            <w:tcW w:w="0" w:type="auto"/>
            <w:vAlign w:val="center"/>
            <w:hideMark/>
          </w:tcPr>
          <w:p w14:paraId="1FFCE382" w14:textId="77777777" w:rsidR="00DF1331" w:rsidRPr="00DF1331" w:rsidRDefault="00DF1331" w:rsidP="00DF1331">
            <w:pPr>
              <w:rPr>
                <w:b/>
                <w:bCs/>
              </w:rPr>
            </w:pPr>
            <w:r w:rsidRPr="00DF1331">
              <w:rPr>
                <w:b/>
                <w:bCs/>
              </w:rPr>
              <w:t>Use Cases</w:t>
            </w:r>
          </w:p>
        </w:tc>
      </w:tr>
      <w:tr w:rsidR="00DF1331" w:rsidRPr="00DF1331" w14:paraId="52025100" w14:textId="77777777" w:rsidTr="00DF1331">
        <w:trPr>
          <w:tblCellSpacing w:w="15" w:type="dxa"/>
        </w:trPr>
        <w:tc>
          <w:tcPr>
            <w:tcW w:w="0" w:type="auto"/>
            <w:vAlign w:val="center"/>
            <w:hideMark/>
          </w:tcPr>
          <w:p w14:paraId="6FBCC36A" w14:textId="77777777" w:rsidR="00DF1331" w:rsidRPr="00DF1331" w:rsidRDefault="00DF1331" w:rsidP="00DF1331">
            <w:r w:rsidRPr="00DF1331">
              <w:rPr>
                <w:b/>
                <w:bCs/>
              </w:rPr>
              <w:t>Institutional LPs</w:t>
            </w:r>
          </w:p>
        </w:tc>
        <w:tc>
          <w:tcPr>
            <w:tcW w:w="0" w:type="auto"/>
            <w:vAlign w:val="center"/>
            <w:hideMark/>
          </w:tcPr>
          <w:p w14:paraId="37A1B750" w14:textId="77777777" w:rsidR="00DF1331" w:rsidRPr="00DF1331" w:rsidRDefault="00DF1331" w:rsidP="00DF1331">
            <w:r w:rsidRPr="00DF1331">
              <w:t>Model portfolios, rebalancing, sector allocation, scenario testing, risk exposure analysis</w:t>
            </w:r>
          </w:p>
        </w:tc>
      </w:tr>
      <w:tr w:rsidR="00DF1331" w:rsidRPr="00DF1331" w14:paraId="6E068AAD" w14:textId="77777777" w:rsidTr="00DF1331">
        <w:trPr>
          <w:tblCellSpacing w:w="15" w:type="dxa"/>
        </w:trPr>
        <w:tc>
          <w:tcPr>
            <w:tcW w:w="0" w:type="auto"/>
            <w:vAlign w:val="center"/>
            <w:hideMark/>
          </w:tcPr>
          <w:p w14:paraId="3DEA5E24" w14:textId="77777777" w:rsidR="00DF1331" w:rsidRPr="00DF1331" w:rsidRDefault="00DF1331" w:rsidP="00DF1331">
            <w:r w:rsidRPr="00DF1331">
              <w:rPr>
                <w:b/>
                <w:bCs/>
              </w:rPr>
              <w:t>GPs / Asset Managers</w:t>
            </w:r>
          </w:p>
        </w:tc>
        <w:tc>
          <w:tcPr>
            <w:tcW w:w="0" w:type="auto"/>
            <w:vAlign w:val="center"/>
            <w:hideMark/>
          </w:tcPr>
          <w:p w14:paraId="632A6F8E" w14:textId="77777777" w:rsidR="00DF1331" w:rsidRPr="00DF1331" w:rsidRDefault="00DF1331" w:rsidP="00DF1331">
            <w:r w:rsidRPr="00DF1331">
              <w:t>Assess sector strategies in context of macro trends; design new fund strategies; integrate TRASPR in quarterly reporting</w:t>
            </w:r>
          </w:p>
        </w:tc>
      </w:tr>
      <w:tr w:rsidR="00DF1331" w:rsidRPr="00DF1331" w14:paraId="6CA595D2" w14:textId="77777777" w:rsidTr="00DF1331">
        <w:trPr>
          <w:tblCellSpacing w:w="15" w:type="dxa"/>
        </w:trPr>
        <w:tc>
          <w:tcPr>
            <w:tcW w:w="0" w:type="auto"/>
            <w:vAlign w:val="center"/>
            <w:hideMark/>
          </w:tcPr>
          <w:p w14:paraId="0C0304DD" w14:textId="77777777" w:rsidR="00DF1331" w:rsidRPr="00DF1331" w:rsidRDefault="00DF1331" w:rsidP="00DF1331">
            <w:r w:rsidRPr="00DF1331">
              <w:rPr>
                <w:b/>
                <w:bCs/>
              </w:rPr>
              <w:lastRenderedPageBreak/>
              <w:t>Consultants</w:t>
            </w:r>
          </w:p>
        </w:tc>
        <w:tc>
          <w:tcPr>
            <w:tcW w:w="0" w:type="auto"/>
            <w:vAlign w:val="center"/>
            <w:hideMark/>
          </w:tcPr>
          <w:p w14:paraId="6ADE490E" w14:textId="77777777" w:rsidR="00DF1331" w:rsidRPr="00DF1331" w:rsidRDefault="00DF1331" w:rsidP="00DF1331">
            <w:r w:rsidRPr="00DF1331">
              <w:t>Support pacing plans, manager screening, and stress test analysis for clients</w:t>
            </w:r>
          </w:p>
        </w:tc>
      </w:tr>
      <w:tr w:rsidR="00DF1331" w:rsidRPr="00DF1331" w14:paraId="2FF16FC9" w14:textId="77777777" w:rsidTr="00DF1331">
        <w:trPr>
          <w:tblCellSpacing w:w="15" w:type="dxa"/>
        </w:trPr>
        <w:tc>
          <w:tcPr>
            <w:tcW w:w="0" w:type="auto"/>
            <w:vAlign w:val="center"/>
            <w:hideMark/>
          </w:tcPr>
          <w:p w14:paraId="27717D52" w14:textId="77777777" w:rsidR="00DF1331" w:rsidRPr="00DF1331" w:rsidRDefault="00DF1331" w:rsidP="00DF1331">
            <w:r w:rsidRPr="00DF1331">
              <w:rPr>
                <w:b/>
                <w:bCs/>
              </w:rPr>
              <w:t>Wealth Platforms</w:t>
            </w:r>
          </w:p>
        </w:tc>
        <w:tc>
          <w:tcPr>
            <w:tcW w:w="0" w:type="auto"/>
            <w:vAlign w:val="center"/>
            <w:hideMark/>
          </w:tcPr>
          <w:p w14:paraId="47E17926" w14:textId="77777777" w:rsidR="00DF1331" w:rsidRPr="00DF1331" w:rsidRDefault="00DF1331" w:rsidP="00DF1331">
            <w:r w:rsidRPr="00DF1331">
              <w:t>Use for portfolio construction guidance and model SMA solutions</w:t>
            </w:r>
          </w:p>
        </w:tc>
      </w:tr>
      <w:tr w:rsidR="00DF1331" w:rsidRPr="00DF1331" w14:paraId="50522933" w14:textId="77777777" w:rsidTr="00DF1331">
        <w:trPr>
          <w:tblCellSpacing w:w="15" w:type="dxa"/>
        </w:trPr>
        <w:tc>
          <w:tcPr>
            <w:tcW w:w="0" w:type="auto"/>
            <w:vAlign w:val="center"/>
            <w:hideMark/>
          </w:tcPr>
          <w:p w14:paraId="5C5A48B6" w14:textId="77777777" w:rsidR="00DF1331" w:rsidRPr="00DF1331" w:rsidRDefault="00DF1331" w:rsidP="00DF1331">
            <w:r w:rsidRPr="00DF1331">
              <w:rPr>
                <w:b/>
                <w:bCs/>
              </w:rPr>
              <w:t>Family Offices</w:t>
            </w:r>
          </w:p>
        </w:tc>
        <w:tc>
          <w:tcPr>
            <w:tcW w:w="0" w:type="auto"/>
            <w:vAlign w:val="center"/>
            <w:hideMark/>
          </w:tcPr>
          <w:p w14:paraId="0EA44E07" w14:textId="77777777" w:rsidR="00DF1331" w:rsidRPr="00DF1331" w:rsidRDefault="00DF1331" w:rsidP="00DF1331">
            <w:r w:rsidRPr="00DF1331">
              <w:t>Analyze long-term allocation frameworks and strategy mix across direct/co-investment programs</w:t>
            </w:r>
          </w:p>
        </w:tc>
      </w:tr>
      <w:tr w:rsidR="00DF1331" w:rsidRPr="00DF1331" w14:paraId="376AC5AF" w14:textId="77777777" w:rsidTr="00DF1331">
        <w:trPr>
          <w:tblCellSpacing w:w="15" w:type="dxa"/>
        </w:trPr>
        <w:tc>
          <w:tcPr>
            <w:tcW w:w="0" w:type="auto"/>
            <w:vAlign w:val="center"/>
            <w:hideMark/>
          </w:tcPr>
          <w:p w14:paraId="7B036E61" w14:textId="77777777" w:rsidR="00DF1331" w:rsidRPr="00DF1331" w:rsidRDefault="00DF1331" w:rsidP="00DF1331">
            <w:r w:rsidRPr="00DF1331">
              <w:rPr>
                <w:b/>
                <w:bCs/>
              </w:rPr>
              <w:t>Academia / Research</w:t>
            </w:r>
          </w:p>
        </w:tc>
        <w:tc>
          <w:tcPr>
            <w:tcW w:w="0" w:type="auto"/>
            <w:vAlign w:val="center"/>
            <w:hideMark/>
          </w:tcPr>
          <w:p w14:paraId="4DAE6BCF" w14:textId="77777777" w:rsidR="00DF1331" w:rsidRPr="00DF1331" w:rsidRDefault="00DF1331" w:rsidP="00DF1331">
            <w:r w:rsidRPr="00DF1331">
              <w:t>Conduct empirical research or curriculum development on real asset allocation and macro forecasting</w:t>
            </w:r>
          </w:p>
        </w:tc>
      </w:tr>
    </w:tbl>
    <w:p w14:paraId="162E8A1E" w14:textId="77777777" w:rsidR="00DF1331" w:rsidRPr="00DF1331" w:rsidRDefault="00000000" w:rsidP="00DF1331">
      <w:r>
        <w:pict w14:anchorId="1C91C780">
          <v:rect id="_x0000_i1037" style="width:0;height:1.5pt" o:hralign="center" o:hrstd="t" o:hr="t" fillcolor="#a0a0a0" stroked="f"/>
        </w:pict>
      </w:r>
    </w:p>
    <w:p w14:paraId="12755593" w14:textId="77777777" w:rsidR="00DF1331" w:rsidRPr="00DF1331" w:rsidRDefault="00DF1331" w:rsidP="00DF1331">
      <w:pPr>
        <w:rPr>
          <w:b/>
          <w:bCs/>
        </w:rPr>
      </w:pPr>
      <w:r w:rsidRPr="00DF1331">
        <w:rPr>
          <w:b/>
          <w:bCs/>
        </w:rPr>
        <w:t>C. Development Status</w:t>
      </w:r>
    </w:p>
    <w:p w14:paraId="3A60B67A" w14:textId="77777777" w:rsidR="00DF1331" w:rsidRPr="00DF1331" w:rsidRDefault="00DF1331" w:rsidP="00DF1331">
      <w:pPr>
        <w:numPr>
          <w:ilvl w:val="0"/>
          <w:numId w:val="22"/>
        </w:numPr>
      </w:pPr>
      <w:r w:rsidRPr="00DF1331">
        <w:rPr>
          <w:rFonts w:ascii="Segoe UI Emoji" w:hAnsi="Segoe UI Emoji" w:cs="Segoe UI Emoji"/>
        </w:rPr>
        <w:t>✅</w:t>
      </w:r>
      <w:r w:rsidRPr="00DF1331">
        <w:t xml:space="preserve"> </w:t>
      </w:r>
      <w:r w:rsidRPr="00DF1331">
        <w:rPr>
          <w:b/>
          <w:bCs/>
        </w:rPr>
        <w:t>Macroeconomic Scenarios Developed</w:t>
      </w:r>
      <w:r w:rsidRPr="00DF1331">
        <w:t>: U.S. base case, high growth, and low growth</w:t>
      </w:r>
    </w:p>
    <w:p w14:paraId="2B454A80" w14:textId="77777777" w:rsidR="00DF1331" w:rsidRPr="00DF1331" w:rsidRDefault="00DF1331" w:rsidP="00DF1331">
      <w:pPr>
        <w:numPr>
          <w:ilvl w:val="0"/>
          <w:numId w:val="22"/>
        </w:numPr>
      </w:pPr>
      <w:r w:rsidRPr="00DF1331">
        <w:rPr>
          <w:rFonts w:ascii="Segoe UI Emoji" w:hAnsi="Segoe UI Emoji" w:cs="Segoe UI Emoji"/>
        </w:rPr>
        <w:t>✅</w:t>
      </w:r>
      <w:r w:rsidRPr="00DF1331">
        <w:t xml:space="preserve"> </w:t>
      </w:r>
      <w:r w:rsidRPr="00DF1331">
        <w:rPr>
          <w:b/>
          <w:bCs/>
        </w:rPr>
        <w:t>5-Year Core Sector Forecasts Completed</w:t>
      </w:r>
      <w:r w:rsidRPr="00DF1331">
        <w:t>: For U.S., U.K., Europe, Australia, and Japan</w:t>
      </w:r>
    </w:p>
    <w:p w14:paraId="1C47E4B9" w14:textId="77777777" w:rsidR="00DF1331" w:rsidRPr="00DF1331" w:rsidRDefault="00DF1331" w:rsidP="00DF1331">
      <w:pPr>
        <w:numPr>
          <w:ilvl w:val="0"/>
          <w:numId w:val="22"/>
        </w:numPr>
      </w:pPr>
      <w:r w:rsidRPr="00DF1331">
        <w:rPr>
          <w:rFonts w:ascii="Segoe UI Emoji" w:hAnsi="Segoe UI Emoji" w:cs="Segoe UI Emoji"/>
        </w:rPr>
        <w:t>✅</w:t>
      </w:r>
      <w:r w:rsidRPr="00DF1331">
        <w:t xml:space="preserve"> </w:t>
      </w:r>
      <w:r w:rsidRPr="00DF1331">
        <w:rPr>
          <w:b/>
          <w:bCs/>
        </w:rPr>
        <w:t>Initial Volatility Estimates Completed</w:t>
      </w:r>
      <w:r w:rsidRPr="00DF1331">
        <w:t>: U.S. sectors</w:t>
      </w:r>
    </w:p>
    <w:p w14:paraId="0D1E46FB" w14:textId="77777777" w:rsidR="00DF1331" w:rsidRPr="00DF1331" w:rsidRDefault="00DF1331" w:rsidP="00DF1331">
      <w:pPr>
        <w:numPr>
          <w:ilvl w:val="0"/>
          <w:numId w:val="22"/>
        </w:numPr>
      </w:pPr>
      <w:r w:rsidRPr="00DF1331">
        <w:rPr>
          <w:rFonts w:ascii="Segoe UI Emoji" w:hAnsi="Segoe UI Emoji" w:cs="Segoe UI Emoji"/>
        </w:rPr>
        <w:t>✅</w:t>
      </w:r>
      <w:r w:rsidRPr="00DF1331">
        <w:t xml:space="preserve"> </w:t>
      </w:r>
      <w:r w:rsidRPr="00DF1331">
        <w:rPr>
          <w:b/>
          <w:bCs/>
        </w:rPr>
        <w:t>Python-based Optimizer (CAPM) Developed</w:t>
      </w:r>
      <w:r w:rsidRPr="00DF1331">
        <w:t>: Includes return/volatility inputs across real and financial assets</w:t>
      </w:r>
    </w:p>
    <w:p w14:paraId="5D95C062" w14:textId="77777777" w:rsidR="00DF1331" w:rsidRPr="00DF1331" w:rsidRDefault="00DF1331" w:rsidP="00DF1331">
      <w:pPr>
        <w:numPr>
          <w:ilvl w:val="0"/>
          <w:numId w:val="22"/>
        </w:numPr>
      </w:pPr>
      <w:r w:rsidRPr="00DF1331">
        <w:rPr>
          <w:rFonts w:ascii="Segoe UI Emoji" w:hAnsi="Segoe UI Emoji" w:cs="Segoe UI Emoji"/>
        </w:rPr>
        <w:t>🚧</w:t>
      </w:r>
      <w:r w:rsidRPr="00DF1331">
        <w:t xml:space="preserve"> </w:t>
      </w:r>
      <w:r w:rsidRPr="00DF1331">
        <w:rPr>
          <w:b/>
          <w:bCs/>
        </w:rPr>
        <w:t>Non-core Sector Forecasting Framework</w:t>
      </w:r>
      <w:r w:rsidRPr="00DF1331">
        <w:t>: In design</w:t>
      </w:r>
    </w:p>
    <w:p w14:paraId="55024817" w14:textId="77777777" w:rsidR="00DF1331" w:rsidRPr="00DF1331" w:rsidRDefault="00000000" w:rsidP="00DF1331">
      <w:r>
        <w:pict w14:anchorId="1F9F488D">
          <v:rect id="_x0000_i1038" style="width:0;height:1.5pt" o:hralign="center" o:hrstd="t" o:hr="t" fillcolor="#a0a0a0" stroked="f"/>
        </w:pict>
      </w:r>
    </w:p>
    <w:p w14:paraId="5394880D" w14:textId="77777777" w:rsidR="00DF1331" w:rsidRPr="00DF1331" w:rsidRDefault="00DF1331" w:rsidP="00DF1331">
      <w:pPr>
        <w:rPr>
          <w:b/>
          <w:bCs/>
        </w:rPr>
      </w:pPr>
      <w:r w:rsidRPr="00DF1331">
        <w:rPr>
          <w:b/>
          <w:bCs/>
        </w:rPr>
        <w:t>D. Next Steps and Responsibilities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49"/>
        <w:gridCol w:w="2835"/>
        <w:gridCol w:w="3776"/>
      </w:tblGrid>
      <w:tr w:rsidR="00DF1331" w:rsidRPr="00DF1331" w14:paraId="43063A4D" w14:textId="77777777" w:rsidTr="00DF1331">
        <w:trPr>
          <w:tblHeader/>
          <w:tblCellSpacing w:w="15" w:type="dxa"/>
        </w:trPr>
        <w:tc>
          <w:tcPr>
            <w:tcW w:w="0" w:type="auto"/>
            <w:vAlign w:val="center"/>
            <w:hideMark/>
          </w:tcPr>
          <w:p w14:paraId="04343192" w14:textId="77777777" w:rsidR="00DF1331" w:rsidRPr="00DF1331" w:rsidRDefault="00DF1331" w:rsidP="00DF1331">
            <w:pPr>
              <w:rPr>
                <w:b/>
                <w:bCs/>
              </w:rPr>
            </w:pPr>
            <w:r w:rsidRPr="00DF1331">
              <w:rPr>
                <w:b/>
                <w:bCs/>
              </w:rPr>
              <w:t>Task</w:t>
            </w:r>
          </w:p>
        </w:tc>
        <w:tc>
          <w:tcPr>
            <w:tcW w:w="0" w:type="auto"/>
            <w:vAlign w:val="center"/>
            <w:hideMark/>
          </w:tcPr>
          <w:p w14:paraId="615E4F28" w14:textId="77777777" w:rsidR="00DF1331" w:rsidRPr="00DF1331" w:rsidRDefault="00DF1331" w:rsidP="00DF1331">
            <w:pPr>
              <w:rPr>
                <w:b/>
                <w:bCs/>
              </w:rPr>
            </w:pPr>
            <w:r w:rsidRPr="00DF1331">
              <w:rPr>
                <w:b/>
                <w:bCs/>
              </w:rPr>
              <w:t>Responsible Person(s)</w:t>
            </w:r>
          </w:p>
        </w:tc>
        <w:tc>
          <w:tcPr>
            <w:tcW w:w="0" w:type="auto"/>
            <w:vAlign w:val="center"/>
            <w:hideMark/>
          </w:tcPr>
          <w:p w14:paraId="7A0F964E" w14:textId="77777777" w:rsidR="00DF1331" w:rsidRPr="00DF1331" w:rsidRDefault="00DF1331" w:rsidP="00DF1331">
            <w:pPr>
              <w:rPr>
                <w:b/>
                <w:bCs/>
              </w:rPr>
            </w:pPr>
            <w:r w:rsidRPr="00DF1331">
              <w:rPr>
                <w:b/>
                <w:bCs/>
              </w:rPr>
              <w:t>Description</w:t>
            </w:r>
          </w:p>
        </w:tc>
      </w:tr>
      <w:tr w:rsidR="00DF1331" w:rsidRPr="00DF1331" w14:paraId="6BFDE84B" w14:textId="77777777" w:rsidTr="00DF1331">
        <w:trPr>
          <w:tblCellSpacing w:w="15" w:type="dxa"/>
        </w:trPr>
        <w:tc>
          <w:tcPr>
            <w:tcW w:w="0" w:type="auto"/>
            <w:vAlign w:val="center"/>
            <w:hideMark/>
          </w:tcPr>
          <w:p w14:paraId="60F78180" w14:textId="77777777" w:rsidR="00DF1331" w:rsidRPr="00DF1331" w:rsidRDefault="00DF1331" w:rsidP="00DF1331">
            <w:r w:rsidRPr="00DF1331">
              <w:t>1. Extend scenario forecasts to high/low growth variants</w:t>
            </w:r>
          </w:p>
        </w:tc>
        <w:tc>
          <w:tcPr>
            <w:tcW w:w="0" w:type="auto"/>
            <w:vAlign w:val="center"/>
            <w:hideMark/>
          </w:tcPr>
          <w:p w14:paraId="122FEA10" w14:textId="77777777" w:rsidR="00DF1331" w:rsidRPr="00DF1331" w:rsidRDefault="00DF1331" w:rsidP="00DF1331">
            <w:r w:rsidRPr="00DF1331">
              <w:rPr>
                <w:b/>
                <w:bCs/>
              </w:rPr>
              <w:t>Dan (U.S.)</w:t>
            </w:r>
            <w:r w:rsidRPr="00DF1331">
              <w:t xml:space="preserve">, </w:t>
            </w:r>
            <w:r w:rsidRPr="00DF1331">
              <w:rPr>
                <w:b/>
                <w:bCs/>
              </w:rPr>
              <w:t>George (U.K./Europe)</w:t>
            </w:r>
            <w:r w:rsidRPr="00DF1331">
              <w:t xml:space="preserve">, </w:t>
            </w:r>
            <w:r w:rsidRPr="00DF1331">
              <w:rPr>
                <w:b/>
                <w:bCs/>
              </w:rPr>
              <w:t>Gordon (Asia)</w:t>
            </w:r>
          </w:p>
        </w:tc>
        <w:tc>
          <w:tcPr>
            <w:tcW w:w="0" w:type="auto"/>
            <w:vAlign w:val="center"/>
            <w:hideMark/>
          </w:tcPr>
          <w:p w14:paraId="53332421" w14:textId="77777777" w:rsidR="00DF1331" w:rsidRPr="00DF1331" w:rsidRDefault="00DF1331" w:rsidP="00DF1331">
            <w:r w:rsidRPr="00DF1331">
              <w:t>Align macroeconomic variables across three scenarios</w:t>
            </w:r>
          </w:p>
        </w:tc>
      </w:tr>
      <w:tr w:rsidR="00DF1331" w:rsidRPr="00DF1331" w14:paraId="0F6BD15E" w14:textId="77777777" w:rsidTr="00DF1331">
        <w:trPr>
          <w:tblCellSpacing w:w="15" w:type="dxa"/>
        </w:trPr>
        <w:tc>
          <w:tcPr>
            <w:tcW w:w="0" w:type="auto"/>
            <w:vAlign w:val="center"/>
            <w:hideMark/>
          </w:tcPr>
          <w:p w14:paraId="06C56B14" w14:textId="77777777" w:rsidR="00DF1331" w:rsidRPr="00DF1331" w:rsidRDefault="00DF1331" w:rsidP="00DF1331">
            <w:r w:rsidRPr="00DF1331">
              <w:t>2. Refine U.S. volatility estimates</w:t>
            </w:r>
          </w:p>
        </w:tc>
        <w:tc>
          <w:tcPr>
            <w:tcW w:w="0" w:type="auto"/>
            <w:vAlign w:val="center"/>
            <w:hideMark/>
          </w:tcPr>
          <w:p w14:paraId="5EA98C0C" w14:textId="77777777" w:rsidR="00DF1331" w:rsidRPr="00DF1331" w:rsidRDefault="00DF1331" w:rsidP="00DF1331">
            <w:r w:rsidRPr="00DF1331">
              <w:rPr>
                <w:b/>
                <w:bCs/>
              </w:rPr>
              <w:t>Prashant</w:t>
            </w:r>
            <w:r w:rsidRPr="00DF1331">
              <w:t xml:space="preserve">, </w:t>
            </w:r>
            <w:r w:rsidRPr="00DF1331">
              <w:rPr>
                <w:b/>
                <w:bCs/>
              </w:rPr>
              <w:t>Martin</w:t>
            </w:r>
          </w:p>
        </w:tc>
        <w:tc>
          <w:tcPr>
            <w:tcW w:w="0" w:type="auto"/>
            <w:vAlign w:val="center"/>
            <w:hideMark/>
          </w:tcPr>
          <w:p w14:paraId="296E8187" w14:textId="77777777" w:rsidR="00DF1331" w:rsidRPr="00DF1331" w:rsidRDefault="00DF1331" w:rsidP="00DF1331">
            <w:r w:rsidRPr="00DF1331">
              <w:t>Iteratively calibrate sector volatility inputs and test against optimizer output</w:t>
            </w:r>
          </w:p>
        </w:tc>
      </w:tr>
      <w:tr w:rsidR="00DF1331" w:rsidRPr="00DF1331" w14:paraId="46599810" w14:textId="77777777" w:rsidTr="00DF1331">
        <w:trPr>
          <w:tblCellSpacing w:w="15" w:type="dxa"/>
        </w:trPr>
        <w:tc>
          <w:tcPr>
            <w:tcW w:w="0" w:type="auto"/>
            <w:vAlign w:val="center"/>
            <w:hideMark/>
          </w:tcPr>
          <w:p w14:paraId="364BB4E7" w14:textId="77777777" w:rsidR="00DF1331" w:rsidRPr="00DF1331" w:rsidRDefault="00DF1331" w:rsidP="00DF1331">
            <w:r w:rsidRPr="00DF1331">
              <w:lastRenderedPageBreak/>
              <w:t>3. Generate volatility estimates for Europe &amp; Asia</w:t>
            </w:r>
          </w:p>
        </w:tc>
        <w:tc>
          <w:tcPr>
            <w:tcW w:w="0" w:type="auto"/>
            <w:vAlign w:val="center"/>
            <w:hideMark/>
          </w:tcPr>
          <w:p w14:paraId="1167CCC6" w14:textId="77777777" w:rsidR="00DF1331" w:rsidRPr="00DF1331" w:rsidRDefault="00DF1331" w:rsidP="00DF1331">
            <w:r w:rsidRPr="00DF1331">
              <w:rPr>
                <w:b/>
                <w:bCs/>
              </w:rPr>
              <w:t>Martin &amp; George (Europe)</w:t>
            </w:r>
            <w:r w:rsidRPr="00DF1331">
              <w:t xml:space="preserve">, </w:t>
            </w:r>
            <w:r w:rsidRPr="00DF1331">
              <w:rPr>
                <w:b/>
                <w:bCs/>
              </w:rPr>
              <w:t>Martin &amp; Gordon (Asia)</w:t>
            </w:r>
          </w:p>
        </w:tc>
        <w:tc>
          <w:tcPr>
            <w:tcW w:w="0" w:type="auto"/>
            <w:vAlign w:val="center"/>
            <w:hideMark/>
          </w:tcPr>
          <w:p w14:paraId="56278D03" w14:textId="77777777" w:rsidR="00DF1331" w:rsidRPr="00DF1331" w:rsidRDefault="00DF1331" w:rsidP="00DF1331">
            <w:r w:rsidRPr="00DF1331">
              <w:t>Apply standard methodology across all sectors/regions</w:t>
            </w:r>
          </w:p>
        </w:tc>
      </w:tr>
      <w:tr w:rsidR="00DF1331" w:rsidRPr="00DF1331" w14:paraId="5D1BDF3E" w14:textId="77777777" w:rsidTr="00DF1331">
        <w:trPr>
          <w:tblCellSpacing w:w="15" w:type="dxa"/>
        </w:trPr>
        <w:tc>
          <w:tcPr>
            <w:tcW w:w="0" w:type="auto"/>
            <w:vAlign w:val="center"/>
            <w:hideMark/>
          </w:tcPr>
          <w:p w14:paraId="762B6DD5" w14:textId="77777777" w:rsidR="00DF1331" w:rsidRPr="00DF1331" w:rsidRDefault="00DF1331" w:rsidP="00DF1331">
            <w:r w:rsidRPr="00DF1331">
              <w:t>4. Build non-core real asset forecasting engine</w:t>
            </w:r>
          </w:p>
        </w:tc>
        <w:tc>
          <w:tcPr>
            <w:tcW w:w="0" w:type="auto"/>
            <w:vAlign w:val="center"/>
            <w:hideMark/>
          </w:tcPr>
          <w:p w14:paraId="7B218447" w14:textId="77777777" w:rsidR="00DF1331" w:rsidRPr="00DF1331" w:rsidRDefault="00DF1331" w:rsidP="00DF1331">
            <w:r w:rsidRPr="00DF1331">
              <w:rPr>
                <w:b/>
                <w:bCs/>
              </w:rPr>
              <w:t>Prashant &amp; Dan</w:t>
            </w:r>
          </w:p>
        </w:tc>
        <w:tc>
          <w:tcPr>
            <w:tcW w:w="0" w:type="auto"/>
            <w:vAlign w:val="center"/>
            <w:hideMark/>
          </w:tcPr>
          <w:p w14:paraId="4FDC9A64" w14:textId="77777777" w:rsidR="00DF1331" w:rsidRPr="00DF1331" w:rsidRDefault="00DF1331" w:rsidP="00DF1331">
            <w:r w:rsidRPr="00DF1331">
              <w:t>Mirror core methodology to generate non-core sector forecasts</w:t>
            </w:r>
          </w:p>
        </w:tc>
      </w:tr>
      <w:tr w:rsidR="00DF1331" w:rsidRPr="00DF1331" w14:paraId="6DEF2474" w14:textId="77777777" w:rsidTr="00DF1331">
        <w:trPr>
          <w:tblCellSpacing w:w="15" w:type="dxa"/>
        </w:trPr>
        <w:tc>
          <w:tcPr>
            <w:tcW w:w="0" w:type="auto"/>
            <w:vAlign w:val="center"/>
            <w:hideMark/>
          </w:tcPr>
          <w:p w14:paraId="11504377" w14:textId="77777777" w:rsidR="00DF1331" w:rsidRPr="00DF1331" w:rsidRDefault="00DF1331" w:rsidP="00DF1331">
            <w:r w:rsidRPr="00DF1331">
              <w:t>5. Generate sector- and region-level non-core forecasts</w:t>
            </w:r>
          </w:p>
        </w:tc>
        <w:tc>
          <w:tcPr>
            <w:tcW w:w="0" w:type="auto"/>
            <w:vAlign w:val="center"/>
            <w:hideMark/>
          </w:tcPr>
          <w:p w14:paraId="4F38DBF6" w14:textId="77777777" w:rsidR="00DF1331" w:rsidRPr="00DF1331" w:rsidRDefault="00DF1331" w:rsidP="00DF1331">
            <w:r w:rsidRPr="00DF1331">
              <w:rPr>
                <w:b/>
                <w:bCs/>
              </w:rPr>
              <w:t>Dan (U.S.)</w:t>
            </w:r>
            <w:r w:rsidRPr="00DF1331">
              <w:t xml:space="preserve">, </w:t>
            </w:r>
            <w:r w:rsidRPr="00DF1331">
              <w:rPr>
                <w:b/>
                <w:bCs/>
              </w:rPr>
              <w:t>George (Europe)</w:t>
            </w:r>
            <w:r w:rsidRPr="00DF1331">
              <w:t xml:space="preserve">, </w:t>
            </w:r>
            <w:r w:rsidRPr="00DF1331">
              <w:rPr>
                <w:b/>
                <w:bCs/>
              </w:rPr>
              <w:t>Gordon (Asia)</w:t>
            </w:r>
          </w:p>
        </w:tc>
        <w:tc>
          <w:tcPr>
            <w:tcW w:w="0" w:type="auto"/>
            <w:vAlign w:val="center"/>
            <w:hideMark/>
          </w:tcPr>
          <w:p w14:paraId="535B3AE4" w14:textId="77777777" w:rsidR="00DF1331" w:rsidRPr="00DF1331" w:rsidRDefault="00DF1331" w:rsidP="00DF1331">
            <w:r w:rsidRPr="00DF1331">
              <w:t>Complete non-core projections for broader asset strategy integration</w:t>
            </w:r>
          </w:p>
        </w:tc>
      </w:tr>
    </w:tbl>
    <w:p w14:paraId="48FAC174" w14:textId="1B41CEB5" w:rsidR="00DF1331" w:rsidRDefault="00DF1331" w:rsidP="009F6263"/>
    <w:p w14:paraId="46A3B8F7" w14:textId="77777777" w:rsidR="00DF1331" w:rsidRDefault="00DF1331">
      <w:r>
        <w:br w:type="page"/>
      </w:r>
    </w:p>
    <w:p w14:paraId="18BE6306" w14:textId="77777777" w:rsidR="00E2631F" w:rsidRPr="00E2631F" w:rsidRDefault="00E2631F" w:rsidP="00E2631F">
      <w:pPr>
        <w:rPr>
          <w:b/>
          <w:bCs/>
        </w:rPr>
      </w:pPr>
      <w:r w:rsidRPr="00E2631F">
        <w:rPr>
          <w:b/>
          <w:bCs/>
        </w:rPr>
        <w:lastRenderedPageBreak/>
        <w:t>3. Research &amp; Global View of the World (VOTW)</w:t>
      </w:r>
    </w:p>
    <w:p w14:paraId="5AE99CA5" w14:textId="77777777" w:rsidR="00E2631F" w:rsidRPr="00E2631F" w:rsidRDefault="00E2631F" w:rsidP="00E2631F">
      <w:r w:rsidRPr="00E2631F">
        <w:rPr>
          <w:i/>
          <w:iCs/>
        </w:rPr>
        <w:t>Monthly and biannual market intelligence for institutional real asset investors</w:t>
      </w:r>
    </w:p>
    <w:p w14:paraId="4F2B3A03" w14:textId="77777777" w:rsidR="00E2631F" w:rsidRPr="00E2631F" w:rsidRDefault="00000000" w:rsidP="00E2631F">
      <w:r>
        <w:pict w14:anchorId="64E091E7">
          <v:rect id="_x0000_i1039" style="width:0;height:1.5pt" o:hralign="center" o:hrstd="t" o:hr="t" fillcolor="#a0a0a0" stroked="f"/>
        </w:pict>
      </w:r>
    </w:p>
    <w:p w14:paraId="485D5749" w14:textId="77777777" w:rsidR="00E2631F" w:rsidRPr="00E2631F" w:rsidRDefault="00E2631F" w:rsidP="00E2631F">
      <w:pPr>
        <w:rPr>
          <w:b/>
          <w:bCs/>
        </w:rPr>
      </w:pPr>
      <w:r w:rsidRPr="00E2631F">
        <w:rPr>
          <w:b/>
          <w:bCs/>
        </w:rPr>
        <w:t>A. What the Product Does (Functionality)</w:t>
      </w:r>
    </w:p>
    <w:p w14:paraId="3FEA6F53" w14:textId="77777777" w:rsidR="00E2631F" w:rsidRPr="00E2631F" w:rsidRDefault="00E2631F" w:rsidP="00E2631F">
      <w:r w:rsidRPr="00E2631F">
        <w:t>TownsendAI’s Research &amp; Global VOTW offering delivers timely, data-driven, and forward-looking real estate and real asset insights through structured publications and exclusive client engagements.</w:t>
      </w:r>
    </w:p>
    <w:p w14:paraId="1FBD9AE5" w14:textId="77777777" w:rsidR="00E2631F" w:rsidRPr="00E2631F" w:rsidRDefault="00E2631F" w:rsidP="00E2631F">
      <w:pPr>
        <w:rPr>
          <w:b/>
          <w:bCs/>
        </w:rPr>
      </w:pPr>
      <w:r w:rsidRPr="00E2631F">
        <w:rPr>
          <w:b/>
          <w:bCs/>
        </w:rPr>
        <w:t>Key components:</w:t>
      </w:r>
    </w:p>
    <w:p w14:paraId="47EC1191" w14:textId="77777777" w:rsidR="00E2631F" w:rsidRPr="00E2631F" w:rsidRDefault="00E2631F" w:rsidP="00E2631F">
      <w:pPr>
        <w:numPr>
          <w:ilvl w:val="0"/>
          <w:numId w:val="23"/>
        </w:numPr>
      </w:pPr>
      <w:r w:rsidRPr="00E2631F">
        <w:rPr>
          <w:b/>
          <w:bCs/>
        </w:rPr>
        <w:t>Monthly Research Reports</w:t>
      </w:r>
    </w:p>
    <w:p w14:paraId="466AC15D" w14:textId="77777777" w:rsidR="00E2631F" w:rsidRPr="00E2631F" w:rsidRDefault="00E2631F" w:rsidP="00E2631F">
      <w:pPr>
        <w:numPr>
          <w:ilvl w:val="1"/>
          <w:numId w:val="23"/>
        </w:numPr>
      </w:pPr>
      <w:r w:rsidRPr="00E2631F">
        <w:t xml:space="preserve">Rotating coverage of major </w:t>
      </w:r>
      <w:r w:rsidRPr="00E2631F">
        <w:rPr>
          <w:b/>
          <w:bCs/>
        </w:rPr>
        <w:t>property sectors</w:t>
      </w:r>
      <w:r w:rsidRPr="00E2631F">
        <w:t xml:space="preserve"> (e.g., office, industrial, retail, housing, logistics, etc.)</w:t>
      </w:r>
    </w:p>
    <w:p w14:paraId="0888F6E3" w14:textId="77777777" w:rsidR="00E2631F" w:rsidRPr="00E2631F" w:rsidRDefault="00E2631F" w:rsidP="00E2631F">
      <w:pPr>
        <w:numPr>
          <w:ilvl w:val="1"/>
          <w:numId w:val="23"/>
        </w:numPr>
      </w:pPr>
      <w:r w:rsidRPr="00E2631F">
        <w:t xml:space="preserve">Geographic rotation across </w:t>
      </w:r>
      <w:r w:rsidRPr="00E2631F">
        <w:rPr>
          <w:b/>
          <w:bCs/>
        </w:rPr>
        <w:t>U.S., Europe, Asia-Pacific</w:t>
      </w:r>
    </w:p>
    <w:p w14:paraId="09741DBD" w14:textId="77777777" w:rsidR="00E2631F" w:rsidRPr="00E2631F" w:rsidRDefault="00E2631F" w:rsidP="00E2631F">
      <w:pPr>
        <w:numPr>
          <w:ilvl w:val="1"/>
          <w:numId w:val="23"/>
        </w:numPr>
      </w:pPr>
      <w:r w:rsidRPr="00E2631F">
        <w:t>Each major sector/region receives deep-dive coverage at least once per year</w:t>
      </w:r>
    </w:p>
    <w:p w14:paraId="46A582C6" w14:textId="77777777" w:rsidR="00E2631F" w:rsidRPr="00E2631F" w:rsidRDefault="00E2631F" w:rsidP="00E2631F">
      <w:pPr>
        <w:numPr>
          <w:ilvl w:val="1"/>
          <w:numId w:val="23"/>
        </w:numPr>
      </w:pPr>
      <w:r w:rsidRPr="00E2631F">
        <w:t>Topics include: capital markets, fundamentals, emerging themes, and Townsend strategic views</w:t>
      </w:r>
    </w:p>
    <w:p w14:paraId="5696B8B9" w14:textId="77777777" w:rsidR="00E2631F" w:rsidRPr="00E2631F" w:rsidRDefault="00E2631F" w:rsidP="00E2631F">
      <w:pPr>
        <w:numPr>
          <w:ilvl w:val="0"/>
          <w:numId w:val="23"/>
        </w:numPr>
      </w:pPr>
      <w:r w:rsidRPr="00E2631F">
        <w:rPr>
          <w:b/>
          <w:bCs/>
        </w:rPr>
        <w:t>Biannual Global VOTW</w:t>
      </w:r>
    </w:p>
    <w:p w14:paraId="6F398664" w14:textId="77777777" w:rsidR="00E2631F" w:rsidRPr="00E2631F" w:rsidRDefault="00E2631F" w:rsidP="00E2631F">
      <w:pPr>
        <w:numPr>
          <w:ilvl w:val="1"/>
          <w:numId w:val="23"/>
        </w:numPr>
      </w:pPr>
      <w:r w:rsidRPr="00E2631F">
        <w:t>Comprehensive forward-looking research publication</w:t>
      </w:r>
    </w:p>
    <w:p w14:paraId="0CE5ADD5" w14:textId="77777777" w:rsidR="00E2631F" w:rsidRPr="00E2631F" w:rsidRDefault="00E2631F" w:rsidP="00E2631F">
      <w:pPr>
        <w:numPr>
          <w:ilvl w:val="1"/>
          <w:numId w:val="23"/>
        </w:numPr>
      </w:pPr>
      <w:r w:rsidRPr="00E2631F">
        <w:t>Covers macro outlook, sector views, regional allocation perspectives</w:t>
      </w:r>
    </w:p>
    <w:p w14:paraId="624A6F76" w14:textId="77777777" w:rsidR="00E2631F" w:rsidRPr="00E2631F" w:rsidRDefault="00E2631F" w:rsidP="00E2631F">
      <w:pPr>
        <w:numPr>
          <w:ilvl w:val="1"/>
          <w:numId w:val="23"/>
        </w:numPr>
      </w:pPr>
      <w:r w:rsidRPr="00E2631F">
        <w:t>Integrated with VOTW forecast data (rent growth, cap rates, etc.)</w:t>
      </w:r>
    </w:p>
    <w:p w14:paraId="5CA2ECB7" w14:textId="77777777" w:rsidR="00E2631F" w:rsidRPr="00E2631F" w:rsidRDefault="00E2631F" w:rsidP="00E2631F">
      <w:pPr>
        <w:numPr>
          <w:ilvl w:val="0"/>
          <w:numId w:val="23"/>
        </w:numPr>
      </w:pPr>
      <w:r w:rsidRPr="00E2631F">
        <w:rPr>
          <w:b/>
          <w:bCs/>
        </w:rPr>
        <w:t>LP-Only Forums (2–4x Annually by Region)</w:t>
      </w:r>
    </w:p>
    <w:p w14:paraId="71600311" w14:textId="77777777" w:rsidR="00E2631F" w:rsidRPr="00E2631F" w:rsidRDefault="00E2631F" w:rsidP="00E2631F">
      <w:pPr>
        <w:numPr>
          <w:ilvl w:val="1"/>
          <w:numId w:val="23"/>
        </w:numPr>
      </w:pPr>
      <w:r w:rsidRPr="00E2631F">
        <w:t>Invite-only events for institutional investors</w:t>
      </w:r>
    </w:p>
    <w:p w14:paraId="0B62942C" w14:textId="77777777" w:rsidR="00E2631F" w:rsidRPr="00E2631F" w:rsidRDefault="00E2631F" w:rsidP="00E2631F">
      <w:pPr>
        <w:numPr>
          <w:ilvl w:val="1"/>
          <w:numId w:val="23"/>
        </w:numPr>
      </w:pPr>
      <w:r w:rsidRPr="00E2631F">
        <w:t>Share latest insights from VOTW, sector rotation, and TownsendAI research</w:t>
      </w:r>
    </w:p>
    <w:p w14:paraId="5FDB0C29" w14:textId="77777777" w:rsidR="00E2631F" w:rsidRPr="00E2631F" w:rsidRDefault="00E2631F" w:rsidP="00E2631F">
      <w:pPr>
        <w:numPr>
          <w:ilvl w:val="1"/>
          <w:numId w:val="23"/>
        </w:numPr>
      </w:pPr>
      <w:r w:rsidRPr="00E2631F">
        <w:t>Facilitate knowledge sharing and investor dialogue</w:t>
      </w:r>
    </w:p>
    <w:p w14:paraId="716E793A" w14:textId="77777777" w:rsidR="00E2631F" w:rsidRPr="00E2631F" w:rsidRDefault="00E2631F" w:rsidP="00E2631F">
      <w:pPr>
        <w:rPr>
          <w:b/>
          <w:bCs/>
        </w:rPr>
      </w:pPr>
      <w:r w:rsidRPr="00E2631F">
        <w:rPr>
          <w:b/>
          <w:bCs/>
        </w:rPr>
        <w:t>Delivery Channels</w:t>
      </w:r>
    </w:p>
    <w:p w14:paraId="362D9B56" w14:textId="77777777" w:rsidR="00E2631F" w:rsidRPr="00E2631F" w:rsidRDefault="00E2631F" w:rsidP="00E2631F">
      <w:pPr>
        <w:numPr>
          <w:ilvl w:val="0"/>
          <w:numId w:val="24"/>
        </w:numPr>
      </w:pPr>
      <w:r w:rsidRPr="00E2631F">
        <w:t>PDF reports (monthly and biannual)</w:t>
      </w:r>
    </w:p>
    <w:p w14:paraId="0EACF010" w14:textId="77777777" w:rsidR="00E2631F" w:rsidRPr="00E2631F" w:rsidRDefault="00E2631F" w:rsidP="00E2631F">
      <w:pPr>
        <w:numPr>
          <w:ilvl w:val="0"/>
          <w:numId w:val="24"/>
        </w:numPr>
      </w:pPr>
      <w:r w:rsidRPr="00E2631F">
        <w:t>Web access to research archive</w:t>
      </w:r>
    </w:p>
    <w:p w14:paraId="1B8243AC" w14:textId="77777777" w:rsidR="00E2631F" w:rsidRPr="00E2631F" w:rsidRDefault="00E2631F" w:rsidP="00E2631F">
      <w:pPr>
        <w:numPr>
          <w:ilvl w:val="0"/>
          <w:numId w:val="24"/>
        </w:numPr>
      </w:pPr>
      <w:r w:rsidRPr="00E2631F">
        <w:t>Webinars and live briefings for institutional clients</w:t>
      </w:r>
    </w:p>
    <w:p w14:paraId="6F6AD740" w14:textId="77777777" w:rsidR="00E2631F" w:rsidRPr="00E2631F" w:rsidRDefault="00E2631F" w:rsidP="00E2631F">
      <w:pPr>
        <w:numPr>
          <w:ilvl w:val="0"/>
          <w:numId w:val="24"/>
        </w:numPr>
      </w:pPr>
      <w:r w:rsidRPr="00E2631F">
        <w:lastRenderedPageBreak/>
        <w:t>Event-based delivery (LP-only forums)</w:t>
      </w:r>
    </w:p>
    <w:p w14:paraId="70D0B42C" w14:textId="77777777" w:rsidR="00E2631F" w:rsidRPr="00E2631F" w:rsidRDefault="00000000" w:rsidP="00E2631F">
      <w:r>
        <w:pict w14:anchorId="164A3073">
          <v:rect id="_x0000_i1040" style="width:0;height:1.5pt" o:hralign="center" o:hrstd="t" o:hr="t" fillcolor="#a0a0a0" stroked="f"/>
        </w:pict>
      </w:r>
    </w:p>
    <w:p w14:paraId="119CFAFE" w14:textId="77777777" w:rsidR="00E2631F" w:rsidRPr="00E2631F" w:rsidRDefault="00E2631F" w:rsidP="00E2631F">
      <w:pPr>
        <w:rPr>
          <w:b/>
          <w:bCs/>
        </w:rPr>
      </w:pPr>
      <w:r w:rsidRPr="00E2631F">
        <w:rPr>
          <w:b/>
          <w:bCs/>
        </w:rPr>
        <w:t>B. Target Clients and Their Key Use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6"/>
        <w:gridCol w:w="7084"/>
      </w:tblGrid>
      <w:tr w:rsidR="00E2631F" w:rsidRPr="00E2631F" w14:paraId="28550F30" w14:textId="77777777" w:rsidTr="00E2631F">
        <w:trPr>
          <w:tblHeader/>
          <w:tblCellSpacing w:w="15" w:type="dxa"/>
        </w:trPr>
        <w:tc>
          <w:tcPr>
            <w:tcW w:w="0" w:type="auto"/>
            <w:vAlign w:val="center"/>
            <w:hideMark/>
          </w:tcPr>
          <w:p w14:paraId="4E559141" w14:textId="77777777" w:rsidR="00E2631F" w:rsidRPr="00E2631F" w:rsidRDefault="00E2631F" w:rsidP="00E2631F">
            <w:pPr>
              <w:rPr>
                <w:b/>
                <w:bCs/>
              </w:rPr>
            </w:pPr>
            <w:r w:rsidRPr="00E2631F">
              <w:rPr>
                <w:b/>
                <w:bCs/>
              </w:rPr>
              <w:t>Client Type</w:t>
            </w:r>
          </w:p>
        </w:tc>
        <w:tc>
          <w:tcPr>
            <w:tcW w:w="0" w:type="auto"/>
            <w:vAlign w:val="center"/>
            <w:hideMark/>
          </w:tcPr>
          <w:p w14:paraId="43B2402E" w14:textId="77777777" w:rsidR="00E2631F" w:rsidRPr="00E2631F" w:rsidRDefault="00E2631F" w:rsidP="00E2631F">
            <w:pPr>
              <w:rPr>
                <w:b/>
                <w:bCs/>
              </w:rPr>
            </w:pPr>
            <w:r w:rsidRPr="00E2631F">
              <w:rPr>
                <w:b/>
                <w:bCs/>
              </w:rPr>
              <w:t>Use Cases</w:t>
            </w:r>
          </w:p>
        </w:tc>
      </w:tr>
      <w:tr w:rsidR="00E2631F" w:rsidRPr="00E2631F" w14:paraId="4D18E95E" w14:textId="77777777" w:rsidTr="00E2631F">
        <w:trPr>
          <w:tblCellSpacing w:w="15" w:type="dxa"/>
        </w:trPr>
        <w:tc>
          <w:tcPr>
            <w:tcW w:w="0" w:type="auto"/>
            <w:vAlign w:val="center"/>
            <w:hideMark/>
          </w:tcPr>
          <w:p w14:paraId="62345C2F" w14:textId="77777777" w:rsidR="00E2631F" w:rsidRPr="00E2631F" w:rsidRDefault="00E2631F" w:rsidP="00E2631F">
            <w:r w:rsidRPr="00E2631F">
              <w:rPr>
                <w:b/>
                <w:bCs/>
              </w:rPr>
              <w:t>Institutional LPs</w:t>
            </w:r>
          </w:p>
        </w:tc>
        <w:tc>
          <w:tcPr>
            <w:tcW w:w="0" w:type="auto"/>
            <w:vAlign w:val="center"/>
            <w:hideMark/>
          </w:tcPr>
          <w:p w14:paraId="0DC15650" w14:textId="77777777" w:rsidR="00E2631F" w:rsidRPr="00E2631F" w:rsidRDefault="00E2631F" w:rsidP="00E2631F">
            <w:r w:rsidRPr="00E2631F">
              <w:t>Allocation planning, sector tilts, IC education, pacing strategy input</w:t>
            </w:r>
          </w:p>
        </w:tc>
      </w:tr>
      <w:tr w:rsidR="00E2631F" w:rsidRPr="00E2631F" w14:paraId="0232164F" w14:textId="77777777" w:rsidTr="00E2631F">
        <w:trPr>
          <w:tblCellSpacing w:w="15" w:type="dxa"/>
        </w:trPr>
        <w:tc>
          <w:tcPr>
            <w:tcW w:w="0" w:type="auto"/>
            <w:vAlign w:val="center"/>
            <w:hideMark/>
          </w:tcPr>
          <w:p w14:paraId="4FBD9EBA" w14:textId="77777777" w:rsidR="00E2631F" w:rsidRPr="00E2631F" w:rsidRDefault="00E2631F" w:rsidP="00E2631F">
            <w:r w:rsidRPr="00E2631F">
              <w:rPr>
                <w:b/>
                <w:bCs/>
              </w:rPr>
              <w:t>GPs / Asset Managers</w:t>
            </w:r>
          </w:p>
        </w:tc>
        <w:tc>
          <w:tcPr>
            <w:tcW w:w="0" w:type="auto"/>
            <w:vAlign w:val="center"/>
            <w:hideMark/>
          </w:tcPr>
          <w:p w14:paraId="387F2EC5" w14:textId="77777777" w:rsidR="00E2631F" w:rsidRPr="00E2631F" w:rsidRDefault="00E2631F" w:rsidP="00E2631F">
            <w:r w:rsidRPr="00E2631F">
              <w:t>Inform product development, sector entry/exit timing, competitive positioning</w:t>
            </w:r>
          </w:p>
        </w:tc>
      </w:tr>
      <w:tr w:rsidR="00E2631F" w:rsidRPr="00E2631F" w14:paraId="2E2CC012" w14:textId="77777777" w:rsidTr="00E2631F">
        <w:trPr>
          <w:tblCellSpacing w:w="15" w:type="dxa"/>
        </w:trPr>
        <w:tc>
          <w:tcPr>
            <w:tcW w:w="0" w:type="auto"/>
            <w:vAlign w:val="center"/>
            <w:hideMark/>
          </w:tcPr>
          <w:p w14:paraId="568E86E6" w14:textId="77777777" w:rsidR="00E2631F" w:rsidRPr="00E2631F" w:rsidRDefault="00E2631F" w:rsidP="00E2631F">
            <w:r w:rsidRPr="00E2631F">
              <w:rPr>
                <w:b/>
                <w:bCs/>
              </w:rPr>
              <w:t>Consultants</w:t>
            </w:r>
          </w:p>
        </w:tc>
        <w:tc>
          <w:tcPr>
            <w:tcW w:w="0" w:type="auto"/>
            <w:vAlign w:val="center"/>
            <w:hideMark/>
          </w:tcPr>
          <w:p w14:paraId="34DA1A39" w14:textId="77777777" w:rsidR="00E2631F" w:rsidRPr="00E2631F" w:rsidRDefault="00E2631F" w:rsidP="00E2631F">
            <w:r w:rsidRPr="00E2631F">
              <w:t>Client education, capital market views, macro overlays on performance</w:t>
            </w:r>
          </w:p>
        </w:tc>
      </w:tr>
      <w:tr w:rsidR="00E2631F" w:rsidRPr="00E2631F" w14:paraId="4CA0CF81" w14:textId="77777777" w:rsidTr="00E2631F">
        <w:trPr>
          <w:tblCellSpacing w:w="15" w:type="dxa"/>
        </w:trPr>
        <w:tc>
          <w:tcPr>
            <w:tcW w:w="0" w:type="auto"/>
            <w:vAlign w:val="center"/>
            <w:hideMark/>
          </w:tcPr>
          <w:p w14:paraId="05D13155" w14:textId="77777777" w:rsidR="00E2631F" w:rsidRPr="00E2631F" w:rsidRDefault="00E2631F" w:rsidP="00E2631F">
            <w:r w:rsidRPr="00E2631F">
              <w:rPr>
                <w:b/>
                <w:bCs/>
              </w:rPr>
              <w:t>Wealth Platforms</w:t>
            </w:r>
          </w:p>
        </w:tc>
        <w:tc>
          <w:tcPr>
            <w:tcW w:w="0" w:type="auto"/>
            <w:vAlign w:val="center"/>
            <w:hideMark/>
          </w:tcPr>
          <w:p w14:paraId="455E4599" w14:textId="77777777" w:rsidR="00E2631F" w:rsidRPr="00E2631F" w:rsidRDefault="00E2631F" w:rsidP="00E2631F">
            <w:r w:rsidRPr="00E2631F">
              <w:t>Incorporate sector and macro themes into model portfolio construction</w:t>
            </w:r>
          </w:p>
        </w:tc>
      </w:tr>
      <w:tr w:rsidR="00E2631F" w:rsidRPr="00E2631F" w14:paraId="66F08D94" w14:textId="77777777" w:rsidTr="00E2631F">
        <w:trPr>
          <w:tblCellSpacing w:w="15" w:type="dxa"/>
        </w:trPr>
        <w:tc>
          <w:tcPr>
            <w:tcW w:w="0" w:type="auto"/>
            <w:vAlign w:val="center"/>
            <w:hideMark/>
          </w:tcPr>
          <w:p w14:paraId="5045684C" w14:textId="77777777" w:rsidR="00E2631F" w:rsidRPr="00E2631F" w:rsidRDefault="00E2631F" w:rsidP="00E2631F">
            <w:r w:rsidRPr="00E2631F">
              <w:rPr>
                <w:b/>
                <w:bCs/>
              </w:rPr>
              <w:t>Family Offices</w:t>
            </w:r>
          </w:p>
        </w:tc>
        <w:tc>
          <w:tcPr>
            <w:tcW w:w="0" w:type="auto"/>
            <w:vAlign w:val="center"/>
            <w:hideMark/>
          </w:tcPr>
          <w:p w14:paraId="11BEFCAF" w14:textId="77777777" w:rsidR="00E2631F" w:rsidRPr="00E2631F" w:rsidRDefault="00E2631F" w:rsidP="00E2631F">
            <w:r w:rsidRPr="00E2631F">
              <w:t>Guidance on opportunistic positioning, geography and sector evaluations</w:t>
            </w:r>
          </w:p>
        </w:tc>
      </w:tr>
      <w:tr w:rsidR="00E2631F" w:rsidRPr="00E2631F" w14:paraId="20D6986A" w14:textId="77777777" w:rsidTr="00E2631F">
        <w:trPr>
          <w:tblCellSpacing w:w="15" w:type="dxa"/>
        </w:trPr>
        <w:tc>
          <w:tcPr>
            <w:tcW w:w="0" w:type="auto"/>
            <w:vAlign w:val="center"/>
            <w:hideMark/>
          </w:tcPr>
          <w:p w14:paraId="357455F6" w14:textId="77777777" w:rsidR="00E2631F" w:rsidRPr="00E2631F" w:rsidRDefault="00E2631F" w:rsidP="00E2631F">
            <w:r w:rsidRPr="00E2631F">
              <w:rPr>
                <w:b/>
                <w:bCs/>
              </w:rPr>
              <w:t>Academia / Research</w:t>
            </w:r>
          </w:p>
        </w:tc>
        <w:tc>
          <w:tcPr>
            <w:tcW w:w="0" w:type="auto"/>
            <w:vAlign w:val="center"/>
            <w:hideMark/>
          </w:tcPr>
          <w:p w14:paraId="4B12871F" w14:textId="77777777" w:rsidR="00E2631F" w:rsidRPr="00E2631F" w:rsidRDefault="00E2631F" w:rsidP="00E2631F">
            <w:r w:rsidRPr="00E2631F">
              <w:t>Use in market analysis, research papers, and curriculum development</w:t>
            </w:r>
          </w:p>
        </w:tc>
      </w:tr>
    </w:tbl>
    <w:p w14:paraId="63A1E06A" w14:textId="77777777" w:rsidR="00E2631F" w:rsidRPr="00E2631F" w:rsidRDefault="00000000" w:rsidP="00E2631F">
      <w:r>
        <w:pict w14:anchorId="373163F9">
          <v:rect id="_x0000_i1041" style="width:0;height:1.5pt" o:hralign="center" o:hrstd="t" o:hr="t" fillcolor="#a0a0a0" stroked="f"/>
        </w:pict>
      </w:r>
    </w:p>
    <w:p w14:paraId="542B2E67" w14:textId="77777777" w:rsidR="00E2631F" w:rsidRPr="00E2631F" w:rsidRDefault="00E2631F" w:rsidP="00E2631F">
      <w:pPr>
        <w:rPr>
          <w:b/>
          <w:bCs/>
        </w:rPr>
      </w:pPr>
      <w:r w:rsidRPr="00E2631F">
        <w:rPr>
          <w:b/>
          <w:bCs/>
        </w:rPr>
        <w:t>C. Development Status</w:t>
      </w:r>
    </w:p>
    <w:p w14:paraId="17A014D7" w14:textId="77777777" w:rsidR="00E2631F" w:rsidRPr="00E2631F" w:rsidRDefault="00E2631F" w:rsidP="00E2631F">
      <w:pPr>
        <w:numPr>
          <w:ilvl w:val="0"/>
          <w:numId w:val="25"/>
        </w:numPr>
      </w:pPr>
      <w:r w:rsidRPr="00E2631F">
        <w:rPr>
          <w:rFonts w:ascii="Segoe UI Emoji" w:hAnsi="Segoe UI Emoji" w:cs="Segoe UI Emoji"/>
        </w:rPr>
        <w:t>✅</w:t>
      </w:r>
      <w:r w:rsidRPr="00E2631F">
        <w:t xml:space="preserve"> </w:t>
      </w:r>
      <w:r w:rsidRPr="00E2631F">
        <w:rPr>
          <w:b/>
          <w:bCs/>
        </w:rPr>
        <w:t>Biannual VOTW</w:t>
      </w:r>
      <w:r w:rsidRPr="00E2631F">
        <w:t xml:space="preserve"> currently published and distributed to clients</w:t>
      </w:r>
    </w:p>
    <w:p w14:paraId="734C3366" w14:textId="77777777" w:rsidR="00E2631F" w:rsidRPr="00E2631F" w:rsidRDefault="00E2631F" w:rsidP="00E2631F">
      <w:pPr>
        <w:numPr>
          <w:ilvl w:val="0"/>
          <w:numId w:val="25"/>
        </w:numPr>
      </w:pPr>
      <w:r w:rsidRPr="00E2631F">
        <w:rPr>
          <w:rFonts w:ascii="Segoe UI Emoji" w:hAnsi="Segoe UI Emoji" w:cs="Segoe UI Emoji"/>
        </w:rPr>
        <w:t>✅</w:t>
      </w:r>
      <w:r w:rsidRPr="00E2631F">
        <w:t xml:space="preserve"> </w:t>
      </w:r>
      <w:r w:rsidRPr="00E2631F">
        <w:rPr>
          <w:b/>
          <w:bCs/>
        </w:rPr>
        <w:t>Periodic Research Reports</w:t>
      </w:r>
      <w:r w:rsidRPr="00E2631F">
        <w:t xml:space="preserve"> underway, though cadence and coverage rotation are still being formalized</w:t>
      </w:r>
    </w:p>
    <w:p w14:paraId="4D5CD234" w14:textId="77777777" w:rsidR="00E2631F" w:rsidRPr="00E2631F" w:rsidRDefault="00E2631F" w:rsidP="00E2631F">
      <w:pPr>
        <w:numPr>
          <w:ilvl w:val="0"/>
          <w:numId w:val="25"/>
        </w:numPr>
      </w:pPr>
      <w:r w:rsidRPr="00E2631F">
        <w:rPr>
          <w:rFonts w:ascii="Segoe UI Emoji" w:hAnsi="Segoe UI Emoji" w:cs="Segoe UI Emoji"/>
        </w:rPr>
        <w:t>🚧</w:t>
      </w:r>
      <w:r w:rsidRPr="00E2631F">
        <w:t xml:space="preserve"> </w:t>
      </w:r>
      <w:r w:rsidRPr="00E2631F">
        <w:rPr>
          <w:b/>
          <w:bCs/>
        </w:rPr>
        <w:t>LP-only conference structure</w:t>
      </w:r>
      <w:r w:rsidRPr="00E2631F">
        <w:t xml:space="preserve"> under evaluation</w:t>
      </w:r>
    </w:p>
    <w:p w14:paraId="7CF9025C" w14:textId="77777777" w:rsidR="00E2631F" w:rsidRPr="00E2631F" w:rsidRDefault="00000000" w:rsidP="00E2631F">
      <w:r>
        <w:pict w14:anchorId="7CD52A22">
          <v:rect id="_x0000_i1042" style="width:0;height:1.5pt" o:hralign="center" o:hrstd="t" o:hr="t" fillcolor="#a0a0a0" stroked="f"/>
        </w:pict>
      </w:r>
    </w:p>
    <w:p w14:paraId="77DC6BB8" w14:textId="77777777" w:rsidR="00E2631F" w:rsidRPr="00E2631F" w:rsidRDefault="00E2631F" w:rsidP="00E2631F">
      <w:pPr>
        <w:rPr>
          <w:b/>
          <w:bCs/>
        </w:rPr>
      </w:pPr>
      <w:r w:rsidRPr="00E2631F">
        <w:rPr>
          <w:b/>
          <w:bCs/>
        </w:rPr>
        <w:t>D. Next Steps and Responsibilities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2"/>
        <w:gridCol w:w="2128"/>
        <w:gridCol w:w="4670"/>
      </w:tblGrid>
      <w:tr w:rsidR="00E2631F" w:rsidRPr="00E2631F" w14:paraId="242B2F82" w14:textId="77777777" w:rsidTr="00E2631F">
        <w:trPr>
          <w:tblHeader/>
          <w:tblCellSpacing w:w="15" w:type="dxa"/>
        </w:trPr>
        <w:tc>
          <w:tcPr>
            <w:tcW w:w="0" w:type="auto"/>
            <w:vAlign w:val="center"/>
            <w:hideMark/>
          </w:tcPr>
          <w:p w14:paraId="5E1D6C0D" w14:textId="77777777" w:rsidR="00E2631F" w:rsidRPr="00E2631F" w:rsidRDefault="00E2631F" w:rsidP="00E2631F">
            <w:pPr>
              <w:rPr>
                <w:b/>
                <w:bCs/>
              </w:rPr>
            </w:pPr>
            <w:r w:rsidRPr="00E2631F">
              <w:rPr>
                <w:b/>
                <w:bCs/>
              </w:rPr>
              <w:lastRenderedPageBreak/>
              <w:t>Task</w:t>
            </w:r>
          </w:p>
        </w:tc>
        <w:tc>
          <w:tcPr>
            <w:tcW w:w="0" w:type="auto"/>
            <w:vAlign w:val="center"/>
            <w:hideMark/>
          </w:tcPr>
          <w:p w14:paraId="29C71274" w14:textId="77777777" w:rsidR="00E2631F" w:rsidRPr="00E2631F" w:rsidRDefault="00E2631F" w:rsidP="00E2631F">
            <w:pPr>
              <w:rPr>
                <w:b/>
                <w:bCs/>
              </w:rPr>
            </w:pPr>
            <w:r w:rsidRPr="00E2631F">
              <w:rPr>
                <w:b/>
                <w:bCs/>
              </w:rPr>
              <w:t>Responsible Person(s)</w:t>
            </w:r>
          </w:p>
        </w:tc>
        <w:tc>
          <w:tcPr>
            <w:tcW w:w="0" w:type="auto"/>
            <w:vAlign w:val="center"/>
            <w:hideMark/>
          </w:tcPr>
          <w:p w14:paraId="551BBCEA" w14:textId="77777777" w:rsidR="00E2631F" w:rsidRPr="00E2631F" w:rsidRDefault="00E2631F" w:rsidP="00E2631F">
            <w:pPr>
              <w:rPr>
                <w:b/>
                <w:bCs/>
              </w:rPr>
            </w:pPr>
            <w:r w:rsidRPr="00E2631F">
              <w:rPr>
                <w:b/>
                <w:bCs/>
              </w:rPr>
              <w:t>Description</w:t>
            </w:r>
          </w:p>
        </w:tc>
      </w:tr>
      <w:tr w:rsidR="00E2631F" w:rsidRPr="00E2631F" w14:paraId="20BAF2B3" w14:textId="77777777" w:rsidTr="00E2631F">
        <w:trPr>
          <w:tblCellSpacing w:w="15" w:type="dxa"/>
        </w:trPr>
        <w:tc>
          <w:tcPr>
            <w:tcW w:w="0" w:type="auto"/>
            <w:vAlign w:val="center"/>
            <w:hideMark/>
          </w:tcPr>
          <w:p w14:paraId="27CA412E" w14:textId="77777777" w:rsidR="00E2631F" w:rsidRPr="00E2631F" w:rsidRDefault="00E2631F" w:rsidP="00E2631F">
            <w:r w:rsidRPr="00E2631F">
              <w:t>1. Establish monthly report cadence</w:t>
            </w:r>
          </w:p>
        </w:tc>
        <w:tc>
          <w:tcPr>
            <w:tcW w:w="0" w:type="auto"/>
            <w:vAlign w:val="center"/>
            <w:hideMark/>
          </w:tcPr>
          <w:p w14:paraId="153348F8" w14:textId="77777777" w:rsidR="00E2631F" w:rsidRPr="00E2631F" w:rsidRDefault="00E2631F" w:rsidP="00E2631F">
            <w:r w:rsidRPr="00E2631F">
              <w:rPr>
                <w:b/>
                <w:bCs/>
              </w:rPr>
              <w:t>Martin (Lead), David, Gordon</w:t>
            </w:r>
          </w:p>
        </w:tc>
        <w:tc>
          <w:tcPr>
            <w:tcW w:w="0" w:type="auto"/>
            <w:vAlign w:val="center"/>
            <w:hideMark/>
          </w:tcPr>
          <w:p w14:paraId="6B8321F7" w14:textId="77777777" w:rsidR="00E2631F" w:rsidRPr="00E2631F" w:rsidRDefault="00E2631F" w:rsidP="00E2631F">
            <w:r w:rsidRPr="00E2631F">
              <w:t>Define sector and region rotation calendar; ensure full global and sector coverage annually</w:t>
            </w:r>
          </w:p>
        </w:tc>
      </w:tr>
      <w:tr w:rsidR="00E2631F" w:rsidRPr="00E2631F" w14:paraId="2BACB2EA" w14:textId="77777777" w:rsidTr="00E2631F">
        <w:trPr>
          <w:tblCellSpacing w:w="15" w:type="dxa"/>
        </w:trPr>
        <w:tc>
          <w:tcPr>
            <w:tcW w:w="0" w:type="auto"/>
            <w:vAlign w:val="center"/>
            <w:hideMark/>
          </w:tcPr>
          <w:p w14:paraId="3EFD7B25" w14:textId="77777777" w:rsidR="00E2631F" w:rsidRPr="00E2631F" w:rsidRDefault="00E2631F" w:rsidP="00E2631F">
            <w:r w:rsidRPr="00E2631F">
              <w:t>2. Standardize VOTW formatting and voice</w:t>
            </w:r>
          </w:p>
        </w:tc>
        <w:tc>
          <w:tcPr>
            <w:tcW w:w="0" w:type="auto"/>
            <w:vAlign w:val="center"/>
            <w:hideMark/>
          </w:tcPr>
          <w:p w14:paraId="1D6A042C" w14:textId="77777777" w:rsidR="00E2631F" w:rsidRPr="00E2631F" w:rsidRDefault="00E2631F" w:rsidP="00E2631F">
            <w:r w:rsidRPr="00E2631F">
              <w:rPr>
                <w:b/>
                <w:bCs/>
              </w:rPr>
              <w:t>Martin &amp; Prashant</w:t>
            </w:r>
          </w:p>
        </w:tc>
        <w:tc>
          <w:tcPr>
            <w:tcW w:w="0" w:type="auto"/>
            <w:vAlign w:val="center"/>
            <w:hideMark/>
          </w:tcPr>
          <w:p w14:paraId="072EDBA3" w14:textId="77777777" w:rsidR="00E2631F" w:rsidRPr="00E2631F" w:rsidRDefault="00E2631F" w:rsidP="00E2631F">
            <w:r w:rsidRPr="00E2631F">
              <w:t>Create a consistent tone, format, and forward-looking structure for the biannual VOTW</w:t>
            </w:r>
          </w:p>
        </w:tc>
      </w:tr>
      <w:tr w:rsidR="00E2631F" w:rsidRPr="00E2631F" w14:paraId="46A42212" w14:textId="77777777" w:rsidTr="00E2631F">
        <w:trPr>
          <w:tblCellSpacing w:w="15" w:type="dxa"/>
        </w:trPr>
        <w:tc>
          <w:tcPr>
            <w:tcW w:w="0" w:type="auto"/>
            <w:vAlign w:val="center"/>
            <w:hideMark/>
          </w:tcPr>
          <w:p w14:paraId="1B58856A" w14:textId="77777777" w:rsidR="00E2631F" w:rsidRPr="00E2631F" w:rsidRDefault="00E2631F" w:rsidP="00E2631F">
            <w:r w:rsidRPr="00E2631F">
              <w:t>3. Expand global coverage</w:t>
            </w:r>
          </w:p>
        </w:tc>
        <w:tc>
          <w:tcPr>
            <w:tcW w:w="0" w:type="auto"/>
            <w:vAlign w:val="center"/>
            <w:hideMark/>
          </w:tcPr>
          <w:p w14:paraId="2E02F525" w14:textId="77777777" w:rsidR="00E2631F" w:rsidRPr="00E2631F" w:rsidRDefault="00E2631F" w:rsidP="00E2631F">
            <w:r w:rsidRPr="00E2631F">
              <w:rPr>
                <w:b/>
                <w:bCs/>
              </w:rPr>
              <w:t>Martin, Gordon, George</w:t>
            </w:r>
          </w:p>
        </w:tc>
        <w:tc>
          <w:tcPr>
            <w:tcW w:w="0" w:type="auto"/>
            <w:vAlign w:val="center"/>
            <w:hideMark/>
          </w:tcPr>
          <w:p w14:paraId="42836AC7" w14:textId="77777777" w:rsidR="00E2631F" w:rsidRPr="00E2631F" w:rsidRDefault="00E2631F" w:rsidP="00E2631F">
            <w:r w:rsidRPr="00E2631F">
              <w:t>Ensure Asia, Europe, and other regions have dedicated contributions and forward outlooks</w:t>
            </w:r>
          </w:p>
        </w:tc>
      </w:tr>
      <w:tr w:rsidR="00E2631F" w:rsidRPr="00E2631F" w14:paraId="3506340C" w14:textId="77777777" w:rsidTr="00E2631F">
        <w:trPr>
          <w:tblCellSpacing w:w="15" w:type="dxa"/>
        </w:trPr>
        <w:tc>
          <w:tcPr>
            <w:tcW w:w="0" w:type="auto"/>
            <w:vAlign w:val="center"/>
            <w:hideMark/>
          </w:tcPr>
          <w:p w14:paraId="21BBD4D9" w14:textId="77777777" w:rsidR="00E2631F" w:rsidRPr="00E2631F" w:rsidRDefault="00E2631F" w:rsidP="00E2631F">
            <w:r w:rsidRPr="00E2631F">
              <w:t>4. LP-Only Conference Feasibility</w:t>
            </w:r>
          </w:p>
        </w:tc>
        <w:tc>
          <w:tcPr>
            <w:tcW w:w="0" w:type="auto"/>
            <w:vAlign w:val="center"/>
            <w:hideMark/>
          </w:tcPr>
          <w:p w14:paraId="3DE1472C" w14:textId="77777777" w:rsidR="00E2631F" w:rsidRPr="00E2631F" w:rsidRDefault="00E2631F" w:rsidP="00E2631F">
            <w:r w:rsidRPr="00E2631F">
              <w:rPr>
                <w:b/>
                <w:bCs/>
              </w:rPr>
              <w:t>Martin &amp; Prashant</w:t>
            </w:r>
          </w:p>
        </w:tc>
        <w:tc>
          <w:tcPr>
            <w:tcW w:w="0" w:type="auto"/>
            <w:vAlign w:val="center"/>
            <w:hideMark/>
          </w:tcPr>
          <w:p w14:paraId="0674419F" w14:textId="77777777" w:rsidR="00E2631F" w:rsidRPr="00E2631F" w:rsidRDefault="00E2631F" w:rsidP="00E2631F">
            <w:r w:rsidRPr="00E2631F">
              <w:t>Evaluate demand, format, and logistics for invite-only LP events 2–4x/year</w:t>
            </w:r>
          </w:p>
        </w:tc>
      </w:tr>
    </w:tbl>
    <w:p w14:paraId="18915A4C" w14:textId="28674BED" w:rsidR="00E2631F" w:rsidRDefault="00E2631F" w:rsidP="009F6263"/>
    <w:p w14:paraId="1DD89DB0" w14:textId="03ACF28C" w:rsidR="00722FD9" w:rsidRDefault="00E2631F">
      <w:r>
        <w:br w:type="page"/>
      </w:r>
      <w:r w:rsidR="00722FD9">
        <w:lastRenderedPageBreak/>
        <w:br w:type="page"/>
      </w:r>
    </w:p>
    <w:p w14:paraId="4C513BFC" w14:textId="77777777" w:rsidR="00722FD9" w:rsidRPr="00722FD9" w:rsidRDefault="00722FD9" w:rsidP="00722FD9">
      <w:pPr>
        <w:rPr>
          <w:b/>
          <w:bCs/>
        </w:rPr>
      </w:pPr>
      <w:r w:rsidRPr="00722FD9">
        <w:rPr>
          <w:b/>
          <w:bCs/>
        </w:rPr>
        <w:lastRenderedPageBreak/>
        <w:t>4. RealAlpha – AI-Driven Underwriting</w:t>
      </w:r>
    </w:p>
    <w:p w14:paraId="63771B72" w14:textId="77777777" w:rsidR="00722FD9" w:rsidRPr="00722FD9" w:rsidRDefault="00722FD9" w:rsidP="00722FD9">
      <w:r w:rsidRPr="00722FD9">
        <w:rPr>
          <w:i/>
          <w:iCs/>
        </w:rPr>
        <w:t>A modular, AI-assisted underwriting and ratings platform for funds and direct deals, built on Townsend’s proprietary data and frameworks.</w:t>
      </w:r>
    </w:p>
    <w:p w14:paraId="6B64C9A4" w14:textId="77777777" w:rsidR="00722FD9" w:rsidRPr="00722FD9" w:rsidRDefault="00722FD9" w:rsidP="00722FD9">
      <w:r w:rsidRPr="00722FD9">
        <w:pict w14:anchorId="1D1C042F">
          <v:rect id="_x0000_i1067" style="width:0;height:1.5pt" o:hralign="center" o:hrstd="t" o:hr="t" fillcolor="#a0a0a0" stroked="f"/>
        </w:pict>
      </w:r>
    </w:p>
    <w:p w14:paraId="149881A1" w14:textId="77777777" w:rsidR="00722FD9" w:rsidRPr="00722FD9" w:rsidRDefault="00722FD9" w:rsidP="00722FD9">
      <w:pPr>
        <w:rPr>
          <w:b/>
          <w:bCs/>
        </w:rPr>
      </w:pPr>
      <w:r w:rsidRPr="00722FD9">
        <w:rPr>
          <w:b/>
          <w:bCs/>
        </w:rPr>
        <w:t>A. What the Product Does (Functionality)</w:t>
      </w:r>
    </w:p>
    <w:p w14:paraId="39B1CA71" w14:textId="77777777" w:rsidR="00722FD9" w:rsidRPr="00722FD9" w:rsidRDefault="00722FD9" w:rsidP="00722FD9">
      <w:r w:rsidRPr="00722FD9">
        <w:t>RealAlpha delivers standardized, AI-enhanced underwriting reports for fund offerings, SMA platforms, direct deals, and manager platforms. It integrates:</w:t>
      </w:r>
    </w:p>
    <w:p w14:paraId="74B0196E" w14:textId="77777777" w:rsidR="00722FD9" w:rsidRPr="00722FD9" w:rsidRDefault="00722FD9" w:rsidP="00722FD9">
      <w:pPr>
        <w:numPr>
          <w:ilvl w:val="0"/>
          <w:numId w:val="26"/>
        </w:numPr>
      </w:pPr>
      <w:r w:rsidRPr="00722FD9">
        <w:rPr>
          <w:b/>
          <w:bCs/>
        </w:rPr>
        <w:t>TURF</w:t>
      </w:r>
      <w:r w:rsidRPr="00722FD9">
        <w:t>: Townsend’s proprietary underwriting and rating framework</w:t>
      </w:r>
    </w:p>
    <w:p w14:paraId="22CC7CA3" w14:textId="77777777" w:rsidR="00722FD9" w:rsidRPr="00722FD9" w:rsidRDefault="00722FD9" w:rsidP="00722FD9">
      <w:pPr>
        <w:numPr>
          <w:ilvl w:val="0"/>
          <w:numId w:val="26"/>
        </w:numPr>
      </w:pPr>
      <w:r w:rsidRPr="00722FD9">
        <w:rPr>
          <w:b/>
          <w:bCs/>
        </w:rPr>
        <w:t>MCAF</w:t>
      </w:r>
      <w:r w:rsidRPr="00722FD9">
        <w:t>: Townsend’s Manager Capability Assessment Framework</w:t>
      </w:r>
    </w:p>
    <w:p w14:paraId="19D62D71" w14:textId="77777777" w:rsidR="00722FD9" w:rsidRPr="00722FD9" w:rsidRDefault="00722FD9" w:rsidP="00722FD9">
      <w:pPr>
        <w:numPr>
          <w:ilvl w:val="0"/>
          <w:numId w:val="26"/>
        </w:numPr>
      </w:pPr>
      <w:r w:rsidRPr="00722FD9">
        <w:rPr>
          <w:b/>
          <w:bCs/>
        </w:rPr>
        <w:t>Performance Database</w:t>
      </w:r>
      <w:r w:rsidRPr="00722FD9">
        <w:t>: Real estate, infra, ag, timber performance by vintage, sector, and region</w:t>
      </w:r>
    </w:p>
    <w:p w14:paraId="489A12AE" w14:textId="77777777" w:rsidR="00722FD9" w:rsidRPr="00722FD9" w:rsidRDefault="00722FD9" w:rsidP="00722FD9">
      <w:pPr>
        <w:numPr>
          <w:ilvl w:val="0"/>
          <w:numId w:val="26"/>
        </w:numPr>
      </w:pPr>
      <w:r w:rsidRPr="00722FD9">
        <w:rPr>
          <w:b/>
          <w:bCs/>
        </w:rPr>
        <w:t>VOTW</w:t>
      </w:r>
      <w:r w:rsidRPr="00722FD9">
        <w:t>: Forecasts, macro scenarios, and volatility models</w:t>
      </w:r>
    </w:p>
    <w:p w14:paraId="59CB73C0" w14:textId="77777777" w:rsidR="00722FD9" w:rsidRPr="00722FD9" w:rsidRDefault="00722FD9" w:rsidP="00722FD9">
      <w:pPr>
        <w:numPr>
          <w:ilvl w:val="0"/>
          <w:numId w:val="26"/>
        </w:numPr>
      </w:pPr>
      <w:r w:rsidRPr="00722FD9">
        <w:rPr>
          <w:b/>
          <w:bCs/>
        </w:rPr>
        <w:t>Investment Models</w:t>
      </w:r>
      <w:r w:rsidRPr="00722FD9">
        <w:t>: Scenario-adjusted return and risk assessments</w:t>
      </w:r>
    </w:p>
    <w:p w14:paraId="6D248515" w14:textId="77777777" w:rsidR="00722FD9" w:rsidRPr="00722FD9" w:rsidRDefault="00722FD9" w:rsidP="00722FD9">
      <w:pPr>
        <w:rPr>
          <w:b/>
          <w:bCs/>
        </w:rPr>
      </w:pPr>
      <w:r w:rsidRPr="00722FD9">
        <w:rPr>
          <w:b/>
          <w:bCs/>
        </w:rPr>
        <w:t>Three Tiers of RealAlpha Reports:</w:t>
      </w:r>
    </w:p>
    <w:p w14:paraId="2D126BE5" w14:textId="77777777" w:rsidR="00722FD9" w:rsidRPr="00722FD9" w:rsidRDefault="00722FD9" w:rsidP="00722FD9">
      <w:pPr>
        <w:numPr>
          <w:ilvl w:val="0"/>
          <w:numId w:val="27"/>
        </w:numPr>
      </w:pPr>
      <w:r w:rsidRPr="00722FD9">
        <w:rPr>
          <w:b/>
          <w:bCs/>
        </w:rPr>
        <w:t>RealAlpha Silver</w:t>
      </w:r>
    </w:p>
    <w:p w14:paraId="36C1EE02" w14:textId="77777777" w:rsidR="00722FD9" w:rsidRPr="00722FD9" w:rsidRDefault="00722FD9" w:rsidP="00722FD9">
      <w:pPr>
        <w:numPr>
          <w:ilvl w:val="1"/>
          <w:numId w:val="27"/>
        </w:numPr>
      </w:pPr>
      <w:r w:rsidRPr="00722FD9">
        <w:t>AI-generated report with limited human oversight</w:t>
      </w:r>
    </w:p>
    <w:p w14:paraId="48D496F2" w14:textId="77777777" w:rsidR="00722FD9" w:rsidRPr="00722FD9" w:rsidRDefault="00722FD9" w:rsidP="00722FD9">
      <w:pPr>
        <w:numPr>
          <w:ilvl w:val="1"/>
          <w:numId w:val="27"/>
        </w:numPr>
      </w:pPr>
      <w:r w:rsidRPr="00722FD9">
        <w:t>Assesses manager’s capabilities and fund/deal attributes using TURF, MCAF, VOTW, and Townsend benchmarks</w:t>
      </w:r>
    </w:p>
    <w:p w14:paraId="1EAFA20D" w14:textId="77777777" w:rsidR="00722FD9" w:rsidRPr="00722FD9" w:rsidRDefault="00722FD9" w:rsidP="00722FD9">
      <w:pPr>
        <w:numPr>
          <w:ilvl w:val="1"/>
          <w:numId w:val="27"/>
        </w:numPr>
      </w:pPr>
      <w:r w:rsidRPr="00722FD9">
        <w:t>Includes:</w:t>
      </w:r>
    </w:p>
    <w:p w14:paraId="52E881EC" w14:textId="77777777" w:rsidR="00722FD9" w:rsidRPr="00722FD9" w:rsidRDefault="00722FD9" w:rsidP="00722FD9">
      <w:pPr>
        <w:numPr>
          <w:ilvl w:val="2"/>
          <w:numId w:val="27"/>
        </w:numPr>
      </w:pPr>
      <w:r w:rsidRPr="00722FD9">
        <w:t>Peer performance benchmarking</w:t>
      </w:r>
    </w:p>
    <w:p w14:paraId="3CCD133A" w14:textId="77777777" w:rsidR="00722FD9" w:rsidRPr="00722FD9" w:rsidRDefault="00722FD9" w:rsidP="00722FD9">
      <w:pPr>
        <w:numPr>
          <w:ilvl w:val="2"/>
          <w:numId w:val="27"/>
        </w:numPr>
      </w:pPr>
      <w:r w:rsidRPr="00722FD9">
        <w:t>Fee and governance comparisons</w:t>
      </w:r>
    </w:p>
    <w:p w14:paraId="22675F67" w14:textId="77777777" w:rsidR="00722FD9" w:rsidRPr="00722FD9" w:rsidRDefault="00722FD9" w:rsidP="00722FD9">
      <w:pPr>
        <w:numPr>
          <w:ilvl w:val="2"/>
          <w:numId w:val="27"/>
        </w:numPr>
      </w:pPr>
      <w:r w:rsidRPr="00722FD9">
        <w:t>Strategic fit commentary</w:t>
      </w:r>
    </w:p>
    <w:p w14:paraId="72C3C942" w14:textId="77777777" w:rsidR="00722FD9" w:rsidRPr="00722FD9" w:rsidRDefault="00722FD9" w:rsidP="00722FD9">
      <w:pPr>
        <w:numPr>
          <w:ilvl w:val="1"/>
          <w:numId w:val="27"/>
        </w:numPr>
      </w:pPr>
      <w:r w:rsidRPr="00722FD9">
        <w:t>Manager controls report distribution</w:t>
      </w:r>
    </w:p>
    <w:p w14:paraId="5C0CD6D2" w14:textId="77777777" w:rsidR="00722FD9" w:rsidRPr="00722FD9" w:rsidRDefault="00722FD9" w:rsidP="00722FD9">
      <w:pPr>
        <w:numPr>
          <w:ilvl w:val="1"/>
          <w:numId w:val="27"/>
        </w:numPr>
      </w:pPr>
      <w:r w:rsidRPr="00722FD9">
        <w:t>Fee applies for initial report and each new recipient</w:t>
      </w:r>
    </w:p>
    <w:p w14:paraId="739A1B37" w14:textId="77777777" w:rsidR="00722FD9" w:rsidRPr="00722FD9" w:rsidRDefault="00722FD9" w:rsidP="00722FD9">
      <w:pPr>
        <w:numPr>
          <w:ilvl w:val="0"/>
          <w:numId w:val="27"/>
        </w:numPr>
      </w:pPr>
      <w:r w:rsidRPr="00722FD9">
        <w:rPr>
          <w:b/>
          <w:bCs/>
        </w:rPr>
        <w:t>RealAlpha Gold</w:t>
      </w:r>
    </w:p>
    <w:p w14:paraId="7A130084" w14:textId="77777777" w:rsidR="00722FD9" w:rsidRPr="00722FD9" w:rsidRDefault="00722FD9" w:rsidP="00722FD9">
      <w:pPr>
        <w:numPr>
          <w:ilvl w:val="1"/>
          <w:numId w:val="27"/>
        </w:numPr>
      </w:pPr>
      <w:r w:rsidRPr="00722FD9">
        <w:t>Same as Silver, plus:</w:t>
      </w:r>
    </w:p>
    <w:p w14:paraId="4607CBC0" w14:textId="77777777" w:rsidR="00722FD9" w:rsidRPr="00722FD9" w:rsidRDefault="00722FD9" w:rsidP="00722FD9">
      <w:pPr>
        <w:numPr>
          <w:ilvl w:val="2"/>
          <w:numId w:val="27"/>
        </w:numPr>
      </w:pPr>
      <w:r w:rsidRPr="00722FD9">
        <w:lastRenderedPageBreak/>
        <w:t xml:space="preserve">Reviewed and signed off by a </w:t>
      </w:r>
      <w:r w:rsidRPr="00722FD9">
        <w:rPr>
          <w:b/>
          <w:bCs/>
        </w:rPr>
        <w:t>Townsend underwriter</w:t>
      </w:r>
      <w:r w:rsidRPr="00722FD9">
        <w:t xml:space="preserve"> and at least </w:t>
      </w:r>
      <w:r w:rsidRPr="00722FD9">
        <w:rPr>
          <w:b/>
          <w:bCs/>
        </w:rPr>
        <w:t>one IC member</w:t>
      </w:r>
    </w:p>
    <w:p w14:paraId="34207212" w14:textId="77777777" w:rsidR="00722FD9" w:rsidRPr="00722FD9" w:rsidRDefault="00722FD9" w:rsidP="00722FD9">
      <w:pPr>
        <w:numPr>
          <w:ilvl w:val="2"/>
          <w:numId w:val="27"/>
        </w:numPr>
      </w:pPr>
      <w:r w:rsidRPr="00722FD9">
        <w:t xml:space="preserve">Provides </w:t>
      </w:r>
      <w:r w:rsidRPr="00722FD9">
        <w:rPr>
          <w:b/>
          <w:bCs/>
        </w:rPr>
        <w:t>greater validation</w:t>
      </w:r>
      <w:r w:rsidRPr="00722FD9">
        <w:t xml:space="preserve"> of the fund/deal</w:t>
      </w:r>
    </w:p>
    <w:p w14:paraId="5BC4F6E7" w14:textId="77777777" w:rsidR="00722FD9" w:rsidRPr="00722FD9" w:rsidRDefault="00722FD9" w:rsidP="00722FD9">
      <w:pPr>
        <w:numPr>
          <w:ilvl w:val="2"/>
          <w:numId w:val="27"/>
        </w:numPr>
      </w:pPr>
      <w:r w:rsidRPr="00722FD9">
        <w:t>Enhances confidence among LP prospects</w:t>
      </w:r>
    </w:p>
    <w:p w14:paraId="2E40D802" w14:textId="77777777" w:rsidR="00722FD9" w:rsidRPr="00722FD9" w:rsidRDefault="00722FD9" w:rsidP="00722FD9">
      <w:pPr>
        <w:numPr>
          <w:ilvl w:val="0"/>
          <w:numId w:val="27"/>
        </w:numPr>
      </w:pPr>
      <w:r w:rsidRPr="00722FD9">
        <w:rPr>
          <w:b/>
          <w:bCs/>
        </w:rPr>
        <w:t>RealAlpha Platinum</w:t>
      </w:r>
    </w:p>
    <w:p w14:paraId="08AB8146" w14:textId="77777777" w:rsidR="00722FD9" w:rsidRPr="00722FD9" w:rsidRDefault="00722FD9" w:rsidP="00722FD9">
      <w:pPr>
        <w:numPr>
          <w:ilvl w:val="1"/>
          <w:numId w:val="27"/>
        </w:numPr>
      </w:pPr>
      <w:r w:rsidRPr="00722FD9">
        <w:rPr>
          <w:b/>
          <w:bCs/>
        </w:rPr>
        <w:t>Full Townsend underwriting and Investment Committee vetting</w:t>
      </w:r>
    </w:p>
    <w:p w14:paraId="368B04EA" w14:textId="77777777" w:rsidR="00722FD9" w:rsidRPr="00722FD9" w:rsidRDefault="00722FD9" w:rsidP="00722FD9">
      <w:pPr>
        <w:numPr>
          <w:ilvl w:val="1"/>
          <w:numId w:val="27"/>
        </w:numPr>
      </w:pPr>
      <w:r w:rsidRPr="00722FD9">
        <w:t>Mirrors the process used in discretionary mandates or advisory recommendations</w:t>
      </w:r>
    </w:p>
    <w:p w14:paraId="0E485E7A" w14:textId="77777777" w:rsidR="00722FD9" w:rsidRPr="00722FD9" w:rsidRDefault="00722FD9" w:rsidP="00722FD9">
      <w:pPr>
        <w:rPr>
          <w:b/>
          <w:bCs/>
        </w:rPr>
      </w:pPr>
      <w:r w:rsidRPr="00722FD9">
        <w:rPr>
          <w:b/>
          <w:bCs/>
        </w:rPr>
        <w:t>Primary Objectives of RealAlpha</w:t>
      </w:r>
    </w:p>
    <w:p w14:paraId="095D1D27" w14:textId="77777777" w:rsidR="00722FD9" w:rsidRPr="00722FD9" w:rsidRDefault="00722FD9" w:rsidP="00722FD9">
      <w:pPr>
        <w:numPr>
          <w:ilvl w:val="0"/>
          <w:numId w:val="28"/>
        </w:numPr>
      </w:pPr>
      <w:r w:rsidRPr="00722FD9">
        <w:t xml:space="preserve">Provide GPs with a </w:t>
      </w:r>
      <w:r w:rsidRPr="00722FD9">
        <w:rPr>
          <w:b/>
          <w:bCs/>
        </w:rPr>
        <w:t>realistic, comparative assessment</w:t>
      </w:r>
      <w:r w:rsidRPr="00722FD9">
        <w:t xml:space="preserve"> of their offering</w:t>
      </w:r>
    </w:p>
    <w:p w14:paraId="543428CC" w14:textId="77777777" w:rsidR="00722FD9" w:rsidRPr="00722FD9" w:rsidRDefault="00722FD9" w:rsidP="00722FD9">
      <w:pPr>
        <w:numPr>
          <w:ilvl w:val="0"/>
          <w:numId w:val="28"/>
        </w:numPr>
      </w:pPr>
      <w:r w:rsidRPr="00722FD9">
        <w:t xml:space="preserve">Identify gaps and improvement areas across </w:t>
      </w:r>
      <w:r w:rsidRPr="00722FD9">
        <w:rPr>
          <w:b/>
          <w:bCs/>
        </w:rPr>
        <w:t>team, strategy, fees, and governance</w:t>
      </w:r>
    </w:p>
    <w:p w14:paraId="700E0CD2" w14:textId="77777777" w:rsidR="00722FD9" w:rsidRPr="00722FD9" w:rsidRDefault="00722FD9" w:rsidP="00722FD9">
      <w:pPr>
        <w:numPr>
          <w:ilvl w:val="0"/>
          <w:numId w:val="28"/>
        </w:numPr>
      </w:pPr>
      <w:r w:rsidRPr="00722FD9">
        <w:t xml:space="preserve">Offer LPs a </w:t>
      </w:r>
      <w:r w:rsidRPr="00722FD9">
        <w:rPr>
          <w:b/>
          <w:bCs/>
        </w:rPr>
        <w:t>credible, third-party underwriting report</w:t>
      </w:r>
      <w:r w:rsidRPr="00722FD9">
        <w:t xml:space="preserve"> to guide allocation decisions</w:t>
      </w:r>
    </w:p>
    <w:p w14:paraId="660ED803" w14:textId="77777777" w:rsidR="00722FD9" w:rsidRPr="00722FD9" w:rsidRDefault="00722FD9" w:rsidP="00722FD9">
      <w:r w:rsidRPr="00722FD9">
        <w:pict w14:anchorId="56D94E7F">
          <v:rect id="_x0000_i1068" style="width:0;height:1.5pt" o:hralign="center" o:hrstd="t" o:hr="t" fillcolor="#a0a0a0" stroked="f"/>
        </w:pict>
      </w:r>
    </w:p>
    <w:p w14:paraId="6281D184" w14:textId="77777777" w:rsidR="00722FD9" w:rsidRPr="00722FD9" w:rsidRDefault="00722FD9" w:rsidP="00722FD9">
      <w:pPr>
        <w:rPr>
          <w:b/>
          <w:bCs/>
        </w:rPr>
      </w:pPr>
      <w:r w:rsidRPr="00722FD9">
        <w:rPr>
          <w:b/>
          <w:bCs/>
        </w:rPr>
        <w:t>B. Target Clients and Their Key Use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3"/>
        <w:gridCol w:w="6987"/>
      </w:tblGrid>
      <w:tr w:rsidR="00722FD9" w:rsidRPr="00722FD9" w14:paraId="46CEA650" w14:textId="77777777" w:rsidTr="00722FD9">
        <w:trPr>
          <w:tblHeader/>
          <w:tblCellSpacing w:w="15" w:type="dxa"/>
        </w:trPr>
        <w:tc>
          <w:tcPr>
            <w:tcW w:w="0" w:type="auto"/>
            <w:vAlign w:val="center"/>
            <w:hideMark/>
          </w:tcPr>
          <w:p w14:paraId="294F9A68" w14:textId="77777777" w:rsidR="00722FD9" w:rsidRPr="00722FD9" w:rsidRDefault="00722FD9" w:rsidP="00722FD9">
            <w:pPr>
              <w:rPr>
                <w:b/>
                <w:bCs/>
              </w:rPr>
            </w:pPr>
            <w:r w:rsidRPr="00722FD9">
              <w:rPr>
                <w:b/>
                <w:bCs/>
              </w:rPr>
              <w:t>Client Type</w:t>
            </w:r>
          </w:p>
        </w:tc>
        <w:tc>
          <w:tcPr>
            <w:tcW w:w="0" w:type="auto"/>
            <w:vAlign w:val="center"/>
            <w:hideMark/>
          </w:tcPr>
          <w:p w14:paraId="6DE35F5F" w14:textId="77777777" w:rsidR="00722FD9" w:rsidRPr="00722FD9" w:rsidRDefault="00722FD9" w:rsidP="00722FD9">
            <w:pPr>
              <w:rPr>
                <w:b/>
                <w:bCs/>
              </w:rPr>
            </w:pPr>
            <w:r w:rsidRPr="00722FD9">
              <w:rPr>
                <w:b/>
                <w:bCs/>
              </w:rPr>
              <w:t>Use Cases</w:t>
            </w:r>
          </w:p>
        </w:tc>
      </w:tr>
      <w:tr w:rsidR="00722FD9" w:rsidRPr="00722FD9" w14:paraId="77C4BD6F" w14:textId="77777777" w:rsidTr="00722FD9">
        <w:trPr>
          <w:tblCellSpacing w:w="15" w:type="dxa"/>
        </w:trPr>
        <w:tc>
          <w:tcPr>
            <w:tcW w:w="0" w:type="auto"/>
            <w:vAlign w:val="center"/>
            <w:hideMark/>
          </w:tcPr>
          <w:p w14:paraId="00CF2CFF" w14:textId="77777777" w:rsidR="00722FD9" w:rsidRPr="00722FD9" w:rsidRDefault="00722FD9" w:rsidP="00722FD9">
            <w:r w:rsidRPr="00722FD9">
              <w:rPr>
                <w:b/>
                <w:bCs/>
              </w:rPr>
              <w:t>GPs / Asset Managers</w:t>
            </w:r>
          </w:p>
        </w:tc>
        <w:tc>
          <w:tcPr>
            <w:tcW w:w="0" w:type="auto"/>
            <w:vAlign w:val="center"/>
            <w:hideMark/>
          </w:tcPr>
          <w:p w14:paraId="26FDF5A0" w14:textId="77777777" w:rsidR="00722FD9" w:rsidRPr="00722FD9" w:rsidRDefault="00722FD9" w:rsidP="00722FD9">
            <w:r w:rsidRPr="00722FD9">
              <w:t>Understand how their offering ranks against peers; improve fundraising materials; build investor trust</w:t>
            </w:r>
          </w:p>
        </w:tc>
      </w:tr>
      <w:tr w:rsidR="00722FD9" w:rsidRPr="00722FD9" w14:paraId="229AEAE9" w14:textId="77777777" w:rsidTr="00722FD9">
        <w:trPr>
          <w:tblCellSpacing w:w="15" w:type="dxa"/>
        </w:trPr>
        <w:tc>
          <w:tcPr>
            <w:tcW w:w="0" w:type="auto"/>
            <w:vAlign w:val="center"/>
            <w:hideMark/>
          </w:tcPr>
          <w:p w14:paraId="51A44D83" w14:textId="77777777" w:rsidR="00722FD9" w:rsidRPr="00722FD9" w:rsidRDefault="00722FD9" w:rsidP="00722FD9">
            <w:r w:rsidRPr="00722FD9">
              <w:rPr>
                <w:b/>
                <w:bCs/>
              </w:rPr>
              <w:t>Institutional LPs</w:t>
            </w:r>
          </w:p>
        </w:tc>
        <w:tc>
          <w:tcPr>
            <w:tcW w:w="0" w:type="auto"/>
            <w:vAlign w:val="center"/>
            <w:hideMark/>
          </w:tcPr>
          <w:p w14:paraId="273E7854" w14:textId="77777777" w:rsidR="00722FD9" w:rsidRPr="00722FD9" w:rsidRDefault="00722FD9" w:rsidP="00722FD9">
            <w:r w:rsidRPr="00722FD9">
              <w:t>Use RealAlpha Gold or Platinum to validate or accelerate diligence</w:t>
            </w:r>
          </w:p>
        </w:tc>
      </w:tr>
      <w:tr w:rsidR="00722FD9" w:rsidRPr="00722FD9" w14:paraId="38955DB1" w14:textId="77777777" w:rsidTr="00722FD9">
        <w:trPr>
          <w:tblCellSpacing w:w="15" w:type="dxa"/>
        </w:trPr>
        <w:tc>
          <w:tcPr>
            <w:tcW w:w="0" w:type="auto"/>
            <w:vAlign w:val="center"/>
            <w:hideMark/>
          </w:tcPr>
          <w:p w14:paraId="2C32AF8F" w14:textId="77777777" w:rsidR="00722FD9" w:rsidRPr="00722FD9" w:rsidRDefault="00722FD9" w:rsidP="00722FD9">
            <w:r w:rsidRPr="00722FD9">
              <w:rPr>
                <w:b/>
                <w:bCs/>
              </w:rPr>
              <w:t>Consultants</w:t>
            </w:r>
          </w:p>
        </w:tc>
        <w:tc>
          <w:tcPr>
            <w:tcW w:w="0" w:type="auto"/>
            <w:vAlign w:val="center"/>
            <w:hideMark/>
          </w:tcPr>
          <w:p w14:paraId="2F85BC4B" w14:textId="77777777" w:rsidR="00722FD9" w:rsidRPr="00722FD9" w:rsidRDefault="00722FD9" w:rsidP="00722FD9">
            <w:r w:rsidRPr="00722FD9">
              <w:t>Use in manager screening and underwriting augmentation</w:t>
            </w:r>
          </w:p>
        </w:tc>
      </w:tr>
      <w:tr w:rsidR="00722FD9" w:rsidRPr="00722FD9" w14:paraId="6C2CCC6E" w14:textId="77777777" w:rsidTr="00722FD9">
        <w:trPr>
          <w:tblCellSpacing w:w="15" w:type="dxa"/>
        </w:trPr>
        <w:tc>
          <w:tcPr>
            <w:tcW w:w="0" w:type="auto"/>
            <w:vAlign w:val="center"/>
            <w:hideMark/>
          </w:tcPr>
          <w:p w14:paraId="55381DF9" w14:textId="77777777" w:rsidR="00722FD9" w:rsidRPr="00722FD9" w:rsidRDefault="00722FD9" w:rsidP="00722FD9">
            <w:r w:rsidRPr="00722FD9">
              <w:rPr>
                <w:b/>
                <w:bCs/>
              </w:rPr>
              <w:t>Wealth Platforms</w:t>
            </w:r>
          </w:p>
        </w:tc>
        <w:tc>
          <w:tcPr>
            <w:tcW w:w="0" w:type="auto"/>
            <w:vAlign w:val="center"/>
            <w:hideMark/>
          </w:tcPr>
          <w:p w14:paraId="64E2CF05" w14:textId="77777777" w:rsidR="00722FD9" w:rsidRPr="00722FD9" w:rsidRDefault="00722FD9" w:rsidP="00722FD9">
            <w:r w:rsidRPr="00722FD9">
              <w:t>Validate sponsor quality in feeder or SMA programs</w:t>
            </w:r>
          </w:p>
        </w:tc>
      </w:tr>
      <w:tr w:rsidR="00722FD9" w:rsidRPr="00722FD9" w14:paraId="77866A24" w14:textId="77777777" w:rsidTr="00722FD9">
        <w:trPr>
          <w:tblCellSpacing w:w="15" w:type="dxa"/>
        </w:trPr>
        <w:tc>
          <w:tcPr>
            <w:tcW w:w="0" w:type="auto"/>
            <w:vAlign w:val="center"/>
            <w:hideMark/>
          </w:tcPr>
          <w:p w14:paraId="0DAB7B18" w14:textId="77777777" w:rsidR="00722FD9" w:rsidRPr="00722FD9" w:rsidRDefault="00722FD9" w:rsidP="00722FD9">
            <w:r w:rsidRPr="00722FD9">
              <w:rPr>
                <w:b/>
                <w:bCs/>
              </w:rPr>
              <w:t>Family Offices</w:t>
            </w:r>
          </w:p>
        </w:tc>
        <w:tc>
          <w:tcPr>
            <w:tcW w:w="0" w:type="auto"/>
            <w:vAlign w:val="center"/>
            <w:hideMark/>
          </w:tcPr>
          <w:p w14:paraId="069E0730" w14:textId="77777777" w:rsidR="00722FD9" w:rsidRPr="00722FD9" w:rsidRDefault="00722FD9" w:rsidP="00722FD9">
            <w:r w:rsidRPr="00722FD9">
              <w:t>Outsource underwriting or use Silver/Gold for internal validation</w:t>
            </w:r>
          </w:p>
        </w:tc>
      </w:tr>
      <w:tr w:rsidR="00722FD9" w:rsidRPr="00722FD9" w14:paraId="6B28FB80" w14:textId="77777777" w:rsidTr="00722FD9">
        <w:trPr>
          <w:tblCellSpacing w:w="15" w:type="dxa"/>
        </w:trPr>
        <w:tc>
          <w:tcPr>
            <w:tcW w:w="0" w:type="auto"/>
            <w:vAlign w:val="center"/>
            <w:hideMark/>
          </w:tcPr>
          <w:p w14:paraId="7AA2DFA2" w14:textId="77777777" w:rsidR="00722FD9" w:rsidRPr="00722FD9" w:rsidRDefault="00722FD9" w:rsidP="00722FD9">
            <w:r w:rsidRPr="00722FD9">
              <w:rPr>
                <w:b/>
                <w:bCs/>
              </w:rPr>
              <w:t>Academia/Research</w:t>
            </w:r>
          </w:p>
        </w:tc>
        <w:tc>
          <w:tcPr>
            <w:tcW w:w="0" w:type="auto"/>
            <w:vAlign w:val="center"/>
            <w:hideMark/>
          </w:tcPr>
          <w:p w14:paraId="556A5418" w14:textId="77777777" w:rsidR="00722FD9" w:rsidRPr="00722FD9" w:rsidRDefault="00722FD9" w:rsidP="00722FD9">
            <w:r w:rsidRPr="00722FD9">
              <w:t>Analyze underwriting patterns or benchmarking data for manager scoring studies</w:t>
            </w:r>
          </w:p>
        </w:tc>
      </w:tr>
    </w:tbl>
    <w:p w14:paraId="1E455517" w14:textId="77777777" w:rsidR="00722FD9" w:rsidRPr="00722FD9" w:rsidRDefault="00722FD9" w:rsidP="00722FD9">
      <w:r w:rsidRPr="00722FD9">
        <w:pict w14:anchorId="69A54CA7">
          <v:rect id="_x0000_i1069" style="width:0;height:1.5pt" o:hralign="center" o:hrstd="t" o:hr="t" fillcolor="#a0a0a0" stroked="f"/>
        </w:pict>
      </w:r>
    </w:p>
    <w:p w14:paraId="64DE02EF" w14:textId="77777777" w:rsidR="00722FD9" w:rsidRPr="00722FD9" w:rsidRDefault="00722FD9" w:rsidP="00722FD9">
      <w:pPr>
        <w:rPr>
          <w:b/>
          <w:bCs/>
        </w:rPr>
      </w:pPr>
      <w:r w:rsidRPr="00722FD9">
        <w:rPr>
          <w:b/>
          <w:bCs/>
        </w:rPr>
        <w:t>C. Development Status</w:t>
      </w:r>
    </w:p>
    <w:p w14:paraId="342371C7" w14:textId="77777777" w:rsidR="00722FD9" w:rsidRPr="00722FD9" w:rsidRDefault="00722FD9" w:rsidP="00722FD9">
      <w:pPr>
        <w:numPr>
          <w:ilvl w:val="0"/>
          <w:numId w:val="29"/>
        </w:numPr>
      </w:pPr>
      <w:r w:rsidRPr="00722FD9">
        <w:rPr>
          <w:rFonts w:ascii="Segoe UI Emoji" w:hAnsi="Segoe UI Emoji" w:cs="Segoe UI Emoji"/>
        </w:rPr>
        <w:t>✅</w:t>
      </w:r>
      <w:r w:rsidRPr="00722FD9">
        <w:t xml:space="preserve"> </w:t>
      </w:r>
      <w:r w:rsidRPr="00722FD9">
        <w:rPr>
          <w:b/>
          <w:bCs/>
        </w:rPr>
        <w:t>TURF</w:t>
      </w:r>
      <w:r w:rsidRPr="00722FD9">
        <w:t xml:space="preserve"> fully developed and in use</w:t>
      </w:r>
    </w:p>
    <w:p w14:paraId="4ED0A8CC" w14:textId="77777777" w:rsidR="00722FD9" w:rsidRPr="00722FD9" w:rsidRDefault="00722FD9" w:rsidP="00722FD9">
      <w:pPr>
        <w:numPr>
          <w:ilvl w:val="0"/>
          <w:numId w:val="29"/>
        </w:numPr>
      </w:pPr>
      <w:r w:rsidRPr="00722FD9">
        <w:rPr>
          <w:rFonts w:ascii="Segoe UI Emoji" w:hAnsi="Segoe UI Emoji" w:cs="Segoe UI Emoji"/>
        </w:rPr>
        <w:lastRenderedPageBreak/>
        <w:t>✅</w:t>
      </w:r>
      <w:r w:rsidRPr="00722FD9">
        <w:t xml:space="preserve"> </w:t>
      </w:r>
      <w:r w:rsidRPr="00722FD9">
        <w:rPr>
          <w:b/>
          <w:bCs/>
        </w:rPr>
        <w:t>MCAF</w:t>
      </w:r>
      <w:r w:rsidRPr="00722FD9">
        <w:t xml:space="preserve"> database structure completed; population in progress</w:t>
      </w:r>
    </w:p>
    <w:p w14:paraId="35E87B38" w14:textId="77777777" w:rsidR="00722FD9" w:rsidRPr="00722FD9" w:rsidRDefault="00722FD9" w:rsidP="00722FD9">
      <w:pPr>
        <w:numPr>
          <w:ilvl w:val="0"/>
          <w:numId w:val="29"/>
        </w:numPr>
      </w:pPr>
      <w:r w:rsidRPr="00722FD9">
        <w:rPr>
          <w:rFonts w:ascii="Segoe UI Emoji" w:hAnsi="Segoe UI Emoji" w:cs="Segoe UI Emoji"/>
        </w:rPr>
        <w:t>✅</w:t>
      </w:r>
      <w:r w:rsidRPr="00722FD9">
        <w:t xml:space="preserve"> </w:t>
      </w:r>
      <w:r w:rsidRPr="00722FD9">
        <w:rPr>
          <w:b/>
          <w:bCs/>
        </w:rPr>
        <w:t>Custom GPT-based memo generator</w:t>
      </w:r>
      <w:r w:rsidRPr="00722FD9">
        <w:t xml:space="preserve"> (RealAlpha Silver prototype) created</w:t>
      </w:r>
    </w:p>
    <w:p w14:paraId="32CBD668" w14:textId="77777777" w:rsidR="00722FD9" w:rsidRPr="00722FD9" w:rsidRDefault="00722FD9" w:rsidP="00722FD9">
      <w:pPr>
        <w:numPr>
          <w:ilvl w:val="0"/>
          <w:numId w:val="29"/>
        </w:numPr>
      </w:pPr>
      <w:r w:rsidRPr="00722FD9">
        <w:rPr>
          <w:rFonts w:ascii="Segoe UI Emoji" w:hAnsi="Segoe UI Emoji" w:cs="Segoe UI Emoji"/>
        </w:rPr>
        <w:t>✅</w:t>
      </w:r>
      <w:r w:rsidRPr="00722FD9">
        <w:t xml:space="preserve"> </w:t>
      </w:r>
      <w:r w:rsidRPr="00722FD9">
        <w:rPr>
          <w:b/>
          <w:bCs/>
        </w:rPr>
        <w:t>Custom GPT tools for capability extraction</w:t>
      </w:r>
      <w:r w:rsidRPr="00722FD9">
        <w:t xml:space="preserve"> from historical IC memos being tested</w:t>
      </w:r>
    </w:p>
    <w:p w14:paraId="50ED1D0F" w14:textId="77777777" w:rsidR="00722FD9" w:rsidRPr="00722FD9" w:rsidRDefault="00722FD9" w:rsidP="00722FD9">
      <w:r w:rsidRPr="00722FD9">
        <w:pict w14:anchorId="057A9FCD">
          <v:rect id="_x0000_i1070" style="width:0;height:1.5pt" o:hralign="center" o:hrstd="t" o:hr="t" fillcolor="#a0a0a0" stroked="f"/>
        </w:pict>
      </w:r>
    </w:p>
    <w:p w14:paraId="3380BB04" w14:textId="77777777" w:rsidR="00722FD9" w:rsidRPr="00722FD9" w:rsidRDefault="00722FD9" w:rsidP="00722FD9">
      <w:pPr>
        <w:rPr>
          <w:b/>
          <w:bCs/>
        </w:rPr>
      </w:pPr>
      <w:r w:rsidRPr="00722FD9">
        <w:rPr>
          <w:b/>
          <w:bCs/>
        </w:rPr>
        <w:t>D. Next Steps and Responsibilities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22"/>
        <w:gridCol w:w="2313"/>
        <w:gridCol w:w="3925"/>
      </w:tblGrid>
      <w:tr w:rsidR="00722FD9" w:rsidRPr="00722FD9" w14:paraId="573D12D3" w14:textId="77777777" w:rsidTr="00722FD9">
        <w:trPr>
          <w:tblHeader/>
          <w:tblCellSpacing w:w="15" w:type="dxa"/>
        </w:trPr>
        <w:tc>
          <w:tcPr>
            <w:tcW w:w="0" w:type="auto"/>
            <w:vAlign w:val="center"/>
            <w:hideMark/>
          </w:tcPr>
          <w:p w14:paraId="6C9357E0" w14:textId="77777777" w:rsidR="00722FD9" w:rsidRPr="00722FD9" w:rsidRDefault="00722FD9" w:rsidP="00722FD9">
            <w:pPr>
              <w:rPr>
                <w:b/>
                <w:bCs/>
              </w:rPr>
            </w:pPr>
            <w:r w:rsidRPr="00722FD9">
              <w:rPr>
                <w:b/>
                <w:bCs/>
              </w:rPr>
              <w:t>Task</w:t>
            </w:r>
          </w:p>
        </w:tc>
        <w:tc>
          <w:tcPr>
            <w:tcW w:w="0" w:type="auto"/>
            <w:vAlign w:val="center"/>
            <w:hideMark/>
          </w:tcPr>
          <w:p w14:paraId="6B9F1AE4" w14:textId="77777777" w:rsidR="00722FD9" w:rsidRPr="00722FD9" w:rsidRDefault="00722FD9" w:rsidP="00722FD9">
            <w:pPr>
              <w:rPr>
                <w:b/>
                <w:bCs/>
              </w:rPr>
            </w:pPr>
            <w:r w:rsidRPr="00722FD9">
              <w:rPr>
                <w:b/>
                <w:bCs/>
              </w:rPr>
              <w:t>Responsible Person(s)</w:t>
            </w:r>
          </w:p>
        </w:tc>
        <w:tc>
          <w:tcPr>
            <w:tcW w:w="0" w:type="auto"/>
            <w:vAlign w:val="center"/>
            <w:hideMark/>
          </w:tcPr>
          <w:p w14:paraId="51D79A08" w14:textId="77777777" w:rsidR="00722FD9" w:rsidRPr="00722FD9" w:rsidRDefault="00722FD9" w:rsidP="00722FD9">
            <w:pPr>
              <w:rPr>
                <w:b/>
                <w:bCs/>
              </w:rPr>
            </w:pPr>
            <w:r w:rsidRPr="00722FD9">
              <w:rPr>
                <w:b/>
                <w:bCs/>
              </w:rPr>
              <w:t>Description</w:t>
            </w:r>
          </w:p>
        </w:tc>
      </w:tr>
      <w:tr w:rsidR="00722FD9" w:rsidRPr="00722FD9" w14:paraId="73609885" w14:textId="77777777" w:rsidTr="00722FD9">
        <w:trPr>
          <w:tblCellSpacing w:w="15" w:type="dxa"/>
        </w:trPr>
        <w:tc>
          <w:tcPr>
            <w:tcW w:w="0" w:type="auto"/>
            <w:vAlign w:val="center"/>
            <w:hideMark/>
          </w:tcPr>
          <w:p w14:paraId="5D081466" w14:textId="77777777" w:rsidR="00722FD9" w:rsidRPr="00722FD9" w:rsidRDefault="00722FD9" w:rsidP="00722FD9">
            <w:r w:rsidRPr="00722FD9">
              <w:t>1. Finalize and validate TURF and MCAF</w:t>
            </w:r>
          </w:p>
        </w:tc>
        <w:tc>
          <w:tcPr>
            <w:tcW w:w="0" w:type="auto"/>
            <w:vAlign w:val="center"/>
            <w:hideMark/>
          </w:tcPr>
          <w:p w14:paraId="1A036E8A" w14:textId="77777777" w:rsidR="00722FD9" w:rsidRPr="00722FD9" w:rsidRDefault="00722FD9" w:rsidP="00722FD9">
            <w:r w:rsidRPr="00722FD9">
              <w:rPr>
                <w:b/>
                <w:bCs/>
              </w:rPr>
              <w:t>Prashant</w:t>
            </w:r>
          </w:p>
        </w:tc>
        <w:tc>
          <w:tcPr>
            <w:tcW w:w="0" w:type="auto"/>
            <w:vAlign w:val="center"/>
            <w:hideMark/>
          </w:tcPr>
          <w:p w14:paraId="10B463AD" w14:textId="77777777" w:rsidR="00722FD9" w:rsidRPr="00722FD9" w:rsidRDefault="00722FD9" w:rsidP="00722FD9">
            <w:r w:rsidRPr="00722FD9">
              <w:t>Review structures with broader team and align scoring logic</w:t>
            </w:r>
          </w:p>
        </w:tc>
      </w:tr>
      <w:tr w:rsidR="00722FD9" w:rsidRPr="00722FD9" w14:paraId="518C8825" w14:textId="77777777" w:rsidTr="00722FD9">
        <w:trPr>
          <w:tblCellSpacing w:w="15" w:type="dxa"/>
        </w:trPr>
        <w:tc>
          <w:tcPr>
            <w:tcW w:w="0" w:type="auto"/>
            <w:vAlign w:val="center"/>
            <w:hideMark/>
          </w:tcPr>
          <w:p w14:paraId="5BC81AC1" w14:textId="77777777" w:rsidR="00722FD9" w:rsidRPr="00722FD9" w:rsidRDefault="00722FD9" w:rsidP="00722FD9">
            <w:r w:rsidRPr="00722FD9">
              <w:t>2. Extract manager capabilities from IC memos</w:t>
            </w:r>
          </w:p>
        </w:tc>
        <w:tc>
          <w:tcPr>
            <w:tcW w:w="0" w:type="auto"/>
            <w:vAlign w:val="center"/>
            <w:hideMark/>
          </w:tcPr>
          <w:p w14:paraId="26B74272" w14:textId="77777777" w:rsidR="00722FD9" w:rsidRPr="00722FD9" w:rsidRDefault="00722FD9" w:rsidP="00722FD9">
            <w:r w:rsidRPr="00722FD9">
              <w:rPr>
                <w:b/>
                <w:bCs/>
              </w:rPr>
              <w:t>Prashant &amp; Teddy</w:t>
            </w:r>
          </w:p>
        </w:tc>
        <w:tc>
          <w:tcPr>
            <w:tcW w:w="0" w:type="auto"/>
            <w:vAlign w:val="center"/>
            <w:hideMark/>
          </w:tcPr>
          <w:p w14:paraId="5F7CCB35" w14:textId="77777777" w:rsidR="00722FD9" w:rsidRPr="00722FD9" w:rsidRDefault="00722FD9" w:rsidP="00722FD9">
            <w:r w:rsidRPr="00722FD9">
              <w:t>Use AI tooling to auto-extract manager attributes for MCAF</w:t>
            </w:r>
          </w:p>
        </w:tc>
      </w:tr>
      <w:tr w:rsidR="00722FD9" w:rsidRPr="00722FD9" w14:paraId="224AD4DA" w14:textId="77777777" w:rsidTr="00722FD9">
        <w:trPr>
          <w:tblCellSpacing w:w="15" w:type="dxa"/>
        </w:trPr>
        <w:tc>
          <w:tcPr>
            <w:tcW w:w="0" w:type="auto"/>
            <w:vAlign w:val="center"/>
            <w:hideMark/>
          </w:tcPr>
          <w:p w14:paraId="174FCFC2" w14:textId="77777777" w:rsidR="00722FD9" w:rsidRPr="00722FD9" w:rsidRDefault="00722FD9" w:rsidP="00722FD9">
            <w:r w:rsidRPr="00722FD9">
              <w:t>3. Train underwriters to produce RealAlpha reports</w:t>
            </w:r>
          </w:p>
        </w:tc>
        <w:tc>
          <w:tcPr>
            <w:tcW w:w="0" w:type="auto"/>
            <w:vAlign w:val="center"/>
            <w:hideMark/>
          </w:tcPr>
          <w:p w14:paraId="6BE1F08F" w14:textId="77777777" w:rsidR="00722FD9" w:rsidRPr="00722FD9" w:rsidRDefault="00722FD9" w:rsidP="00722FD9">
            <w:r w:rsidRPr="00722FD9">
              <w:rPr>
                <w:b/>
                <w:bCs/>
              </w:rPr>
              <w:t>Zane, George, (potentially Joseph)</w:t>
            </w:r>
          </w:p>
        </w:tc>
        <w:tc>
          <w:tcPr>
            <w:tcW w:w="0" w:type="auto"/>
            <w:vAlign w:val="center"/>
            <w:hideMark/>
          </w:tcPr>
          <w:p w14:paraId="55D688CC" w14:textId="77777777" w:rsidR="00722FD9" w:rsidRPr="00722FD9" w:rsidRDefault="00722FD9" w:rsidP="00722FD9">
            <w:r w:rsidRPr="00722FD9">
              <w:t>Continue generating Silver/Gold versions manually to fine-tune AI outputs</w:t>
            </w:r>
          </w:p>
        </w:tc>
      </w:tr>
      <w:tr w:rsidR="00722FD9" w:rsidRPr="00722FD9" w14:paraId="4A1C3583" w14:textId="77777777" w:rsidTr="00722FD9">
        <w:trPr>
          <w:tblCellSpacing w:w="15" w:type="dxa"/>
        </w:trPr>
        <w:tc>
          <w:tcPr>
            <w:tcW w:w="0" w:type="auto"/>
            <w:vAlign w:val="center"/>
            <w:hideMark/>
          </w:tcPr>
          <w:p w14:paraId="2BD46166" w14:textId="77777777" w:rsidR="00722FD9" w:rsidRPr="00722FD9" w:rsidRDefault="00722FD9" w:rsidP="00722FD9">
            <w:r w:rsidRPr="00722FD9">
              <w:t>4. Define Gold &amp; Platinum report processes</w:t>
            </w:r>
          </w:p>
        </w:tc>
        <w:tc>
          <w:tcPr>
            <w:tcW w:w="0" w:type="auto"/>
            <w:vAlign w:val="center"/>
            <w:hideMark/>
          </w:tcPr>
          <w:p w14:paraId="0DA9545C" w14:textId="77777777" w:rsidR="00722FD9" w:rsidRPr="00722FD9" w:rsidRDefault="00722FD9" w:rsidP="00722FD9">
            <w:r w:rsidRPr="00722FD9">
              <w:rPr>
                <w:b/>
                <w:bCs/>
              </w:rPr>
              <w:t>Prashant &amp; Underwriting Leads</w:t>
            </w:r>
          </w:p>
        </w:tc>
        <w:tc>
          <w:tcPr>
            <w:tcW w:w="0" w:type="auto"/>
            <w:vAlign w:val="center"/>
            <w:hideMark/>
          </w:tcPr>
          <w:p w14:paraId="3415F9C8" w14:textId="77777777" w:rsidR="00722FD9" w:rsidRPr="00722FD9" w:rsidRDefault="00722FD9" w:rsidP="00722FD9">
            <w:r w:rsidRPr="00722FD9">
              <w:t>Standardize underwriting + IC workflows and integrate review logic</w:t>
            </w:r>
          </w:p>
        </w:tc>
      </w:tr>
      <w:tr w:rsidR="00722FD9" w:rsidRPr="00722FD9" w14:paraId="62C4DDD2" w14:textId="77777777" w:rsidTr="00722FD9">
        <w:trPr>
          <w:tblCellSpacing w:w="15" w:type="dxa"/>
        </w:trPr>
        <w:tc>
          <w:tcPr>
            <w:tcW w:w="0" w:type="auto"/>
            <w:vAlign w:val="center"/>
            <w:hideMark/>
          </w:tcPr>
          <w:p w14:paraId="373DC3D9" w14:textId="77777777" w:rsidR="00722FD9" w:rsidRPr="00722FD9" w:rsidRDefault="00722FD9" w:rsidP="00722FD9">
            <w:r w:rsidRPr="00722FD9">
              <w:t>5. Build front-end report interface and distribution tracking</w:t>
            </w:r>
          </w:p>
        </w:tc>
        <w:tc>
          <w:tcPr>
            <w:tcW w:w="0" w:type="auto"/>
            <w:vAlign w:val="center"/>
            <w:hideMark/>
          </w:tcPr>
          <w:p w14:paraId="578F2CD4" w14:textId="77777777" w:rsidR="00722FD9" w:rsidRPr="00722FD9" w:rsidRDefault="00722FD9" w:rsidP="00722FD9">
            <w:r w:rsidRPr="00722FD9">
              <w:rPr>
                <w:b/>
                <w:bCs/>
              </w:rPr>
              <w:t>TBD</w:t>
            </w:r>
          </w:p>
        </w:tc>
        <w:tc>
          <w:tcPr>
            <w:tcW w:w="0" w:type="auto"/>
            <w:vAlign w:val="center"/>
            <w:hideMark/>
          </w:tcPr>
          <w:p w14:paraId="2AB7A86B" w14:textId="77777777" w:rsidR="00722FD9" w:rsidRPr="00722FD9" w:rsidRDefault="00722FD9" w:rsidP="00722FD9">
            <w:r w:rsidRPr="00722FD9">
              <w:t>Allow GPs to control who receives their RealAlpha reports and track interactions</w:t>
            </w:r>
          </w:p>
        </w:tc>
      </w:tr>
    </w:tbl>
    <w:p w14:paraId="1CE1871B" w14:textId="1308CAA9" w:rsidR="00722FD9" w:rsidRDefault="00722FD9">
      <w:r>
        <w:br w:type="page"/>
      </w:r>
    </w:p>
    <w:p w14:paraId="5353838B" w14:textId="77777777" w:rsidR="00E2631F" w:rsidRDefault="00E2631F"/>
    <w:p w14:paraId="2DBA8D2C" w14:textId="77777777" w:rsidR="003A3DB8" w:rsidRDefault="003A3DB8" w:rsidP="003A3DB8">
      <w:pPr>
        <w:rPr>
          <w:color w:val="FF0000"/>
        </w:rPr>
      </w:pPr>
      <w:r>
        <w:rPr>
          <w:color w:val="FF0000"/>
        </w:rPr>
        <w:t>Capabilities to add – townsend investment return models</w:t>
      </w:r>
    </w:p>
    <w:p w14:paraId="68C68D00" w14:textId="77777777" w:rsidR="003A3DB8" w:rsidRDefault="003A3DB8" w:rsidP="003A3DB8">
      <w:pPr>
        <w:rPr>
          <w:color w:val="FF0000"/>
        </w:rPr>
      </w:pPr>
    </w:p>
    <w:p w14:paraId="241C25CC" w14:textId="77777777" w:rsidR="003A3DB8" w:rsidRPr="0093534F" w:rsidRDefault="003A3DB8" w:rsidP="003A3DB8">
      <w:pPr>
        <w:rPr>
          <w:color w:val="FF0000"/>
        </w:rPr>
      </w:pPr>
      <w:r>
        <w:rPr>
          <w:color w:val="FF0000"/>
        </w:rPr>
        <w:t>Product to add – portfolio management tools</w:t>
      </w:r>
    </w:p>
    <w:p w14:paraId="1BE12C25" w14:textId="77777777" w:rsidR="002F02A3" w:rsidRDefault="002F02A3" w:rsidP="009F6263"/>
    <w:sectPr w:rsidR="002F02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57D9D"/>
    <w:multiLevelType w:val="multilevel"/>
    <w:tmpl w:val="840098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A35B54"/>
    <w:multiLevelType w:val="multilevel"/>
    <w:tmpl w:val="BF56B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18743F"/>
    <w:multiLevelType w:val="multilevel"/>
    <w:tmpl w:val="A5CE7E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8C6B83"/>
    <w:multiLevelType w:val="multilevel"/>
    <w:tmpl w:val="8090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7954A1"/>
    <w:multiLevelType w:val="multilevel"/>
    <w:tmpl w:val="BFEC68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56681C"/>
    <w:multiLevelType w:val="multilevel"/>
    <w:tmpl w:val="B41C2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E34D02"/>
    <w:multiLevelType w:val="multilevel"/>
    <w:tmpl w:val="FB7206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1A67CF"/>
    <w:multiLevelType w:val="multilevel"/>
    <w:tmpl w:val="8F6C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B615F0"/>
    <w:multiLevelType w:val="multilevel"/>
    <w:tmpl w:val="8FB80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4942C4"/>
    <w:multiLevelType w:val="multilevel"/>
    <w:tmpl w:val="13388D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5B57FE"/>
    <w:multiLevelType w:val="multilevel"/>
    <w:tmpl w:val="03C26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335AAB"/>
    <w:multiLevelType w:val="multilevel"/>
    <w:tmpl w:val="4CEEBD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B8713C6"/>
    <w:multiLevelType w:val="multilevel"/>
    <w:tmpl w:val="B0DA2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00287B"/>
    <w:multiLevelType w:val="multilevel"/>
    <w:tmpl w:val="6F5EC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D63EEA"/>
    <w:multiLevelType w:val="multilevel"/>
    <w:tmpl w:val="CAFA9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0478C9"/>
    <w:multiLevelType w:val="multilevel"/>
    <w:tmpl w:val="EE3C06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3881D73"/>
    <w:multiLevelType w:val="multilevel"/>
    <w:tmpl w:val="113CA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50690F"/>
    <w:multiLevelType w:val="multilevel"/>
    <w:tmpl w:val="4FC6B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D069A9"/>
    <w:multiLevelType w:val="multilevel"/>
    <w:tmpl w:val="8DAC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233EEC"/>
    <w:multiLevelType w:val="multilevel"/>
    <w:tmpl w:val="4828A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3036BE"/>
    <w:multiLevelType w:val="multilevel"/>
    <w:tmpl w:val="A188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4E505D"/>
    <w:multiLevelType w:val="multilevel"/>
    <w:tmpl w:val="9DAE9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937D22"/>
    <w:multiLevelType w:val="multilevel"/>
    <w:tmpl w:val="AD10B8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9F3DFB"/>
    <w:multiLevelType w:val="multilevel"/>
    <w:tmpl w:val="13445B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C21106"/>
    <w:multiLevelType w:val="hybridMultilevel"/>
    <w:tmpl w:val="4922F1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0E41EA9"/>
    <w:multiLevelType w:val="hybridMultilevel"/>
    <w:tmpl w:val="EA160C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1E10FEB"/>
    <w:multiLevelType w:val="multilevel"/>
    <w:tmpl w:val="9FDAE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672661"/>
    <w:multiLevelType w:val="multilevel"/>
    <w:tmpl w:val="40045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3D58F7"/>
    <w:multiLevelType w:val="multilevel"/>
    <w:tmpl w:val="ADCE6E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872C50"/>
    <w:multiLevelType w:val="multilevel"/>
    <w:tmpl w:val="86804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7815486">
    <w:abstractNumId w:val="24"/>
  </w:num>
  <w:num w:numId="2" w16cid:durableId="1538002153">
    <w:abstractNumId w:val="23"/>
  </w:num>
  <w:num w:numId="3" w16cid:durableId="1434934538">
    <w:abstractNumId w:val="26"/>
  </w:num>
  <w:num w:numId="4" w16cid:durableId="23676509">
    <w:abstractNumId w:val="8"/>
  </w:num>
  <w:num w:numId="5" w16cid:durableId="954678712">
    <w:abstractNumId w:val="5"/>
  </w:num>
  <w:num w:numId="6" w16cid:durableId="551574529">
    <w:abstractNumId w:val="4"/>
  </w:num>
  <w:num w:numId="7" w16cid:durableId="1087727202">
    <w:abstractNumId w:val="13"/>
  </w:num>
  <w:num w:numId="8" w16cid:durableId="397439716">
    <w:abstractNumId w:val="0"/>
  </w:num>
  <w:num w:numId="9" w16cid:durableId="1072119117">
    <w:abstractNumId w:val="28"/>
  </w:num>
  <w:num w:numId="10" w16cid:durableId="1187869975">
    <w:abstractNumId w:val="29"/>
  </w:num>
  <w:num w:numId="11" w16cid:durableId="1232275788">
    <w:abstractNumId w:val="17"/>
  </w:num>
  <w:num w:numId="12" w16cid:durableId="1772388196">
    <w:abstractNumId w:val="2"/>
  </w:num>
  <w:num w:numId="13" w16cid:durableId="1239637128">
    <w:abstractNumId w:val="22"/>
  </w:num>
  <w:num w:numId="14" w16cid:durableId="492992862">
    <w:abstractNumId w:val="14"/>
  </w:num>
  <w:num w:numId="15" w16cid:durableId="1524324364">
    <w:abstractNumId w:val="10"/>
  </w:num>
  <w:num w:numId="16" w16cid:durableId="1063868909">
    <w:abstractNumId w:val="7"/>
  </w:num>
  <w:num w:numId="17" w16cid:durableId="1046371556">
    <w:abstractNumId w:val="19"/>
  </w:num>
  <w:num w:numId="18" w16cid:durableId="1004867322">
    <w:abstractNumId w:val="21"/>
  </w:num>
  <w:num w:numId="19" w16cid:durableId="1482579335">
    <w:abstractNumId w:val="9"/>
  </w:num>
  <w:num w:numId="20" w16cid:durableId="322465341">
    <w:abstractNumId w:val="16"/>
  </w:num>
  <w:num w:numId="21" w16cid:durableId="1025861735">
    <w:abstractNumId w:val="6"/>
  </w:num>
  <w:num w:numId="22" w16cid:durableId="918487696">
    <w:abstractNumId w:val="27"/>
  </w:num>
  <w:num w:numId="23" w16cid:durableId="2076464184">
    <w:abstractNumId w:val="15"/>
  </w:num>
  <w:num w:numId="24" w16cid:durableId="549269951">
    <w:abstractNumId w:val="12"/>
  </w:num>
  <w:num w:numId="25" w16cid:durableId="922253069">
    <w:abstractNumId w:val="20"/>
  </w:num>
  <w:num w:numId="26" w16cid:durableId="865169783">
    <w:abstractNumId w:val="18"/>
  </w:num>
  <w:num w:numId="27" w16cid:durableId="2062560859">
    <w:abstractNumId w:val="11"/>
  </w:num>
  <w:num w:numId="28" w16cid:durableId="801580545">
    <w:abstractNumId w:val="1"/>
  </w:num>
  <w:num w:numId="29" w16cid:durableId="733891939">
    <w:abstractNumId w:val="3"/>
  </w:num>
  <w:num w:numId="30" w16cid:durableId="69666177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1B92"/>
    <w:rsid w:val="000162A7"/>
    <w:rsid w:val="000179D1"/>
    <w:rsid w:val="00023518"/>
    <w:rsid w:val="001204BE"/>
    <w:rsid w:val="00174532"/>
    <w:rsid w:val="00194292"/>
    <w:rsid w:val="001D04A5"/>
    <w:rsid w:val="001D1B92"/>
    <w:rsid w:val="002464E5"/>
    <w:rsid w:val="002528E6"/>
    <w:rsid w:val="002F02A3"/>
    <w:rsid w:val="00311E8D"/>
    <w:rsid w:val="003821CC"/>
    <w:rsid w:val="003A3DB8"/>
    <w:rsid w:val="003D3B82"/>
    <w:rsid w:val="004347D7"/>
    <w:rsid w:val="00441C0F"/>
    <w:rsid w:val="005607ED"/>
    <w:rsid w:val="00656782"/>
    <w:rsid w:val="006E2FE4"/>
    <w:rsid w:val="007177FA"/>
    <w:rsid w:val="00722FD9"/>
    <w:rsid w:val="0074656F"/>
    <w:rsid w:val="00793909"/>
    <w:rsid w:val="007D51CF"/>
    <w:rsid w:val="009F6263"/>
    <w:rsid w:val="00D339DD"/>
    <w:rsid w:val="00D3413A"/>
    <w:rsid w:val="00DA666D"/>
    <w:rsid w:val="00DE2845"/>
    <w:rsid w:val="00DF1331"/>
    <w:rsid w:val="00E2631F"/>
    <w:rsid w:val="00EF395F"/>
    <w:rsid w:val="00F31806"/>
    <w:rsid w:val="00F975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A029D1"/>
  <w15:chartTrackingRefBased/>
  <w15:docId w15:val="{4053883B-A0FC-409F-B64F-FFF7AAC693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21CC"/>
  </w:style>
  <w:style w:type="paragraph" w:styleId="Heading1">
    <w:name w:val="heading 1"/>
    <w:basedOn w:val="Normal"/>
    <w:next w:val="Normal"/>
    <w:link w:val="Heading1Char"/>
    <w:uiPriority w:val="9"/>
    <w:qFormat/>
    <w:rsid w:val="001D1B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1B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1B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1B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1B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1B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1B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1B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1B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1B9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1B9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1B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1B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1B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1B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1B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1B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1B92"/>
    <w:rPr>
      <w:rFonts w:eastAsiaTheme="majorEastAsia" w:cstheme="majorBidi"/>
      <w:color w:val="272727" w:themeColor="text1" w:themeTint="D8"/>
    </w:rPr>
  </w:style>
  <w:style w:type="paragraph" w:styleId="Title">
    <w:name w:val="Title"/>
    <w:basedOn w:val="Normal"/>
    <w:next w:val="Normal"/>
    <w:link w:val="TitleChar"/>
    <w:uiPriority w:val="10"/>
    <w:qFormat/>
    <w:rsid w:val="001D1B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1B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1B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1B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1B92"/>
    <w:pPr>
      <w:spacing w:before="160"/>
      <w:jc w:val="center"/>
    </w:pPr>
    <w:rPr>
      <w:i/>
      <w:iCs/>
      <w:color w:val="404040" w:themeColor="text1" w:themeTint="BF"/>
    </w:rPr>
  </w:style>
  <w:style w:type="character" w:customStyle="1" w:styleId="QuoteChar">
    <w:name w:val="Quote Char"/>
    <w:basedOn w:val="DefaultParagraphFont"/>
    <w:link w:val="Quote"/>
    <w:uiPriority w:val="29"/>
    <w:rsid w:val="001D1B92"/>
    <w:rPr>
      <w:i/>
      <w:iCs/>
      <w:color w:val="404040" w:themeColor="text1" w:themeTint="BF"/>
    </w:rPr>
  </w:style>
  <w:style w:type="paragraph" w:styleId="ListParagraph">
    <w:name w:val="List Paragraph"/>
    <w:basedOn w:val="Normal"/>
    <w:uiPriority w:val="34"/>
    <w:qFormat/>
    <w:rsid w:val="001D1B92"/>
    <w:pPr>
      <w:ind w:left="720"/>
      <w:contextualSpacing/>
    </w:pPr>
  </w:style>
  <w:style w:type="character" w:styleId="IntenseEmphasis">
    <w:name w:val="Intense Emphasis"/>
    <w:basedOn w:val="DefaultParagraphFont"/>
    <w:uiPriority w:val="21"/>
    <w:qFormat/>
    <w:rsid w:val="001D1B92"/>
    <w:rPr>
      <w:i/>
      <w:iCs/>
      <w:color w:val="0F4761" w:themeColor="accent1" w:themeShade="BF"/>
    </w:rPr>
  </w:style>
  <w:style w:type="paragraph" w:styleId="IntenseQuote">
    <w:name w:val="Intense Quote"/>
    <w:basedOn w:val="Normal"/>
    <w:next w:val="Normal"/>
    <w:link w:val="IntenseQuoteChar"/>
    <w:uiPriority w:val="30"/>
    <w:qFormat/>
    <w:rsid w:val="001D1B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1B92"/>
    <w:rPr>
      <w:i/>
      <w:iCs/>
      <w:color w:val="0F4761" w:themeColor="accent1" w:themeShade="BF"/>
    </w:rPr>
  </w:style>
  <w:style w:type="character" w:styleId="IntenseReference">
    <w:name w:val="Intense Reference"/>
    <w:basedOn w:val="DefaultParagraphFont"/>
    <w:uiPriority w:val="32"/>
    <w:qFormat/>
    <w:rsid w:val="001D1B9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2366">
      <w:bodyDiv w:val="1"/>
      <w:marLeft w:val="0"/>
      <w:marRight w:val="0"/>
      <w:marTop w:val="0"/>
      <w:marBottom w:val="0"/>
      <w:divBdr>
        <w:top w:val="none" w:sz="0" w:space="0" w:color="auto"/>
        <w:left w:val="none" w:sz="0" w:space="0" w:color="auto"/>
        <w:bottom w:val="none" w:sz="0" w:space="0" w:color="auto"/>
        <w:right w:val="none" w:sz="0" w:space="0" w:color="auto"/>
      </w:divBdr>
      <w:divsChild>
        <w:div w:id="497692719">
          <w:marLeft w:val="0"/>
          <w:marRight w:val="0"/>
          <w:marTop w:val="0"/>
          <w:marBottom w:val="0"/>
          <w:divBdr>
            <w:top w:val="none" w:sz="0" w:space="0" w:color="auto"/>
            <w:left w:val="none" w:sz="0" w:space="0" w:color="auto"/>
            <w:bottom w:val="none" w:sz="0" w:space="0" w:color="auto"/>
            <w:right w:val="none" w:sz="0" w:space="0" w:color="auto"/>
          </w:divBdr>
          <w:divsChild>
            <w:div w:id="254828211">
              <w:marLeft w:val="0"/>
              <w:marRight w:val="0"/>
              <w:marTop w:val="0"/>
              <w:marBottom w:val="0"/>
              <w:divBdr>
                <w:top w:val="none" w:sz="0" w:space="0" w:color="auto"/>
                <w:left w:val="none" w:sz="0" w:space="0" w:color="auto"/>
                <w:bottom w:val="none" w:sz="0" w:space="0" w:color="auto"/>
                <w:right w:val="none" w:sz="0" w:space="0" w:color="auto"/>
              </w:divBdr>
            </w:div>
          </w:divsChild>
        </w:div>
        <w:div w:id="1181428769">
          <w:marLeft w:val="0"/>
          <w:marRight w:val="0"/>
          <w:marTop w:val="0"/>
          <w:marBottom w:val="0"/>
          <w:divBdr>
            <w:top w:val="none" w:sz="0" w:space="0" w:color="auto"/>
            <w:left w:val="none" w:sz="0" w:space="0" w:color="auto"/>
            <w:bottom w:val="none" w:sz="0" w:space="0" w:color="auto"/>
            <w:right w:val="none" w:sz="0" w:space="0" w:color="auto"/>
          </w:divBdr>
          <w:divsChild>
            <w:div w:id="213150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1469">
      <w:bodyDiv w:val="1"/>
      <w:marLeft w:val="0"/>
      <w:marRight w:val="0"/>
      <w:marTop w:val="0"/>
      <w:marBottom w:val="0"/>
      <w:divBdr>
        <w:top w:val="none" w:sz="0" w:space="0" w:color="auto"/>
        <w:left w:val="none" w:sz="0" w:space="0" w:color="auto"/>
        <w:bottom w:val="none" w:sz="0" w:space="0" w:color="auto"/>
        <w:right w:val="none" w:sz="0" w:space="0" w:color="auto"/>
      </w:divBdr>
      <w:divsChild>
        <w:div w:id="2112778108">
          <w:marLeft w:val="0"/>
          <w:marRight w:val="0"/>
          <w:marTop w:val="0"/>
          <w:marBottom w:val="0"/>
          <w:divBdr>
            <w:top w:val="none" w:sz="0" w:space="0" w:color="auto"/>
            <w:left w:val="none" w:sz="0" w:space="0" w:color="auto"/>
            <w:bottom w:val="none" w:sz="0" w:space="0" w:color="auto"/>
            <w:right w:val="none" w:sz="0" w:space="0" w:color="auto"/>
          </w:divBdr>
          <w:divsChild>
            <w:div w:id="101430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04834">
      <w:bodyDiv w:val="1"/>
      <w:marLeft w:val="0"/>
      <w:marRight w:val="0"/>
      <w:marTop w:val="0"/>
      <w:marBottom w:val="0"/>
      <w:divBdr>
        <w:top w:val="none" w:sz="0" w:space="0" w:color="auto"/>
        <w:left w:val="none" w:sz="0" w:space="0" w:color="auto"/>
        <w:bottom w:val="none" w:sz="0" w:space="0" w:color="auto"/>
        <w:right w:val="none" w:sz="0" w:space="0" w:color="auto"/>
      </w:divBdr>
      <w:divsChild>
        <w:div w:id="127672398">
          <w:marLeft w:val="0"/>
          <w:marRight w:val="0"/>
          <w:marTop w:val="0"/>
          <w:marBottom w:val="0"/>
          <w:divBdr>
            <w:top w:val="none" w:sz="0" w:space="0" w:color="auto"/>
            <w:left w:val="none" w:sz="0" w:space="0" w:color="auto"/>
            <w:bottom w:val="none" w:sz="0" w:space="0" w:color="auto"/>
            <w:right w:val="none" w:sz="0" w:space="0" w:color="auto"/>
          </w:divBdr>
          <w:divsChild>
            <w:div w:id="2035425055">
              <w:marLeft w:val="0"/>
              <w:marRight w:val="0"/>
              <w:marTop w:val="0"/>
              <w:marBottom w:val="0"/>
              <w:divBdr>
                <w:top w:val="none" w:sz="0" w:space="0" w:color="auto"/>
                <w:left w:val="none" w:sz="0" w:space="0" w:color="auto"/>
                <w:bottom w:val="none" w:sz="0" w:space="0" w:color="auto"/>
                <w:right w:val="none" w:sz="0" w:space="0" w:color="auto"/>
              </w:divBdr>
            </w:div>
          </w:divsChild>
        </w:div>
        <w:div w:id="1855338326">
          <w:marLeft w:val="0"/>
          <w:marRight w:val="0"/>
          <w:marTop w:val="0"/>
          <w:marBottom w:val="0"/>
          <w:divBdr>
            <w:top w:val="none" w:sz="0" w:space="0" w:color="auto"/>
            <w:left w:val="none" w:sz="0" w:space="0" w:color="auto"/>
            <w:bottom w:val="none" w:sz="0" w:space="0" w:color="auto"/>
            <w:right w:val="none" w:sz="0" w:space="0" w:color="auto"/>
          </w:divBdr>
          <w:divsChild>
            <w:div w:id="12859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5931">
      <w:bodyDiv w:val="1"/>
      <w:marLeft w:val="0"/>
      <w:marRight w:val="0"/>
      <w:marTop w:val="0"/>
      <w:marBottom w:val="0"/>
      <w:divBdr>
        <w:top w:val="none" w:sz="0" w:space="0" w:color="auto"/>
        <w:left w:val="none" w:sz="0" w:space="0" w:color="auto"/>
        <w:bottom w:val="none" w:sz="0" w:space="0" w:color="auto"/>
        <w:right w:val="none" w:sz="0" w:space="0" w:color="auto"/>
      </w:divBdr>
      <w:divsChild>
        <w:div w:id="1734426973">
          <w:marLeft w:val="0"/>
          <w:marRight w:val="0"/>
          <w:marTop w:val="0"/>
          <w:marBottom w:val="0"/>
          <w:divBdr>
            <w:top w:val="none" w:sz="0" w:space="0" w:color="auto"/>
            <w:left w:val="none" w:sz="0" w:space="0" w:color="auto"/>
            <w:bottom w:val="none" w:sz="0" w:space="0" w:color="auto"/>
            <w:right w:val="none" w:sz="0" w:space="0" w:color="auto"/>
          </w:divBdr>
          <w:divsChild>
            <w:div w:id="608396428">
              <w:marLeft w:val="0"/>
              <w:marRight w:val="0"/>
              <w:marTop w:val="0"/>
              <w:marBottom w:val="0"/>
              <w:divBdr>
                <w:top w:val="none" w:sz="0" w:space="0" w:color="auto"/>
                <w:left w:val="none" w:sz="0" w:space="0" w:color="auto"/>
                <w:bottom w:val="none" w:sz="0" w:space="0" w:color="auto"/>
                <w:right w:val="none" w:sz="0" w:space="0" w:color="auto"/>
              </w:divBdr>
            </w:div>
          </w:divsChild>
        </w:div>
        <w:div w:id="339547454">
          <w:marLeft w:val="0"/>
          <w:marRight w:val="0"/>
          <w:marTop w:val="0"/>
          <w:marBottom w:val="0"/>
          <w:divBdr>
            <w:top w:val="none" w:sz="0" w:space="0" w:color="auto"/>
            <w:left w:val="none" w:sz="0" w:space="0" w:color="auto"/>
            <w:bottom w:val="none" w:sz="0" w:space="0" w:color="auto"/>
            <w:right w:val="none" w:sz="0" w:space="0" w:color="auto"/>
          </w:divBdr>
          <w:divsChild>
            <w:div w:id="10226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40741">
      <w:bodyDiv w:val="1"/>
      <w:marLeft w:val="0"/>
      <w:marRight w:val="0"/>
      <w:marTop w:val="0"/>
      <w:marBottom w:val="0"/>
      <w:divBdr>
        <w:top w:val="none" w:sz="0" w:space="0" w:color="auto"/>
        <w:left w:val="none" w:sz="0" w:space="0" w:color="auto"/>
        <w:bottom w:val="none" w:sz="0" w:space="0" w:color="auto"/>
        <w:right w:val="none" w:sz="0" w:space="0" w:color="auto"/>
      </w:divBdr>
    </w:div>
    <w:div w:id="394857513">
      <w:bodyDiv w:val="1"/>
      <w:marLeft w:val="0"/>
      <w:marRight w:val="0"/>
      <w:marTop w:val="0"/>
      <w:marBottom w:val="0"/>
      <w:divBdr>
        <w:top w:val="none" w:sz="0" w:space="0" w:color="auto"/>
        <w:left w:val="none" w:sz="0" w:space="0" w:color="auto"/>
        <w:bottom w:val="none" w:sz="0" w:space="0" w:color="auto"/>
        <w:right w:val="none" w:sz="0" w:space="0" w:color="auto"/>
      </w:divBdr>
      <w:divsChild>
        <w:div w:id="1280603116">
          <w:marLeft w:val="0"/>
          <w:marRight w:val="0"/>
          <w:marTop w:val="0"/>
          <w:marBottom w:val="0"/>
          <w:divBdr>
            <w:top w:val="none" w:sz="0" w:space="0" w:color="auto"/>
            <w:left w:val="none" w:sz="0" w:space="0" w:color="auto"/>
            <w:bottom w:val="none" w:sz="0" w:space="0" w:color="auto"/>
            <w:right w:val="none" w:sz="0" w:space="0" w:color="auto"/>
          </w:divBdr>
          <w:divsChild>
            <w:div w:id="1234392802">
              <w:marLeft w:val="0"/>
              <w:marRight w:val="0"/>
              <w:marTop w:val="0"/>
              <w:marBottom w:val="0"/>
              <w:divBdr>
                <w:top w:val="none" w:sz="0" w:space="0" w:color="auto"/>
                <w:left w:val="none" w:sz="0" w:space="0" w:color="auto"/>
                <w:bottom w:val="none" w:sz="0" w:space="0" w:color="auto"/>
                <w:right w:val="none" w:sz="0" w:space="0" w:color="auto"/>
              </w:divBdr>
            </w:div>
          </w:divsChild>
        </w:div>
        <w:div w:id="1117483957">
          <w:marLeft w:val="0"/>
          <w:marRight w:val="0"/>
          <w:marTop w:val="0"/>
          <w:marBottom w:val="0"/>
          <w:divBdr>
            <w:top w:val="none" w:sz="0" w:space="0" w:color="auto"/>
            <w:left w:val="none" w:sz="0" w:space="0" w:color="auto"/>
            <w:bottom w:val="none" w:sz="0" w:space="0" w:color="auto"/>
            <w:right w:val="none" w:sz="0" w:space="0" w:color="auto"/>
          </w:divBdr>
          <w:divsChild>
            <w:div w:id="1934316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439493">
      <w:bodyDiv w:val="1"/>
      <w:marLeft w:val="0"/>
      <w:marRight w:val="0"/>
      <w:marTop w:val="0"/>
      <w:marBottom w:val="0"/>
      <w:divBdr>
        <w:top w:val="none" w:sz="0" w:space="0" w:color="auto"/>
        <w:left w:val="none" w:sz="0" w:space="0" w:color="auto"/>
        <w:bottom w:val="none" w:sz="0" w:space="0" w:color="auto"/>
        <w:right w:val="none" w:sz="0" w:space="0" w:color="auto"/>
      </w:divBdr>
    </w:div>
    <w:div w:id="584997709">
      <w:bodyDiv w:val="1"/>
      <w:marLeft w:val="0"/>
      <w:marRight w:val="0"/>
      <w:marTop w:val="0"/>
      <w:marBottom w:val="0"/>
      <w:divBdr>
        <w:top w:val="none" w:sz="0" w:space="0" w:color="auto"/>
        <w:left w:val="none" w:sz="0" w:space="0" w:color="auto"/>
        <w:bottom w:val="none" w:sz="0" w:space="0" w:color="auto"/>
        <w:right w:val="none" w:sz="0" w:space="0" w:color="auto"/>
      </w:divBdr>
    </w:div>
    <w:div w:id="697389935">
      <w:bodyDiv w:val="1"/>
      <w:marLeft w:val="0"/>
      <w:marRight w:val="0"/>
      <w:marTop w:val="0"/>
      <w:marBottom w:val="0"/>
      <w:divBdr>
        <w:top w:val="none" w:sz="0" w:space="0" w:color="auto"/>
        <w:left w:val="none" w:sz="0" w:space="0" w:color="auto"/>
        <w:bottom w:val="none" w:sz="0" w:space="0" w:color="auto"/>
        <w:right w:val="none" w:sz="0" w:space="0" w:color="auto"/>
      </w:divBdr>
    </w:div>
    <w:div w:id="807746235">
      <w:bodyDiv w:val="1"/>
      <w:marLeft w:val="0"/>
      <w:marRight w:val="0"/>
      <w:marTop w:val="0"/>
      <w:marBottom w:val="0"/>
      <w:divBdr>
        <w:top w:val="none" w:sz="0" w:space="0" w:color="auto"/>
        <w:left w:val="none" w:sz="0" w:space="0" w:color="auto"/>
        <w:bottom w:val="none" w:sz="0" w:space="0" w:color="auto"/>
        <w:right w:val="none" w:sz="0" w:space="0" w:color="auto"/>
      </w:divBdr>
      <w:divsChild>
        <w:div w:id="866674487">
          <w:marLeft w:val="0"/>
          <w:marRight w:val="0"/>
          <w:marTop w:val="0"/>
          <w:marBottom w:val="0"/>
          <w:divBdr>
            <w:top w:val="none" w:sz="0" w:space="0" w:color="auto"/>
            <w:left w:val="none" w:sz="0" w:space="0" w:color="auto"/>
            <w:bottom w:val="none" w:sz="0" w:space="0" w:color="auto"/>
            <w:right w:val="none" w:sz="0" w:space="0" w:color="auto"/>
          </w:divBdr>
          <w:divsChild>
            <w:div w:id="351537457">
              <w:marLeft w:val="0"/>
              <w:marRight w:val="0"/>
              <w:marTop w:val="0"/>
              <w:marBottom w:val="0"/>
              <w:divBdr>
                <w:top w:val="none" w:sz="0" w:space="0" w:color="auto"/>
                <w:left w:val="none" w:sz="0" w:space="0" w:color="auto"/>
                <w:bottom w:val="none" w:sz="0" w:space="0" w:color="auto"/>
                <w:right w:val="none" w:sz="0" w:space="0" w:color="auto"/>
              </w:divBdr>
              <w:divsChild>
                <w:div w:id="1292247753">
                  <w:marLeft w:val="0"/>
                  <w:marRight w:val="0"/>
                  <w:marTop w:val="0"/>
                  <w:marBottom w:val="0"/>
                  <w:divBdr>
                    <w:top w:val="none" w:sz="0" w:space="0" w:color="auto"/>
                    <w:left w:val="none" w:sz="0" w:space="0" w:color="auto"/>
                    <w:bottom w:val="none" w:sz="0" w:space="0" w:color="auto"/>
                    <w:right w:val="none" w:sz="0" w:space="0" w:color="auto"/>
                  </w:divBdr>
                  <w:divsChild>
                    <w:div w:id="558831783">
                      <w:marLeft w:val="0"/>
                      <w:marRight w:val="0"/>
                      <w:marTop w:val="0"/>
                      <w:marBottom w:val="0"/>
                      <w:divBdr>
                        <w:top w:val="none" w:sz="0" w:space="0" w:color="auto"/>
                        <w:left w:val="none" w:sz="0" w:space="0" w:color="auto"/>
                        <w:bottom w:val="none" w:sz="0" w:space="0" w:color="auto"/>
                        <w:right w:val="none" w:sz="0" w:space="0" w:color="auto"/>
                      </w:divBdr>
                      <w:divsChild>
                        <w:div w:id="1238443355">
                          <w:marLeft w:val="0"/>
                          <w:marRight w:val="0"/>
                          <w:marTop w:val="0"/>
                          <w:marBottom w:val="0"/>
                          <w:divBdr>
                            <w:top w:val="none" w:sz="0" w:space="0" w:color="auto"/>
                            <w:left w:val="none" w:sz="0" w:space="0" w:color="auto"/>
                            <w:bottom w:val="none" w:sz="0" w:space="0" w:color="auto"/>
                            <w:right w:val="none" w:sz="0" w:space="0" w:color="auto"/>
                          </w:divBdr>
                          <w:divsChild>
                            <w:div w:id="1567494254">
                              <w:marLeft w:val="0"/>
                              <w:marRight w:val="0"/>
                              <w:marTop w:val="0"/>
                              <w:marBottom w:val="0"/>
                              <w:divBdr>
                                <w:top w:val="none" w:sz="0" w:space="0" w:color="auto"/>
                                <w:left w:val="none" w:sz="0" w:space="0" w:color="auto"/>
                                <w:bottom w:val="none" w:sz="0" w:space="0" w:color="auto"/>
                                <w:right w:val="none" w:sz="0" w:space="0" w:color="auto"/>
                              </w:divBdr>
                              <w:divsChild>
                                <w:div w:id="1921598765">
                                  <w:marLeft w:val="0"/>
                                  <w:marRight w:val="0"/>
                                  <w:marTop w:val="0"/>
                                  <w:marBottom w:val="0"/>
                                  <w:divBdr>
                                    <w:top w:val="none" w:sz="0" w:space="0" w:color="auto"/>
                                    <w:left w:val="none" w:sz="0" w:space="0" w:color="auto"/>
                                    <w:bottom w:val="none" w:sz="0" w:space="0" w:color="auto"/>
                                    <w:right w:val="none" w:sz="0" w:space="0" w:color="auto"/>
                                  </w:divBdr>
                                  <w:divsChild>
                                    <w:div w:id="19798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9016941">
          <w:marLeft w:val="0"/>
          <w:marRight w:val="0"/>
          <w:marTop w:val="0"/>
          <w:marBottom w:val="0"/>
          <w:divBdr>
            <w:top w:val="none" w:sz="0" w:space="0" w:color="auto"/>
            <w:left w:val="none" w:sz="0" w:space="0" w:color="auto"/>
            <w:bottom w:val="none" w:sz="0" w:space="0" w:color="auto"/>
            <w:right w:val="none" w:sz="0" w:space="0" w:color="auto"/>
          </w:divBdr>
          <w:divsChild>
            <w:div w:id="1054505443">
              <w:marLeft w:val="0"/>
              <w:marRight w:val="0"/>
              <w:marTop w:val="0"/>
              <w:marBottom w:val="0"/>
              <w:divBdr>
                <w:top w:val="none" w:sz="0" w:space="0" w:color="auto"/>
                <w:left w:val="none" w:sz="0" w:space="0" w:color="auto"/>
                <w:bottom w:val="none" w:sz="0" w:space="0" w:color="auto"/>
                <w:right w:val="none" w:sz="0" w:space="0" w:color="auto"/>
              </w:divBdr>
              <w:divsChild>
                <w:div w:id="740910829">
                  <w:marLeft w:val="0"/>
                  <w:marRight w:val="0"/>
                  <w:marTop w:val="0"/>
                  <w:marBottom w:val="0"/>
                  <w:divBdr>
                    <w:top w:val="none" w:sz="0" w:space="0" w:color="auto"/>
                    <w:left w:val="none" w:sz="0" w:space="0" w:color="auto"/>
                    <w:bottom w:val="none" w:sz="0" w:space="0" w:color="auto"/>
                    <w:right w:val="none" w:sz="0" w:space="0" w:color="auto"/>
                  </w:divBdr>
                  <w:divsChild>
                    <w:div w:id="1205099437">
                      <w:marLeft w:val="0"/>
                      <w:marRight w:val="0"/>
                      <w:marTop w:val="0"/>
                      <w:marBottom w:val="0"/>
                      <w:divBdr>
                        <w:top w:val="none" w:sz="0" w:space="0" w:color="auto"/>
                        <w:left w:val="none" w:sz="0" w:space="0" w:color="auto"/>
                        <w:bottom w:val="none" w:sz="0" w:space="0" w:color="auto"/>
                        <w:right w:val="none" w:sz="0" w:space="0" w:color="auto"/>
                      </w:divBdr>
                      <w:divsChild>
                        <w:div w:id="977301657">
                          <w:marLeft w:val="0"/>
                          <w:marRight w:val="0"/>
                          <w:marTop w:val="0"/>
                          <w:marBottom w:val="0"/>
                          <w:divBdr>
                            <w:top w:val="none" w:sz="0" w:space="0" w:color="auto"/>
                            <w:left w:val="none" w:sz="0" w:space="0" w:color="auto"/>
                            <w:bottom w:val="none" w:sz="0" w:space="0" w:color="auto"/>
                            <w:right w:val="none" w:sz="0" w:space="0" w:color="auto"/>
                          </w:divBdr>
                          <w:divsChild>
                            <w:div w:id="485823240">
                              <w:marLeft w:val="0"/>
                              <w:marRight w:val="0"/>
                              <w:marTop w:val="0"/>
                              <w:marBottom w:val="0"/>
                              <w:divBdr>
                                <w:top w:val="none" w:sz="0" w:space="0" w:color="auto"/>
                                <w:left w:val="none" w:sz="0" w:space="0" w:color="auto"/>
                                <w:bottom w:val="none" w:sz="0" w:space="0" w:color="auto"/>
                                <w:right w:val="none" w:sz="0" w:space="0" w:color="auto"/>
                              </w:divBdr>
                              <w:divsChild>
                                <w:div w:id="146053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8900854">
          <w:marLeft w:val="0"/>
          <w:marRight w:val="0"/>
          <w:marTop w:val="0"/>
          <w:marBottom w:val="0"/>
          <w:divBdr>
            <w:top w:val="none" w:sz="0" w:space="0" w:color="auto"/>
            <w:left w:val="none" w:sz="0" w:space="0" w:color="auto"/>
            <w:bottom w:val="none" w:sz="0" w:space="0" w:color="auto"/>
            <w:right w:val="none" w:sz="0" w:space="0" w:color="auto"/>
          </w:divBdr>
          <w:divsChild>
            <w:div w:id="1706367492">
              <w:marLeft w:val="0"/>
              <w:marRight w:val="0"/>
              <w:marTop w:val="0"/>
              <w:marBottom w:val="0"/>
              <w:divBdr>
                <w:top w:val="none" w:sz="0" w:space="0" w:color="auto"/>
                <w:left w:val="none" w:sz="0" w:space="0" w:color="auto"/>
                <w:bottom w:val="none" w:sz="0" w:space="0" w:color="auto"/>
                <w:right w:val="none" w:sz="0" w:space="0" w:color="auto"/>
              </w:divBdr>
              <w:divsChild>
                <w:div w:id="866142599">
                  <w:marLeft w:val="0"/>
                  <w:marRight w:val="0"/>
                  <w:marTop w:val="0"/>
                  <w:marBottom w:val="0"/>
                  <w:divBdr>
                    <w:top w:val="none" w:sz="0" w:space="0" w:color="auto"/>
                    <w:left w:val="none" w:sz="0" w:space="0" w:color="auto"/>
                    <w:bottom w:val="none" w:sz="0" w:space="0" w:color="auto"/>
                    <w:right w:val="none" w:sz="0" w:space="0" w:color="auto"/>
                  </w:divBdr>
                  <w:divsChild>
                    <w:div w:id="418841521">
                      <w:marLeft w:val="0"/>
                      <w:marRight w:val="0"/>
                      <w:marTop w:val="0"/>
                      <w:marBottom w:val="0"/>
                      <w:divBdr>
                        <w:top w:val="none" w:sz="0" w:space="0" w:color="auto"/>
                        <w:left w:val="none" w:sz="0" w:space="0" w:color="auto"/>
                        <w:bottom w:val="none" w:sz="0" w:space="0" w:color="auto"/>
                        <w:right w:val="none" w:sz="0" w:space="0" w:color="auto"/>
                      </w:divBdr>
                      <w:divsChild>
                        <w:div w:id="2008093011">
                          <w:marLeft w:val="0"/>
                          <w:marRight w:val="0"/>
                          <w:marTop w:val="0"/>
                          <w:marBottom w:val="0"/>
                          <w:divBdr>
                            <w:top w:val="none" w:sz="0" w:space="0" w:color="auto"/>
                            <w:left w:val="none" w:sz="0" w:space="0" w:color="auto"/>
                            <w:bottom w:val="none" w:sz="0" w:space="0" w:color="auto"/>
                            <w:right w:val="none" w:sz="0" w:space="0" w:color="auto"/>
                          </w:divBdr>
                          <w:divsChild>
                            <w:div w:id="349331352">
                              <w:marLeft w:val="0"/>
                              <w:marRight w:val="0"/>
                              <w:marTop w:val="0"/>
                              <w:marBottom w:val="0"/>
                              <w:divBdr>
                                <w:top w:val="none" w:sz="0" w:space="0" w:color="auto"/>
                                <w:left w:val="none" w:sz="0" w:space="0" w:color="auto"/>
                                <w:bottom w:val="none" w:sz="0" w:space="0" w:color="auto"/>
                                <w:right w:val="none" w:sz="0" w:space="0" w:color="auto"/>
                              </w:divBdr>
                              <w:divsChild>
                                <w:div w:id="50354279">
                                  <w:marLeft w:val="0"/>
                                  <w:marRight w:val="0"/>
                                  <w:marTop w:val="0"/>
                                  <w:marBottom w:val="0"/>
                                  <w:divBdr>
                                    <w:top w:val="none" w:sz="0" w:space="0" w:color="auto"/>
                                    <w:left w:val="none" w:sz="0" w:space="0" w:color="auto"/>
                                    <w:bottom w:val="none" w:sz="0" w:space="0" w:color="auto"/>
                                    <w:right w:val="none" w:sz="0" w:space="0" w:color="auto"/>
                                  </w:divBdr>
                                  <w:divsChild>
                                    <w:div w:id="176869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8149713">
      <w:bodyDiv w:val="1"/>
      <w:marLeft w:val="0"/>
      <w:marRight w:val="0"/>
      <w:marTop w:val="0"/>
      <w:marBottom w:val="0"/>
      <w:divBdr>
        <w:top w:val="none" w:sz="0" w:space="0" w:color="auto"/>
        <w:left w:val="none" w:sz="0" w:space="0" w:color="auto"/>
        <w:bottom w:val="none" w:sz="0" w:space="0" w:color="auto"/>
        <w:right w:val="none" w:sz="0" w:space="0" w:color="auto"/>
      </w:divBdr>
      <w:divsChild>
        <w:div w:id="895702827">
          <w:marLeft w:val="0"/>
          <w:marRight w:val="0"/>
          <w:marTop w:val="0"/>
          <w:marBottom w:val="0"/>
          <w:divBdr>
            <w:top w:val="none" w:sz="0" w:space="0" w:color="auto"/>
            <w:left w:val="none" w:sz="0" w:space="0" w:color="auto"/>
            <w:bottom w:val="none" w:sz="0" w:space="0" w:color="auto"/>
            <w:right w:val="none" w:sz="0" w:space="0" w:color="auto"/>
          </w:divBdr>
          <w:divsChild>
            <w:div w:id="46046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05258">
      <w:bodyDiv w:val="1"/>
      <w:marLeft w:val="0"/>
      <w:marRight w:val="0"/>
      <w:marTop w:val="0"/>
      <w:marBottom w:val="0"/>
      <w:divBdr>
        <w:top w:val="none" w:sz="0" w:space="0" w:color="auto"/>
        <w:left w:val="none" w:sz="0" w:space="0" w:color="auto"/>
        <w:bottom w:val="none" w:sz="0" w:space="0" w:color="auto"/>
        <w:right w:val="none" w:sz="0" w:space="0" w:color="auto"/>
      </w:divBdr>
      <w:divsChild>
        <w:div w:id="967590199">
          <w:marLeft w:val="0"/>
          <w:marRight w:val="0"/>
          <w:marTop w:val="0"/>
          <w:marBottom w:val="0"/>
          <w:divBdr>
            <w:top w:val="none" w:sz="0" w:space="0" w:color="auto"/>
            <w:left w:val="none" w:sz="0" w:space="0" w:color="auto"/>
            <w:bottom w:val="none" w:sz="0" w:space="0" w:color="auto"/>
            <w:right w:val="none" w:sz="0" w:space="0" w:color="auto"/>
          </w:divBdr>
          <w:divsChild>
            <w:div w:id="986863363">
              <w:marLeft w:val="0"/>
              <w:marRight w:val="0"/>
              <w:marTop w:val="0"/>
              <w:marBottom w:val="0"/>
              <w:divBdr>
                <w:top w:val="none" w:sz="0" w:space="0" w:color="auto"/>
                <w:left w:val="none" w:sz="0" w:space="0" w:color="auto"/>
                <w:bottom w:val="none" w:sz="0" w:space="0" w:color="auto"/>
                <w:right w:val="none" w:sz="0" w:space="0" w:color="auto"/>
              </w:divBdr>
            </w:div>
          </w:divsChild>
        </w:div>
        <w:div w:id="458574117">
          <w:marLeft w:val="0"/>
          <w:marRight w:val="0"/>
          <w:marTop w:val="0"/>
          <w:marBottom w:val="0"/>
          <w:divBdr>
            <w:top w:val="none" w:sz="0" w:space="0" w:color="auto"/>
            <w:left w:val="none" w:sz="0" w:space="0" w:color="auto"/>
            <w:bottom w:val="none" w:sz="0" w:space="0" w:color="auto"/>
            <w:right w:val="none" w:sz="0" w:space="0" w:color="auto"/>
          </w:divBdr>
          <w:divsChild>
            <w:div w:id="137437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953115">
      <w:bodyDiv w:val="1"/>
      <w:marLeft w:val="0"/>
      <w:marRight w:val="0"/>
      <w:marTop w:val="0"/>
      <w:marBottom w:val="0"/>
      <w:divBdr>
        <w:top w:val="none" w:sz="0" w:space="0" w:color="auto"/>
        <w:left w:val="none" w:sz="0" w:space="0" w:color="auto"/>
        <w:bottom w:val="none" w:sz="0" w:space="0" w:color="auto"/>
        <w:right w:val="none" w:sz="0" w:space="0" w:color="auto"/>
      </w:divBdr>
    </w:div>
    <w:div w:id="1059866366">
      <w:bodyDiv w:val="1"/>
      <w:marLeft w:val="0"/>
      <w:marRight w:val="0"/>
      <w:marTop w:val="0"/>
      <w:marBottom w:val="0"/>
      <w:divBdr>
        <w:top w:val="none" w:sz="0" w:space="0" w:color="auto"/>
        <w:left w:val="none" w:sz="0" w:space="0" w:color="auto"/>
        <w:bottom w:val="none" w:sz="0" w:space="0" w:color="auto"/>
        <w:right w:val="none" w:sz="0" w:space="0" w:color="auto"/>
      </w:divBdr>
      <w:divsChild>
        <w:div w:id="830677372">
          <w:marLeft w:val="0"/>
          <w:marRight w:val="0"/>
          <w:marTop w:val="0"/>
          <w:marBottom w:val="0"/>
          <w:divBdr>
            <w:top w:val="none" w:sz="0" w:space="0" w:color="auto"/>
            <w:left w:val="none" w:sz="0" w:space="0" w:color="auto"/>
            <w:bottom w:val="none" w:sz="0" w:space="0" w:color="auto"/>
            <w:right w:val="none" w:sz="0" w:space="0" w:color="auto"/>
          </w:divBdr>
          <w:divsChild>
            <w:div w:id="700399365">
              <w:marLeft w:val="0"/>
              <w:marRight w:val="0"/>
              <w:marTop w:val="0"/>
              <w:marBottom w:val="0"/>
              <w:divBdr>
                <w:top w:val="none" w:sz="0" w:space="0" w:color="auto"/>
                <w:left w:val="none" w:sz="0" w:space="0" w:color="auto"/>
                <w:bottom w:val="none" w:sz="0" w:space="0" w:color="auto"/>
                <w:right w:val="none" w:sz="0" w:space="0" w:color="auto"/>
              </w:divBdr>
            </w:div>
          </w:divsChild>
        </w:div>
        <w:div w:id="1337882227">
          <w:marLeft w:val="0"/>
          <w:marRight w:val="0"/>
          <w:marTop w:val="0"/>
          <w:marBottom w:val="0"/>
          <w:divBdr>
            <w:top w:val="none" w:sz="0" w:space="0" w:color="auto"/>
            <w:left w:val="none" w:sz="0" w:space="0" w:color="auto"/>
            <w:bottom w:val="none" w:sz="0" w:space="0" w:color="auto"/>
            <w:right w:val="none" w:sz="0" w:space="0" w:color="auto"/>
          </w:divBdr>
          <w:divsChild>
            <w:div w:id="141678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948054">
      <w:bodyDiv w:val="1"/>
      <w:marLeft w:val="0"/>
      <w:marRight w:val="0"/>
      <w:marTop w:val="0"/>
      <w:marBottom w:val="0"/>
      <w:divBdr>
        <w:top w:val="none" w:sz="0" w:space="0" w:color="auto"/>
        <w:left w:val="none" w:sz="0" w:space="0" w:color="auto"/>
        <w:bottom w:val="none" w:sz="0" w:space="0" w:color="auto"/>
        <w:right w:val="none" w:sz="0" w:space="0" w:color="auto"/>
      </w:divBdr>
    </w:div>
    <w:div w:id="1143544511">
      <w:bodyDiv w:val="1"/>
      <w:marLeft w:val="0"/>
      <w:marRight w:val="0"/>
      <w:marTop w:val="0"/>
      <w:marBottom w:val="0"/>
      <w:divBdr>
        <w:top w:val="none" w:sz="0" w:space="0" w:color="auto"/>
        <w:left w:val="none" w:sz="0" w:space="0" w:color="auto"/>
        <w:bottom w:val="none" w:sz="0" w:space="0" w:color="auto"/>
        <w:right w:val="none" w:sz="0" w:space="0" w:color="auto"/>
      </w:divBdr>
      <w:divsChild>
        <w:div w:id="19231003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49128813">
          <w:blockQuote w:val="1"/>
          <w:marLeft w:val="720"/>
          <w:marRight w:val="720"/>
          <w:marTop w:val="100"/>
          <w:marBottom w:val="100"/>
          <w:divBdr>
            <w:top w:val="none" w:sz="0" w:space="0" w:color="auto"/>
            <w:left w:val="none" w:sz="0" w:space="0" w:color="auto"/>
            <w:bottom w:val="none" w:sz="0" w:space="0" w:color="auto"/>
            <w:right w:val="none" w:sz="0" w:space="0" w:color="auto"/>
          </w:divBdr>
        </w:div>
        <w:div w:id="202678097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8769529">
          <w:blockQuote w:val="1"/>
          <w:marLeft w:val="720"/>
          <w:marRight w:val="720"/>
          <w:marTop w:val="100"/>
          <w:marBottom w:val="100"/>
          <w:divBdr>
            <w:top w:val="none" w:sz="0" w:space="0" w:color="auto"/>
            <w:left w:val="none" w:sz="0" w:space="0" w:color="auto"/>
            <w:bottom w:val="none" w:sz="0" w:space="0" w:color="auto"/>
            <w:right w:val="none" w:sz="0" w:space="0" w:color="auto"/>
          </w:divBdr>
        </w:div>
        <w:div w:id="626736267">
          <w:blockQuote w:val="1"/>
          <w:marLeft w:val="720"/>
          <w:marRight w:val="720"/>
          <w:marTop w:val="100"/>
          <w:marBottom w:val="100"/>
          <w:divBdr>
            <w:top w:val="none" w:sz="0" w:space="0" w:color="auto"/>
            <w:left w:val="none" w:sz="0" w:space="0" w:color="auto"/>
            <w:bottom w:val="none" w:sz="0" w:space="0" w:color="auto"/>
            <w:right w:val="none" w:sz="0" w:space="0" w:color="auto"/>
          </w:divBdr>
        </w:div>
        <w:div w:id="1710108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18403">
      <w:bodyDiv w:val="1"/>
      <w:marLeft w:val="0"/>
      <w:marRight w:val="0"/>
      <w:marTop w:val="0"/>
      <w:marBottom w:val="0"/>
      <w:divBdr>
        <w:top w:val="none" w:sz="0" w:space="0" w:color="auto"/>
        <w:left w:val="none" w:sz="0" w:space="0" w:color="auto"/>
        <w:bottom w:val="none" w:sz="0" w:space="0" w:color="auto"/>
        <w:right w:val="none" w:sz="0" w:space="0" w:color="auto"/>
      </w:divBdr>
      <w:divsChild>
        <w:div w:id="205336788">
          <w:marLeft w:val="0"/>
          <w:marRight w:val="0"/>
          <w:marTop w:val="0"/>
          <w:marBottom w:val="0"/>
          <w:divBdr>
            <w:top w:val="none" w:sz="0" w:space="0" w:color="auto"/>
            <w:left w:val="none" w:sz="0" w:space="0" w:color="auto"/>
            <w:bottom w:val="none" w:sz="0" w:space="0" w:color="auto"/>
            <w:right w:val="none" w:sz="0" w:space="0" w:color="auto"/>
          </w:divBdr>
          <w:divsChild>
            <w:div w:id="41741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84243">
      <w:bodyDiv w:val="1"/>
      <w:marLeft w:val="0"/>
      <w:marRight w:val="0"/>
      <w:marTop w:val="0"/>
      <w:marBottom w:val="0"/>
      <w:divBdr>
        <w:top w:val="none" w:sz="0" w:space="0" w:color="auto"/>
        <w:left w:val="none" w:sz="0" w:space="0" w:color="auto"/>
        <w:bottom w:val="none" w:sz="0" w:space="0" w:color="auto"/>
        <w:right w:val="none" w:sz="0" w:space="0" w:color="auto"/>
      </w:divBdr>
    </w:div>
    <w:div w:id="1347100754">
      <w:bodyDiv w:val="1"/>
      <w:marLeft w:val="0"/>
      <w:marRight w:val="0"/>
      <w:marTop w:val="0"/>
      <w:marBottom w:val="0"/>
      <w:divBdr>
        <w:top w:val="none" w:sz="0" w:space="0" w:color="auto"/>
        <w:left w:val="none" w:sz="0" w:space="0" w:color="auto"/>
        <w:bottom w:val="none" w:sz="0" w:space="0" w:color="auto"/>
        <w:right w:val="none" w:sz="0" w:space="0" w:color="auto"/>
      </w:divBdr>
      <w:divsChild>
        <w:div w:id="1405566514">
          <w:marLeft w:val="0"/>
          <w:marRight w:val="0"/>
          <w:marTop w:val="0"/>
          <w:marBottom w:val="0"/>
          <w:divBdr>
            <w:top w:val="none" w:sz="0" w:space="0" w:color="auto"/>
            <w:left w:val="none" w:sz="0" w:space="0" w:color="auto"/>
            <w:bottom w:val="none" w:sz="0" w:space="0" w:color="auto"/>
            <w:right w:val="none" w:sz="0" w:space="0" w:color="auto"/>
          </w:divBdr>
          <w:divsChild>
            <w:div w:id="1300115695">
              <w:marLeft w:val="0"/>
              <w:marRight w:val="0"/>
              <w:marTop w:val="0"/>
              <w:marBottom w:val="0"/>
              <w:divBdr>
                <w:top w:val="none" w:sz="0" w:space="0" w:color="auto"/>
                <w:left w:val="none" w:sz="0" w:space="0" w:color="auto"/>
                <w:bottom w:val="none" w:sz="0" w:space="0" w:color="auto"/>
                <w:right w:val="none" w:sz="0" w:space="0" w:color="auto"/>
              </w:divBdr>
            </w:div>
          </w:divsChild>
        </w:div>
        <w:div w:id="572740713">
          <w:marLeft w:val="0"/>
          <w:marRight w:val="0"/>
          <w:marTop w:val="0"/>
          <w:marBottom w:val="0"/>
          <w:divBdr>
            <w:top w:val="none" w:sz="0" w:space="0" w:color="auto"/>
            <w:left w:val="none" w:sz="0" w:space="0" w:color="auto"/>
            <w:bottom w:val="none" w:sz="0" w:space="0" w:color="auto"/>
            <w:right w:val="none" w:sz="0" w:space="0" w:color="auto"/>
          </w:divBdr>
          <w:divsChild>
            <w:div w:id="72923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039715">
      <w:bodyDiv w:val="1"/>
      <w:marLeft w:val="0"/>
      <w:marRight w:val="0"/>
      <w:marTop w:val="0"/>
      <w:marBottom w:val="0"/>
      <w:divBdr>
        <w:top w:val="none" w:sz="0" w:space="0" w:color="auto"/>
        <w:left w:val="none" w:sz="0" w:space="0" w:color="auto"/>
        <w:bottom w:val="none" w:sz="0" w:space="0" w:color="auto"/>
        <w:right w:val="none" w:sz="0" w:space="0" w:color="auto"/>
      </w:divBdr>
    </w:div>
    <w:div w:id="1381903720">
      <w:bodyDiv w:val="1"/>
      <w:marLeft w:val="0"/>
      <w:marRight w:val="0"/>
      <w:marTop w:val="0"/>
      <w:marBottom w:val="0"/>
      <w:divBdr>
        <w:top w:val="none" w:sz="0" w:space="0" w:color="auto"/>
        <w:left w:val="none" w:sz="0" w:space="0" w:color="auto"/>
        <w:bottom w:val="none" w:sz="0" w:space="0" w:color="auto"/>
        <w:right w:val="none" w:sz="0" w:space="0" w:color="auto"/>
      </w:divBdr>
      <w:divsChild>
        <w:div w:id="1367826107">
          <w:marLeft w:val="0"/>
          <w:marRight w:val="0"/>
          <w:marTop w:val="0"/>
          <w:marBottom w:val="0"/>
          <w:divBdr>
            <w:top w:val="none" w:sz="0" w:space="0" w:color="auto"/>
            <w:left w:val="none" w:sz="0" w:space="0" w:color="auto"/>
            <w:bottom w:val="none" w:sz="0" w:space="0" w:color="auto"/>
            <w:right w:val="none" w:sz="0" w:space="0" w:color="auto"/>
          </w:divBdr>
          <w:divsChild>
            <w:div w:id="20146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772151">
      <w:bodyDiv w:val="1"/>
      <w:marLeft w:val="0"/>
      <w:marRight w:val="0"/>
      <w:marTop w:val="0"/>
      <w:marBottom w:val="0"/>
      <w:divBdr>
        <w:top w:val="none" w:sz="0" w:space="0" w:color="auto"/>
        <w:left w:val="none" w:sz="0" w:space="0" w:color="auto"/>
        <w:bottom w:val="none" w:sz="0" w:space="0" w:color="auto"/>
        <w:right w:val="none" w:sz="0" w:space="0" w:color="auto"/>
      </w:divBdr>
      <w:divsChild>
        <w:div w:id="1442215660">
          <w:blockQuote w:val="1"/>
          <w:marLeft w:val="720"/>
          <w:marRight w:val="720"/>
          <w:marTop w:val="100"/>
          <w:marBottom w:val="100"/>
          <w:divBdr>
            <w:top w:val="none" w:sz="0" w:space="0" w:color="auto"/>
            <w:left w:val="none" w:sz="0" w:space="0" w:color="auto"/>
            <w:bottom w:val="none" w:sz="0" w:space="0" w:color="auto"/>
            <w:right w:val="none" w:sz="0" w:space="0" w:color="auto"/>
          </w:divBdr>
        </w:div>
        <w:div w:id="1878200552">
          <w:blockQuote w:val="1"/>
          <w:marLeft w:val="720"/>
          <w:marRight w:val="720"/>
          <w:marTop w:val="100"/>
          <w:marBottom w:val="100"/>
          <w:divBdr>
            <w:top w:val="none" w:sz="0" w:space="0" w:color="auto"/>
            <w:left w:val="none" w:sz="0" w:space="0" w:color="auto"/>
            <w:bottom w:val="none" w:sz="0" w:space="0" w:color="auto"/>
            <w:right w:val="none" w:sz="0" w:space="0" w:color="auto"/>
          </w:divBdr>
        </w:div>
        <w:div w:id="1040983138">
          <w:blockQuote w:val="1"/>
          <w:marLeft w:val="720"/>
          <w:marRight w:val="720"/>
          <w:marTop w:val="100"/>
          <w:marBottom w:val="100"/>
          <w:divBdr>
            <w:top w:val="none" w:sz="0" w:space="0" w:color="auto"/>
            <w:left w:val="none" w:sz="0" w:space="0" w:color="auto"/>
            <w:bottom w:val="none" w:sz="0" w:space="0" w:color="auto"/>
            <w:right w:val="none" w:sz="0" w:space="0" w:color="auto"/>
          </w:divBdr>
        </w:div>
        <w:div w:id="191465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46033467">
          <w:blockQuote w:val="1"/>
          <w:marLeft w:val="720"/>
          <w:marRight w:val="720"/>
          <w:marTop w:val="100"/>
          <w:marBottom w:val="100"/>
          <w:divBdr>
            <w:top w:val="none" w:sz="0" w:space="0" w:color="auto"/>
            <w:left w:val="none" w:sz="0" w:space="0" w:color="auto"/>
            <w:bottom w:val="none" w:sz="0" w:space="0" w:color="auto"/>
            <w:right w:val="none" w:sz="0" w:space="0" w:color="auto"/>
          </w:divBdr>
        </w:div>
        <w:div w:id="99128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054940">
      <w:bodyDiv w:val="1"/>
      <w:marLeft w:val="0"/>
      <w:marRight w:val="0"/>
      <w:marTop w:val="0"/>
      <w:marBottom w:val="0"/>
      <w:divBdr>
        <w:top w:val="none" w:sz="0" w:space="0" w:color="auto"/>
        <w:left w:val="none" w:sz="0" w:space="0" w:color="auto"/>
        <w:bottom w:val="none" w:sz="0" w:space="0" w:color="auto"/>
        <w:right w:val="none" w:sz="0" w:space="0" w:color="auto"/>
      </w:divBdr>
    </w:div>
    <w:div w:id="1700546681">
      <w:bodyDiv w:val="1"/>
      <w:marLeft w:val="0"/>
      <w:marRight w:val="0"/>
      <w:marTop w:val="0"/>
      <w:marBottom w:val="0"/>
      <w:divBdr>
        <w:top w:val="none" w:sz="0" w:space="0" w:color="auto"/>
        <w:left w:val="none" w:sz="0" w:space="0" w:color="auto"/>
        <w:bottom w:val="none" w:sz="0" w:space="0" w:color="auto"/>
        <w:right w:val="none" w:sz="0" w:space="0" w:color="auto"/>
      </w:divBdr>
      <w:divsChild>
        <w:div w:id="1066875014">
          <w:marLeft w:val="0"/>
          <w:marRight w:val="0"/>
          <w:marTop w:val="0"/>
          <w:marBottom w:val="0"/>
          <w:divBdr>
            <w:top w:val="none" w:sz="0" w:space="0" w:color="auto"/>
            <w:left w:val="none" w:sz="0" w:space="0" w:color="auto"/>
            <w:bottom w:val="none" w:sz="0" w:space="0" w:color="auto"/>
            <w:right w:val="none" w:sz="0" w:space="0" w:color="auto"/>
          </w:divBdr>
          <w:divsChild>
            <w:div w:id="1066760492">
              <w:marLeft w:val="0"/>
              <w:marRight w:val="0"/>
              <w:marTop w:val="0"/>
              <w:marBottom w:val="0"/>
              <w:divBdr>
                <w:top w:val="none" w:sz="0" w:space="0" w:color="auto"/>
                <w:left w:val="none" w:sz="0" w:space="0" w:color="auto"/>
                <w:bottom w:val="none" w:sz="0" w:space="0" w:color="auto"/>
                <w:right w:val="none" w:sz="0" w:space="0" w:color="auto"/>
              </w:divBdr>
            </w:div>
          </w:divsChild>
        </w:div>
        <w:div w:id="529802035">
          <w:marLeft w:val="0"/>
          <w:marRight w:val="0"/>
          <w:marTop w:val="0"/>
          <w:marBottom w:val="0"/>
          <w:divBdr>
            <w:top w:val="none" w:sz="0" w:space="0" w:color="auto"/>
            <w:left w:val="none" w:sz="0" w:space="0" w:color="auto"/>
            <w:bottom w:val="none" w:sz="0" w:space="0" w:color="auto"/>
            <w:right w:val="none" w:sz="0" w:space="0" w:color="auto"/>
          </w:divBdr>
          <w:divsChild>
            <w:div w:id="116382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95361">
      <w:bodyDiv w:val="1"/>
      <w:marLeft w:val="0"/>
      <w:marRight w:val="0"/>
      <w:marTop w:val="0"/>
      <w:marBottom w:val="0"/>
      <w:divBdr>
        <w:top w:val="none" w:sz="0" w:space="0" w:color="auto"/>
        <w:left w:val="none" w:sz="0" w:space="0" w:color="auto"/>
        <w:bottom w:val="none" w:sz="0" w:space="0" w:color="auto"/>
        <w:right w:val="none" w:sz="0" w:space="0" w:color="auto"/>
      </w:divBdr>
    </w:div>
    <w:div w:id="1826584368">
      <w:bodyDiv w:val="1"/>
      <w:marLeft w:val="0"/>
      <w:marRight w:val="0"/>
      <w:marTop w:val="0"/>
      <w:marBottom w:val="0"/>
      <w:divBdr>
        <w:top w:val="none" w:sz="0" w:space="0" w:color="auto"/>
        <w:left w:val="none" w:sz="0" w:space="0" w:color="auto"/>
        <w:bottom w:val="none" w:sz="0" w:space="0" w:color="auto"/>
        <w:right w:val="none" w:sz="0" w:space="0" w:color="auto"/>
      </w:divBdr>
      <w:divsChild>
        <w:div w:id="881938487">
          <w:marLeft w:val="0"/>
          <w:marRight w:val="0"/>
          <w:marTop w:val="0"/>
          <w:marBottom w:val="0"/>
          <w:divBdr>
            <w:top w:val="none" w:sz="0" w:space="0" w:color="auto"/>
            <w:left w:val="none" w:sz="0" w:space="0" w:color="auto"/>
            <w:bottom w:val="none" w:sz="0" w:space="0" w:color="auto"/>
            <w:right w:val="none" w:sz="0" w:space="0" w:color="auto"/>
          </w:divBdr>
          <w:divsChild>
            <w:div w:id="20985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89717">
      <w:bodyDiv w:val="1"/>
      <w:marLeft w:val="0"/>
      <w:marRight w:val="0"/>
      <w:marTop w:val="0"/>
      <w:marBottom w:val="0"/>
      <w:divBdr>
        <w:top w:val="none" w:sz="0" w:space="0" w:color="auto"/>
        <w:left w:val="none" w:sz="0" w:space="0" w:color="auto"/>
        <w:bottom w:val="none" w:sz="0" w:space="0" w:color="auto"/>
        <w:right w:val="none" w:sz="0" w:space="0" w:color="auto"/>
      </w:divBdr>
    </w:div>
    <w:div w:id="1882012446">
      <w:bodyDiv w:val="1"/>
      <w:marLeft w:val="0"/>
      <w:marRight w:val="0"/>
      <w:marTop w:val="0"/>
      <w:marBottom w:val="0"/>
      <w:divBdr>
        <w:top w:val="none" w:sz="0" w:space="0" w:color="auto"/>
        <w:left w:val="none" w:sz="0" w:space="0" w:color="auto"/>
        <w:bottom w:val="none" w:sz="0" w:space="0" w:color="auto"/>
        <w:right w:val="none" w:sz="0" w:space="0" w:color="auto"/>
      </w:divBdr>
    </w:div>
    <w:div w:id="1905291118">
      <w:bodyDiv w:val="1"/>
      <w:marLeft w:val="0"/>
      <w:marRight w:val="0"/>
      <w:marTop w:val="0"/>
      <w:marBottom w:val="0"/>
      <w:divBdr>
        <w:top w:val="none" w:sz="0" w:space="0" w:color="auto"/>
        <w:left w:val="none" w:sz="0" w:space="0" w:color="auto"/>
        <w:bottom w:val="none" w:sz="0" w:space="0" w:color="auto"/>
        <w:right w:val="none" w:sz="0" w:space="0" w:color="auto"/>
      </w:divBdr>
      <w:divsChild>
        <w:div w:id="1372336841">
          <w:marLeft w:val="0"/>
          <w:marRight w:val="0"/>
          <w:marTop w:val="0"/>
          <w:marBottom w:val="0"/>
          <w:divBdr>
            <w:top w:val="none" w:sz="0" w:space="0" w:color="auto"/>
            <w:left w:val="none" w:sz="0" w:space="0" w:color="auto"/>
            <w:bottom w:val="none" w:sz="0" w:space="0" w:color="auto"/>
            <w:right w:val="none" w:sz="0" w:space="0" w:color="auto"/>
          </w:divBdr>
          <w:divsChild>
            <w:div w:id="7428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683019">
      <w:bodyDiv w:val="1"/>
      <w:marLeft w:val="0"/>
      <w:marRight w:val="0"/>
      <w:marTop w:val="0"/>
      <w:marBottom w:val="0"/>
      <w:divBdr>
        <w:top w:val="none" w:sz="0" w:space="0" w:color="auto"/>
        <w:left w:val="none" w:sz="0" w:space="0" w:color="auto"/>
        <w:bottom w:val="none" w:sz="0" w:space="0" w:color="auto"/>
        <w:right w:val="none" w:sz="0" w:space="0" w:color="auto"/>
      </w:divBdr>
    </w:div>
    <w:div w:id="2050564088">
      <w:bodyDiv w:val="1"/>
      <w:marLeft w:val="0"/>
      <w:marRight w:val="0"/>
      <w:marTop w:val="0"/>
      <w:marBottom w:val="0"/>
      <w:divBdr>
        <w:top w:val="none" w:sz="0" w:space="0" w:color="auto"/>
        <w:left w:val="none" w:sz="0" w:space="0" w:color="auto"/>
        <w:bottom w:val="none" w:sz="0" w:space="0" w:color="auto"/>
        <w:right w:val="none" w:sz="0" w:space="0" w:color="auto"/>
      </w:divBdr>
      <w:divsChild>
        <w:div w:id="941449208">
          <w:marLeft w:val="0"/>
          <w:marRight w:val="0"/>
          <w:marTop w:val="0"/>
          <w:marBottom w:val="0"/>
          <w:divBdr>
            <w:top w:val="none" w:sz="0" w:space="0" w:color="auto"/>
            <w:left w:val="none" w:sz="0" w:space="0" w:color="auto"/>
            <w:bottom w:val="none" w:sz="0" w:space="0" w:color="auto"/>
            <w:right w:val="none" w:sz="0" w:space="0" w:color="auto"/>
          </w:divBdr>
          <w:divsChild>
            <w:div w:id="649406308">
              <w:marLeft w:val="0"/>
              <w:marRight w:val="0"/>
              <w:marTop w:val="0"/>
              <w:marBottom w:val="0"/>
              <w:divBdr>
                <w:top w:val="none" w:sz="0" w:space="0" w:color="auto"/>
                <w:left w:val="none" w:sz="0" w:space="0" w:color="auto"/>
                <w:bottom w:val="none" w:sz="0" w:space="0" w:color="auto"/>
                <w:right w:val="none" w:sz="0" w:space="0" w:color="auto"/>
              </w:divBdr>
              <w:divsChild>
                <w:div w:id="1107845915">
                  <w:marLeft w:val="0"/>
                  <w:marRight w:val="0"/>
                  <w:marTop w:val="0"/>
                  <w:marBottom w:val="0"/>
                  <w:divBdr>
                    <w:top w:val="none" w:sz="0" w:space="0" w:color="auto"/>
                    <w:left w:val="none" w:sz="0" w:space="0" w:color="auto"/>
                    <w:bottom w:val="none" w:sz="0" w:space="0" w:color="auto"/>
                    <w:right w:val="none" w:sz="0" w:space="0" w:color="auto"/>
                  </w:divBdr>
                  <w:divsChild>
                    <w:div w:id="613557496">
                      <w:marLeft w:val="0"/>
                      <w:marRight w:val="0"/>
                      <w:marTop w:val="0"/>
                      <w:marBottom w:val="0"/>
                      <w:divBdr>
                        <w:top w:val="none" w:sz="0" w:space="0" w:color="auto"/>
                        <w:left w:val="none" w:sz="0" w:space="0" w:color="auto"/>
                        <w:bottom w:val="none" w:sz="0" w:space="0" w:color="auto"/>
                        <w:right w:val="none" w:sz="0" w:space="0" w:color="auto"/>
                      </w:divBdr>
                      <w:divsChild>
                        <w:div w:id="1014191384">
                          <w:marLeft w:val="0"/>
                          <w:marRight w:val="0"/>
                          <w:marTop w:val="0"/>
                          <w:marBottom w:val="0"/>
                          <w:divBdr>
                            <w:top w:val="none" w:sz="0" w:space="0" w:color="auto"/>
                            <w:left w:val="none" w:sz="0" w:space="0" w:color="auto"/>
                            <w:bottom w:val="none" w:sz="0" w:space="0" w:color="auto"/>
                            <w:right w:val="none" w:sz="0" w:space="0" w:color="auto"/>
                          </w:divBdr>
                          <w:divsChild>
                            <w:div w:id="389497202">
                              <w:marLeft w:val="0"/>
                              <w:marRight w:val="0"/>
                              <w:marTop w:val="0"/>
                              <w:marBottom w:val="0"/>
                              <w:divBdr>
                                <w:top w:val="none" w:sz="0" w:space="0" w:color="auto"/>
                                <w:left w:val="none" w:sz="0" w:space="0" w:color="auto"/>
                                <w:bottom w:val="none" w:sz="0" w:space="0" w:color="auto"/>
                                <w:right w:val="none" w:sz="0" w:space="0" w:color="auto"/>
                              </w:divBdr>
                              <w:divsChild>
                                <w:div w:id="1335063701">
                                  <w:marLeft w:val="0"/>
                                  <w:marRight w:val="0"/>
                                  <w:marTop w:val="0"/>
                                  <w:marBottom w:val="0"/>
                                  <w:divBdr>
                                    <w:top w:val="none" w:sz="0" w:space="0" w:color="auto"/>
                                    <w:left w:val="none" w:sz="0" w:space="0" w:color="auto"/>
                                    <w:bottom w:val="none" w:sz="0" w:space="0" w:color="auto"/>
                                    <w:right w:val="none" w:sz="0" w:space="0" w:color="auto"/>
                                  </w:divBdr>
                                  <w:divsChild>
                                    <w:div w:id="18351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703457">
          <w:marLeft w:val="0"/>
          <w:marRight w:val="0"/>
          <w:marTop w:val="0"/>
          <w:marBottom w:val="0"/>
          <w:divBdr>
            <w:top w:val="none" w:sz="0" w:space="0" w:color="auto"/>
            <w:left w:val="none" w:sz="0" w:space="0" w:color="auto"/>
            <w:bottom w:val="none" w:sz="0" w:space="0" w:color="auto"/>
            <w:right w:val="none" w:sz="0" w:space="0" w:color="auto"/>
          </w:divBdr>
          <w:divsChild>
            <w:div w:id="1807046612">
              <w:marLeft w:val="0"/>
              <w:marRight w:val="0"/>
              <w:marTop w:val="0"/>
              <w:marBottom w:val="0"/>
              <w:divBdr>
                <w:top w:val="none" w:sz="0" w:space="0" w:color="auto"/>
                <w:left w:val="none" w:sz="0" w:space="0" w:color="auto"/>
                <w:bottom w:val="none" w:sz="0" w:space="0" w:color="auto"/>
                <w:right w:val="none" w:sz="0" w:space="0" w:color="auto"/>
              </w:divBdr>
              <w:divsChild>
                <w:div w:id="474223193">
                  <w:marLeft w:val="0"/>
                  <w:marRight w:val="0"/>
                  <w:marTop w:val="0"/>
                  <w:marBottom w:val="0"/>
                  <w:divBdr>
                    <w:top w:val="none" w:sz="0" w:space="0" w:color="auto"/>
                    <w:left w:val="none" w:sz="0" w:space="0" w:color="auto"/>
                    <w:bottom w:val="none" w:sz="0" w:space="0" w:color="auto"/>
                    <w:right w:val="none" w:sz="0" w:space="0" w:color="auto"/>
                  </w:divBdr>
                  <w:divsChild>
                    <w:div w:id="1944797963">
                      <w:marLeft w:val="0"/>
                      <w:marRight w:val="0"/>
                      <w:marTop w:val="0"/>
                      <w:marBottom w:val="0"/>
                      <w:divBdr>
                        <w:top w:val="none" w:sz="0" w:space="0" w:color="auto"/>
                        <w:left w:val="none" w:sz="0" w:space="0" w:color="auto"/>
                        <w:bottom w:val="none" w:sz="0" w:space="0" w:color="auto"/>
                        <w:right w:val="none" w:sz="0" w:space="0" w:color="auto"/>
                      </w:divBdr>
                      <w:divsChild>
                        <w:div w:id="1767190114">
                          <w:marLeft w:val="0"/>
                          <w:marRight w:val="0"/>
                          <w:marTop w:val="0"/>
                          <w:marBottom w:val="0"/>
                          <w:divBdr>
                            <w:top w:val="none" w:sz="0" w:space="0" w:color="auto"/>
                            <w:left w:val="none" w:sz="0" w:space="0" w:color="auto"/>
                            <w:bottom w:val="none" w:sz="0" w:space="0" w:color="auto"/>
                            <w:right w:val="none" w:sz="0" w:space="0" w:color="auto"/>
                          </w:divBdr>
                          <w:divsChild>
                            <w:div w:id="1427531085">
                              <w:marLeft w:val="0"/>
                              <w:marRight w:val="0"/>
                              <w:marTop w:val="0"/>
                              <w:marBottom w:val="0"/>
                              <w:divBdr>
                                <w:top w:val="none" w:sz="0" w:space="0" w:color="auto"/>
                                <w:left w:val="none" w:sz="0" w:space="0" w:color="auto"/>
                                <w:bottom w:val="none" w:sz="0" w:space="0" w:color="auto"/>
                                <w:right w:val="none" w:sz="0" w:space="0" w:color="auto"/>
                              </w:divBdr>
                              <w:divsChild>
                                <w:div w:id="136258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4033400">
          <w:marLeft w:val="0"/>
          <w:marRight w:val="0"/>
          <w:marTop w:val="0"/>
          <w:marBottom w:val="0"/>
          <w:divBdr>
            <w:top w:val="none" w:sz="0" w:space="0" w:color="auto"/>
            <w:left w:val="none" w:sz="0" w:space="0" w:color="auto"/>
            <w:bottom w:val="none" w:sz="0" w:space="0" w:color="auto"/>
            <w:right w:val="none" w:sz="0" w:space="0" w:color="auto"/>
          </w:divBdr>
          <w:divsChild>
            <w:div w:id="1977833008">
              <w:marLeft w:val="0"/>
              <w:marRight w:val="0"/>
              <w:marTop w:val="0"/>
              <w:marBottom w:val="0"/>
              <w:divBdr>
                <w:top w:val="none" w:sz="0" w:space="0" w:color="auto"/>
                <w:left w:val="none" w:sz="0" w:space="0" w:color="auto"/>
                <w:bottom w:val="none" w:sz="0" w:space="0" w:color="auto"/>
                <w:right w:val="none" w:sz="0" w:space="0" w:color="auto"/>
              </w:divBdr>
              <w:divsChild>
                <w:div w:id="1525824042">
                  <w:marLeft w:val="0"/>
                  <w:marRight w:val="0"/>
                  <w:marTop w:val="0"/>
                  <w:marBottom w:val="0"/>
                  <w:divBdr>
                    <w:top w:val="none" w:sz="0" w:space="0" w:color="auto"/>
                    <w:left w:val="none" w:sz="0" w:space="0" w:color="auto"/>
                    <w:bottom w:val="none" w:sz="0" w:space="0" w:color="auto"/>
                    <w:right w:val="none" w:sz="0" w:space="0" w:color="auto"/>
                  </w:divBdr>
                  <w:divsChild>
                    <w:div w:id="617757996">
                      <w:marLeft w:val="0"/>
                      <w:marRight w:val="0"/>
                      <w:marTop w:val="0"/>
                      <w:marBottom w:val="0"/>
                      <w:divBdr>
                        <w:top w:val="none" w:sz="0" w:space="0" w:color="auto"/>
                        <w:left w:val="none" w:sz="0" w:space="0" w:color="auto"/>
                        <w:bottom w:val="none" w:sz="0" w:space="0" w:color="auto"/>
                        <w:right w:val="none" w:sz="0" w:space="0" w:color="auto"/>
                      </w:divBdr>
                      <w:divsChild>
                        <w:div w:id="1362782933">
                          <w:marLeft w:val="0"/>
                          <w:marRight w:val="0"/>
                          <w:marTop w:val="0"/>
                          <w:marBottom w:val="0"/>
                          <w:divBdr>
                            <w:top w:val="none" w:sz="0" w:space="0" w:color="auto"/>
                            <w:left w:val="none" w:sz="0" w:space="0" w:color="auto"/>
                            <w:bottom w:val="none" w:sz="0" w:space="0" w:color="auto"/>
                            <w:right w:val="none" w:sz="0" w:space="0" w:color="auto"/>
                          </w:divBdr>
                          <w:divsChild>
                            <w:div w:id="917134852">
                              <w:marLeft w:val="0"/>
                              <w:marRight w:val="0"/>
                              <w:marTop w:val="0"/>
                              <w:marBottom w:val="0"/>
                              <w:divBdr>
                                <w:top w:val="none" w:sz="0" w:space="0" w:color="auto"/>
                                <w:left w:val="none" w:sz="0" w:space="0" w:color="auto"/>
                                <w:bottom w:val="none" w:sz="0" w:space="0" w:color="auto"/>
                                <w:right w:val="none" w:sz="0" w:space="0" w:color="auto"/>
                              </w:divBdr>
                              <w:divsChild>
                                <w:div w:id="158080514">
                                  <w:marLeft w:val="0"/>
                                  <w:marRight w:val="0"/>
                                  <w:marTop w:val="0"/>
                                  <w:marBottom w:val="0"/>
                                  <w:divBdr>
                                    <w:top w:val="none" w:sz="0" w:space="0" w:color="auto"/>
                                    <w:left w:val="none" w:sz="0" w:space="0" w:color="auto"/>
                                    <w:bottom w:val="none" w:sz="0" w:space="0" w:color="auto"/>
                                    <w:right w:val="none" w:sz="0" w:space="0" w:color="auto"/>
                                  </w:divBdr>
                                  <w:divsChild>
                                    <w:div w:id="3770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1447</TotalTime>
  <Pages>24</Pages>
  <Words>3165</Words>
  <Characters>20035</Characters>
  <Application>Microsoft Office Word</Application>
  <DocSecurity>0</DocSecurity>
  <Lines>715</Lines>
  <Paragraphs>527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Prashant Tewari</dc:creator>
  <cp:keywords/>
  <dc:description/>
  <cp:lastModifiedBy>Prashant Tewari</cp:lastModifiedBy>
  <cp:revision>12</cp:revision>
  <dcterms:created xsi:type="dcterms:W3CDTF">2025-10-31T00:07:00Z</dcterms:created>
  <dcterms:modified xsi:type="dcterms:W3CDTF">2025-11-04T13:42:00Z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2025-10-31T01:04:15Z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c1adae11-f6b8-4cc8-a936-ac44c2e31d5d</vt:lpwstr>
  </property>
  <property fmtid="{D5CDD505-2E9C-101B-9397-08002B2CF9AE}" pid="7" name="MSIP_Label_defa4170-0d19-0005-0004-bc88714345d2_ActionId">
    <vt:lpwstr>76c13539-e07d-4f79-8325-0982f8e1bf52</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