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012D" w14:textId="77777777" w:rsidR="002A28CD" w:rsidRPr="002A28CD" w:rsidRDefault="002A28CD" w:rsidP="002A28CD">
      <w:pPr>
        <w:spacing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The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economic scenario assumptions for the U.S. are generally plausible but have some inconsistencies and areas that may need refinement. Below is </w:t>
      </w:r>
      <w:r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an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analysis of each variable across scenarios, along with suggestions for improvement.</w:t>
      </w:r>
    </w:p>
    <w:p w14:paraId="78DAE141" w14:textId="77777777" w:rsidR="002A28CD" w:rsidRPr="002A28CD" w:rsidRDefault="00D87BF5" w:rsidP="002A28CD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04040"/>
          <w:kern w:val="0"/>
        </w:rPr>
        <w:pict w14:anchorId="65A9ED1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6684" w14:textId="77777777" w:rsidR="002A28CD" w:rsidRPr="002A28CD" w:rsidRDefault="002A28CD" w:rsidP="002A28CD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1. Real GDP Growth</w:t>
      </w:r>
    </w:p>
    <w:p w14:paraId="2A6978A6" w14:textId="77777777" w:rsidR="002A28CD" w:rsidRPr="002A28CD" w:rsidRDefault="002A28CD" w:rsidP="002A28CD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Low Growth Scenario (2025–2031):</w:t>
      </w:r>
    </w:p>
    <w:p w14:paraId="2B462F9B" w14:textId="77777777" w:rsidR="002A28CD" w:rsidRPr="002A28CD" w:rsidRDefault="002A28CD" w:rsidP="002A28CD">
      <w:pPr>
        <w:numPr>
          <w:ilvl w:val="0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2025: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+1.2% (reasonable for stagnation).</w:t>
      </w:r>
    </w:p>
    <w:p w14:paraId="3E9D1085" w14:textId="77777777" w:rsidR="002A28CD" w:rsidRPr="002A28CD" w:rsidRDefault="002A28CD" w:rsidP="002A28CD">
      <w:pPr>
        <w:numPr>
          <w:ilvl w:val="0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2026: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 -1.0% (recession plausible, but </w:t>
      </w:r>
      <w:r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we need to 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ensure it aligns with triggers like tight policy or external shocks).</w:t>
      </w:r>
    </w:p>
    <w:p w14:paraId="2A8F9589" w14:textId="77777777" w:rsidR="002A28CD" w:rsidRPr="002A28CD" w:rsidRDefault="002A28CD" w:rsidP="002A28CD">
      <w:pPr>
        <w:numPr>
          <w:ilvl w:val="0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2027–2031: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Flat to +1.5% (recovery is sluggish but credible).</w:t>
      </w:r>
    </w:p>
    <w:p w14:paraId="61686CBA" w14:textId="77777777" w:rsidR="002A28CD" w:rsidRPr="002A28CD" w:rsidRDefault="002A28CD" w:rsidP="002A28CD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Base Case (2025–2031):</w:t>
      </w:r>
    </w:p>
    <w:p w14:paraId="7E20121A" w14:textId="77777777" w:rsidR="002A28CD" w:rsidRPr="002A28CD" w:rsidRDefault="002A28CD" w:rsidP="002A28CD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2025–2026: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+1.4% (below-trend</w:t>
      </w:r>
      <w:r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) JP Morgan forecasts 1.5% for 2025. But since it is below trend, your 2007 to 2031 may need to be adjusted a bit higher.</w:t>
      </w:r>
    </w:p>
    <w:p w14:paraId="2F637D49" w14:textId="77777777" w:rsidR="002A28CD" w:rsidRPr="002A28CD" w:rsidRDefault="002A28CD" w:rsidP="002A28CD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2027–2031: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+2.0% (</w:t>
      </w:r>
      <w:r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this is 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reasonable for trend growth</w:t>
      </w:r>
      <w:r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but given that we have been below trend, we may want to raise it by 50 bps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).</w:t>
      </w:r>
    </w:p>
    <w:p w14:paraId="16CA2D84" w14:textId="77777777" w:rsidR="002A28CD" w:rsidRPr="002A28CD" w:rsidRDefault="002A28CD" w:rsidP="002A28CD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High Growth Scenario (2025–2031):</w:t>
      </w:r>
    </w:p>
    <w:p w14:paraId="6540EC2E" w14:textId="77777777" w:rsidR="002A28CD" w:rsidRPr="002A28CD" w:rsidRDefault="002A28CD" w:rsidP="002A28CD">
      <w:pPr>
        <w:numPr>
          <w:ilvl w:val="0"/>
          <w:numId w:val="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2025–2028: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+2.0% to +3.5% (plausible for a boom, but 2029–2031 decline to +2.5–2.8% seems abrupt; consider smoothing).</w:t>
      </w:r>
    </w:p>
    <w:p w14:paraId="06B188A4" w14:textId="77777777" w:rsidR="002A28CD" w:rsidRPr="002A28CD" w:rsidRDefault="002A28CD" w:rsidP="002A28CD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Suggestion:</w:t>
      </w:r>
    </w:p>
    <w:p w14:paraId="63D3AC94" w14:textId="77777777" w:rsidR="002A28CD" w:rsidRPr="002A28CD" w:rsidRDefault="002A28CD" w:rsidP="002A28CD">
      <w:pPr>
        <w:numPr>
          <w:ilvl w:val="0"/>
          <w:numId w:val="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Align base case closer to long-term potential GDP (~1.8–2.2%).</w:t>
      </w:r>
    </w:p>
    <w:p w14:paraId="4A90A206" w14:textId="77777777" w:rsidR="002A28CD" w:rsidRPr="002A28CD" w:rsidRDefault="002A28CD" w:rsidP="002A28CD">
      <w:pPr>
        <w:numPr>
          <w:ilvl w:val="0"/>
          <w:numId w:val="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High growth should sustain &gt;3% for longer if driven by productivity gains/fiscal stimulus.</w:t>
      </w:r>
    </w:p>
    <w:p w14:paraId="29A4AE7A" w14:textId="77777777" w:rsidR="002A28CD" w:rsidRPr="002A28CD" w:rsidRDefault="00D87BF5" w:rsidP="002A28CD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04040"/>
          <w:kern w:val="0"/>
        </w:rPr>
        <w:lastRenderedPageBreak/>
        <w:pict w14:anchorId="42F8DF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DC6402F" w14:textId="77777777" w:rsidR="002A28CD" w:rsidRPr="002A28CD" w:rsidRDefault="002A28CD" w:rsidP="002A28CD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2. Inflation</w:t>
      </w:r>
    </w:p>
    <w:p w14:paraId="299917F4" w14:textId="77777777" w:rsidR="002A28CD" w:rsidRPr="002A28CD" w:rsidRDefault="002A28CD" w:rsidP="002A28CD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Low Growth Scenario:</w:t>
      </w:r>
    </w:p>
    <w:p w14:paraId="7138AD0D" w14:textId="77777777" w:rsidR="002A28CD" w:rsidRPr="002A28CD" w:rsidRDefault="002A28CD" w:rsidP="002A28CD">
      <w:pPr>
        <w:numPr>
          <w:ilvl w:val="0"/>
          <w:numId w:val="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2025: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2.3% (high for stagnation; expect ~1.5–2.0% if demand is weak).</w:t>
      </w:r>
    </w:p>
    <w:p w14:paraId="2653BB84" w14:textId="77777777" w:rsidR="002A28CD" w:rsidRPr="002A28CD" w:rsidRDefault="002A28CD" w:rsidP="002A28CD">
      <w:pPr>
        <w:numPr>
          <w:ilvl w:val="0"/>
          <w:numId w:val="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2026–2031: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1.5–1.8% (reasonable for disinflation).</w:t>
      </w:r>
    </w:p>
    <w:p w14:paraId="754D9117" w14:textId="77777777" w:rsidR="002A28CD" w:rsidRPr="002A28CD" w:rsidRDefault="002A28CD" w:rsidP="002A28CD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Base Case:</w:t>
      </w:r>
    </w:p>
    <w:p w14:paraId="3BC40CE7" w14:textId="77777777" w:rsidR="002A28CD" w:rsidRPr="002A28CD" w:rsidRDefault="002A28CD" w:rsidP="002A28CD">
      <w:pPr>
        <w:numPr>
          <w:ilvl w:val="0"/>
          <w:numId w:val="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Stable at 2.0–2.1% (perfectly credible for Fed target).</w:t>
      </w:r>
    </w:p>
    <w:p w14:paraId="6B2FC2F9" w14:textId="77777777" w:rsidR="002A28CD" w:rsidRPr="002A28CD" w:rsidRDefault="002A28CD" w:rsidP="002A28CD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High Growth Scenario:</w:t>
      </w:r>
    </w:p>
    <w:p w14:paraId="2257A81F" w14:textId="77777777" w:rsidR="002A28CD" w:rsidRPr="002A28CD" w:rsidRDefault="002A28CD" w:rsidP="002A28CD">
      <w:pPr>
        <w:numPr>
          <w:ilvl w:val="0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2025–2027: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2.5–2.8% (plausible for overheating).</w:t>
      </w:r>
    </w:p>
    <w:p w14:paraId="17D962D7" w14:textId="77777777" w:rsidR="002A28CD" w:rsidRPr="002A28CD" w:rsidRDefault="002A28CD" w:rsidP="002A28CD">
      <w:pPr>
        <w:numPr>
          <w:ilvl w:val="0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2028–2031: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Decline to 2.0% (unlikely without a recession; inflation tends to persist).</w:t>
      </w:r>
    </w:p>
    <w:p w14:paraId="09B180B7" w14:textId="77777777" w:rsidR="002A28CD" w:rsidRPr="002A28CD" w:rsidRDefault="002A28CD" w:rsidP="002A28CD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Suggestion:</w:t>
      </w:r>
    </w:p>
    <w:p w14:paraId="79A39F34" w14:textId="77777777" w:rsidR="002A28CD" w:rsidRPr="002A28CD" w:rsidRDefault="002A28CD" w:rsidP="002A28CD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Low growth inflation should start lower (e.g., 1.8% in 2025).</w:t>
      </w:r>
    </w:p>
    <w:p w14:paraId="151F8CF9" w14:textId="77777777" w:rsidR="002A28CD" w:rsidRPr="002A28CD" w:rsidRDefault="002A28CD" w:rsidP="002A28CD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High growth inflation should stay elevated (&gt;2.5%) unless you assume a sharp policy response.</w:t>
      </w:r>
    </w:p>
    <w:p w14:paraId="766FE254" w14:textId="77777777" w:rsidR="002A28CD" w:rsidRPr="002A28CD" w:rsidRDefault="00D87BF5" w:rsidP="002A28CD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04040"/>
          <w:kern w:val="0"/>
        </w:rPr>
        <w:pict w14:anchorId="609B47F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4AA15C" w14:textId="77777777" w:rsidR="002A28CD" w:rsidRPr="002A28CD" w:rsidRDefault="002A28CD" w:rsidP="002A28CD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3. Yields</w:t>
      </w:r>
    </w:p>
    <w:p w14:paraId="731D0F2D" w14:textId="77777777" w:rsidR="002A28CD" w:rsidRPr="002A28CD" w:rsidRDefault="002A28CD" w:rsidP="002A28CD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10-Year Treasury Yield</w:t>
      </w:r>
    </w:p>
    <w:p w14:paraId="3CDC1980" w14:textId="77777777" w:rsidR="002A28CD" w:rsidRPr="002A28CD" w:rsidRDefault="002A28CD" w:rsidP="002A28CD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Low Growth: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2.5–3.5% (reasonable for weak growth).</w:t>
      </w:r>
    </w:p>
    <w:p w14:paraId="62CB098E" w14:textId="77777777" w:rsidR="002A28CD" w:rsidRPr="002A28CD" w:rsidRDefault="002A28CD" w:rsidP="002A28CD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Base Case: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3.5–4.0% (matches moderate inflation/growth).</w:t>
      </w:r>
    </w:p>
    <w:p w14:paraId="223A866C" w14:textId="77777777" w:rsidR="002A28CD" w:rsidRPr="002A28CD" w:rsidRDefault="002A28CD" w:rsidP="002A28CD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High Growth: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4.0–4.7% (should be higher, e.g., 4.5–5.5%, to reflect inflation risk).</w:t>
      </w:r>
    </w:p>
    <w:p w14:paraId="3A439E0C" w14:textId="77777777" w:rsidR="002A28CD" w:rsidRPr="002A28CD" w:rsidRDefault="002A28CD" w:rsidP="002A28CD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5-Year Treasury Yield</w:t>
      </w:r>
    </w:p>
    <w:p w14:paraId="4F1310C5" w14:textId="77777777" w:rsidR="002A28CD" w:rsidRPr="002A28CD" w:rsidRDefault="002A28CD" w:rsidP="002A28CD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lastRenderedPageBreak/>
        <w:t>Low Growth: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Curve is flat/inverted (2025–2026: 5Y &gt; 10Y is odd; inversion should be 5Y &lt; 10Y).</w:t>
      </w:r>
    </w:p>
    <w:p w14:paraId="29772A50" w14:textId="77777777" w:rsidR="002A28CD" w:rsidRPr="002A28CD" w:rsidRDefault="002A28CD" w:rsidP="002A28CD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High Growth: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5Y should be below 10Y (steep curve).</w:t>
      </w:r>
    </w:p>
    <w:p w14:paraId="5B9F033F" w14:textId="77777777" w:rsidR="002A28CD" w:rsidRPr="002A28CD" w:rsidRDefault="002A28CD" w:rsidP="002A28CD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5-Year BBB- Yield</w:t>
      </w:r>
    </w:p>
    <w:p w14:paraId="7E4C6CF6" w14:textId="77777777" w:rsidR="002A28CD" w:rsidRPr="002A28CD" w:rsidRDefault="002A28CD" w:rsidP="002A28CD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Spreads:</w:t>
      </w:r>
    </w:p>
    <w:p w14:paraId="54FD1AD8" w14:textId="77777777" w:rsidR="002A28CD" w:rsidRPr="002A28CD" w:rsidRDefault="002A28CD" w:rsidP="002A28CD">
      <w:pPr>
        <w:numPr>
          <w:ilvl w:val="1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Low growth: ~300 bps over Treasuries (plausible).</w:t>
      </w:r>
    </w:p>
    <w:p w14:paraId="0CFBA584" w14:textId="77777777" w:rsidR="002A28CD" w:rsidRPr="002A28CD" w:rsidRDefault="002A28CD" w:rsidP="002A28CD">
      <w:pPr>
        <w:numPr>
          <w:ilvl w:val="1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Base case: ~150 bps (reasonable).</w:t>
      </w:r>
    </w:p>
    <w:p w14:paraId="2D0972A6" w14:textId="77777777" w:rsidR="002A28CD" w:rsidRPr="002A28CD" w:rsidRDefault="002A28CD" w:rsidP="002A28CD">
      <w:pPr>
        <w:numPr>
          <w:ilvl w:val="1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High growth: ~100 bps (could tighten further to 75 bps in a boom).</w:t>
      </w:r>
    </w:p>
    <w:p w14:paraId="5E801EE6" w14:textId="77777777" w:rsidR="002A28CD" w:rsidRPr="002A28CD" w:rsidRDefault="002A28CD" w:rsidP="002A28CD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Suggestion:</w:t>
      </w:r>
    </w:p>
    <w:p w14:paraId="742E3A2A" w14:textId="77777777" w:rsidR="002A28CD" w:rsidRPr="002A28CD" w:rsidRDefault="002A28CD" w:rsidP="002A28CD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Fix the 5Y/10Y inversion in low growth (e.g., 5Y at 2.1% in 2025 vs. 10Y at 2.3%).</w:t>
      </w:r>
    </w:p>
    <w:p w14:paraId="2C7A4A94" w14:textId="77777777" w:rsidR="002A28CD" w:rsidRPr="002A28CD" w:rsidRDefault="002A28CD" w:rsidP="002A28CD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Widen BBB- spreads in low growth (e.g., 6.0% in 2025).</w:t>
      </w:r>
    </w:p>
    <w:p w14:paraId="6A8BEA34" w14:textId="77777777" w:rsidR="002A28CD" w:rsidRPr="002A28CD" w:rsidRDefault="00D87BF5" w:rsidP="002A28CD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04040"/>
          <w:kern w:val="0"/>
        </w:rPr>
        <w:pict w14:anchorId="4023C08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4A4AFF3" w14:textId="77777777" w:rsidR="002A28CD" w:rsidRPr="002A28CD" w:rsidRDefault="002A28CD" w:rsidP="002A28CD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4. Key Inconsistencies</w:t>
      </w:r>
    </w:p>
    <w:p w14:paraId="0CFEB5B4" w14:textId="77777777" w:rsidR="002A28CD" w:rsidRPr="002A28CD" w:rsidRDefault="002A28CD" w:rsidP="002A28CD">
      <w:pPr>
        <w:numPr>
          <w:ilvl w:val="0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Inflation in Low Growth: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Starts too high (2.3%) despite weak GDP.</w:t>
      </w:r>
    </w:p>
    <w:p w14:paraId="228D6540" w14:textId="77777777" w:rsidR="002A28CD" w:rsidRPr="002A28CD" w:rsidRDefault="002A28CD" w:rsidP="002A28CD">
      <w:pPr>
        <w:numPr>
          <w:ilvl w:val="0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Yield Curve: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5Y &gt; 10Y in 2025 low growth is backward; inversion should be 5Y &lt; 10Y.</w:t>
      </w:r>
    </w:p>
    <w:p w14:paraId="25721E32" w14:textId="77777777" w:rsidR="002A28CD" w:rsidRPr="002A28CD" w:rsidRDefault="002A28CD" w:rsidP="002A28CD">
      <w:pPr>
        <w:numPr>
          <w:ilvl w:val="0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High Growth GDP: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Decline after 2028 seems arbitrary; link to policy tightening or external factors.</w:t>
      </w:r>
    </w:p>
    <w:p w14:paraId="25FD24C1" w14:textId="77777777" w:rsidR="002A28CD" w:rsidRPr="002A28CD" w:rsidRDefault="00D87BF5" w:rsidP="002A28CD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04040"/>
          <w:kern w:val="0"/>
        </w:rPr>
        <w:pict w14:anchorId="369D6B3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77C99D" w14:textId="77777777" w:rsidR="002A28CD" w:rsidRPr="002A28CD" w:rsidRDefault="002A28CD" w:rsidP="002A28CD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5. Suggested Revisions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230"/>
        <w:gridCol w:w="1961"/>
        <w:gridCol w:w="2281"/>
      </w:tblGrid>
      <w:tr w:rsidR="002A28CD" w:rsidRPr="002A28CD" w14:paraId="2022F24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7E9382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DA54A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Low Growth (2025)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AD12A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Base Case (2025)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70476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High Growth (2025)</w:t>
            </w:r>
          </w:p>
        </w:tc>
      </w:tr>
      <w:tr w:rsidR="002A28CD" w:rsidRPr="002A28CD" w14:paraId="1461545C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B5EF66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Real GDP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E1930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0.8%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9071A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2.0%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240EB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3.5%</w:t>
            </w:r>
          </w:p>
        </w:tc>
      </w:tr>
      <w:tr w:rsidR="002A28CD" w:rsidRPr="002A28CD" w14:paraId="6ADC0FD4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EE10DB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Inflation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98DAE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D2A3F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2.1%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A8B3A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2.8%</w:t>
            </w:r>
          </w:p>
        </w:tc>
      </w:tr>
      <w:tr w:rsidR="002A28CD" w:rsidRPr="002A28CD" w14:paraId="2291339A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58171A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lastRenderedPageBreak/>
              <w:t>10Y Yield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B0741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2.5%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2150A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3.8%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E04F6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4.8%</w:t>
            </w:r>
          </w:p>
        </w:tc>
      </w:tr>
      <w:tr w:rsidR="002A28CD" w:rsidRPr="002A28CD" w14:paraId="793F26AA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755371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5Y Yield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EEE3E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2.2%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69258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3.6%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9214C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4.5%</w:t>
            </w:r>
          </w:p>
        </w:tc>
      </w:tr>
      <w:tr w:rsidR="002A28CD" w:rsidRPr="002A28CD" w14:paraId="561F2693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BB4198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BBB- Yield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0252E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6.0%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F420F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5.5%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605F3" w14:textId="77777777" w:rsidR="002A28CD" w:rsidRPr="002A28CD" w:rsidRDefault="002A28CD" w:rsidP="002A28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2A28C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5.2%</w:t>
            </w:r>
          </w:p>
        </w:tc>
      </w:tr>
    </w:tbl>
    <w:p w14:paraId="0417B371" w14:textId="77777777" w:rsidR="002A28CD" w:rsidRPr="002A28CD" w:rsidRDefault="00D87BF5" w:rsidP="002A28CD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04040"/>
          <w:kern w:val="0"/>
        </w:rPr>
        <w:pict w14:anchorId="5027AA1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C4BA7F5" w14:textId="77777777" w:rsidR="002A28CD" w:rsidRPr="002A28CD" w:rsidRDefault="002A28CD" w:rsidP="002A28CD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6. Additional Notes</w:t>
      </w:r>
    </w:p>
    <w:p w14:paraId="1D77146F" w14:textId="77777777" w:rsidR="002A28CD" w:rsidRPr="002A28CD" w:rsidRDefault="002A28CD" w:rsidP="002A28CD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Monetary Policy: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Link yields to Fed actions (e.g., high growth = more hikes).</w:t>
      </w:r>
    </w:p>
    <w:p w14:paraId="7C57A32A" w14:textId="77777777" w:rsidR="002A28CD" w:rsidRPr="002A28CD" w:rsidRDefault="002A28CD" w:rsidP="002A28CD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Term Premium: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Ensure 10Y &gt; 5Y in all but recession scenarios.</w:t>
      </w:r>
    </w:p>
    <w:p w14:paraId="491B6EFB" w14:textId="77777777" w:rsidR="002A28CD" w:rsidRPr="002A28CD" w:rsidRDefault="002A28CD" w:rsidP="002A28CD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A28CD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Spread Drivers:</w:t>
      </w:r>
      <w:r w:rsidRPr="002A28C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BBB- yields should reflect default risk (higher in low growth).</w:t>
      </w:r>
    </w:p>
    <w:p w14:paraId="3C7D5C3D" w14:textId="77777777" w:rsidR="002A28CD" w:rsidRPr="002A28CD" w:rsidRDefault="002A28CD" w:rsidP="002A28CD">
      <w:pPr>
        <w:shd w:val="clear" w:color="auto" w:fill="DBEAFE"/>
        <w:spacing w:after="0" w:line="420" w:lineRule="atLeast"/>
        <w:rPr>
          <w:rFonts w:ascii="Times New Roman" w:eastAsia="Times New Roman" w:hAnsi="Times New Roman" w:cs="Times New Roman"/>
          <w:color w:val="4D6BFE"/>
          <w:kern w:val="0"/>
          <w:sz w:val="21"/>
          <w:szCs w:val="21"/>
          <w14:ligatures w14:val="none"/>
        </w:rPr>
      </w:pPr>
    </w:p>
    <w:p w14:paraId="30486DD2" w14:textId="77777777" w:rsidR="00590939" w:rsidRDefault="00590939"/>
    <w:sectPr w:rsidR="0059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0351"/>
    <w:multiLevelType w:val="multilevel"/>
    <w:tmpl w:val="2BA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6F13"/>
    <w:multiLevelType w:val="multilevel"/>
    <w:tmpl w:val="ECD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F087F"/>
    <w:multiLevelType w:val="multilevel"/>
    <w:tmpl w:val="573E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D6FA6"/>
    <w:multiLevelType w:val="multilevel"/>
    <w:tmpl w:val="2754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84E20"/>
    <w:multiLevelType w:val="multilevel"/>
    <w:tmpl w:val="AC3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34C3B"/>
    <w:multiLevelType w:val="multilevel"/>
    <w:tmpl w:val="882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C5C46"/>
    <w:multiLevelType w:val="multilevel"/>
    <w:tmpl w:val="749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85890"/>
    <w:multiLevelType w:val="multilevel"/>
    <w:tmpl w:val="9CDC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C6C42"/>
    <w:multiLevelType w:val="multilevel"/>
    <w:tmpl w:val="EED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766AA"/>
    <w:multiLevelType w:val="multilevel"/>
    <w:tmpl w:val="BEC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A7451"/>
    <w:multiLevelType w:val="multilevel"/>
    <w:tmpl w:val="51F8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40EDA"/>
    <w:multiLevelType w:val="multilevel"/>
    <w:tmpl w:val="C92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87B2D"/>
    <w:multiLevelType w:val="multilevel"/>
    <w:tmpl w:val="959A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343A45"/>
    <w:multiLevelType w:val="multilevel"/>
    <w:tmpl w:val="2F7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595974">
    <w:abstractNumId w:val="0"/>
  </w:num>
  <w:num w:numId="2" w16cid:durableId="1427001681">
    <w:abstractNumId w:val="6"/>
  </w:num>
  <w:num w:numId="3" w16cid:durableId="1497577413">
    <w:abstractNumId w:val="8"/>
  </w:num>
  <w:num w:numId="4" w16cid:durableId="929853143">
    <w:abstractNumId w:val="4"/>
  </w:num>
  <w:num w:numId="5" w16cid:durableId="510535468">
    <w:abstractNumId w:val="10"/>
  </w:num>
  <w:num w:numId="6" w16cid:durableId="1450273788">
    <w:abstractNumId w:val="11"/>
  </w:num>
  <w:num w:numId="7" w16cid:durableId="64111484">
    <w:abstractNumId w:val="13"/>
  </w:num>
  <w:num w:numId="8" w16cid:durableId="465050229">
    <w:abstractNumId w:val="2"/>
  </w:num>
  <w:num w:numId="9" w16cid:durableId="1674914275">
    <w:abstractNumId w:val="5"/>
  </w:num>
  <w:num w:numId="10" w16cid:durableId="1324510624">
    <w:abstractNumId w:val="1"/>
  </w:num>
  <w:num w:numId="11" w16cid:durableId="1413742929">
    <w:abstractNumId w:val="9"/>
  </w:num>
  <w:num w:numId="12" w16cid:durableId="621805620">
    <w:abstractNumId w:val="7"/>
  </w:num>
  <w:num w:numId="13" w16cid:durableId="2068603947">
    <w:abstractNumId w:val="12"/>
  </w:num>
  <w:num w:numId="14" w16cid:durableId="1387485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CD"/>
    <w:rsid w:val="00104A3A"/>
    <w:rsid w:val="00114852"/>
    <w:rsid w:val="001965F9"/>
    <w:rsid w:val="002A28CD"/>
    <w:rsid w:val="002C022A"/>
    <w:rsid w:val="00516289"/>
    <w:rsid w:val="00590939"/>
    <w:rsid w:val="00845063"/>
    <w:rsid w:val="00980679"/>
    <w:rsid w:val="00CE7095"/>
    <w:rsid w:val="00D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62F8027"/>
  <w15:chartTrackingRefBased/>
  <w15:docId w15:val="{0ECC3ABC-499D-9A41-A45E-445F40E6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2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8CD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2A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2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469</Words>
  <Characters>2675</Characters>
  <Application>Microsoft Office Word</Application>
  <DocSecurity>4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Asieh Mansour</dc:creator>
  <cp:keywords/>
  <dc:description/>
  <cp:lastModifiedBy>Prashant Tewari</cp:lastModifiedBy>
  <cp:revision>2</cp:revision>
  <dcterms:created xsi:type="dcterms:W3CDTF">2025-07-23T13:44:00Z</dcterms:created>
  <dcterms:modified xsi:type="dcterms:W3CDTF">2025-07-23T13:44:00Z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2025-07-23T13:44:27Z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c1adae11-f6b8-4cc8-a936-ac44c2e31d5d</vt:lpwstr>
  </property>
  <property fmtid="{D5CDD505-2E9C-101B-9397-08002B2CF9AE}" pid="7" name="MSIP_Label_defa4170-0d19-0005-0004-bc88714345d2_ActionId">
    <vt:lpwstr>2d74a94c-81b4-423f-a9e9-4bf3ea374a3b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