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D99662D" w14:textId="77777777" w:rsidR="006E63AA" w:rsidRDefault="006E63AA" w:rsidP="009179F3">
      <w:pPr>
        <w:ind w:left="-450"/>
        <w:rPr>
          <w:rFonts w:ascii="Calibri" w:hAnsi="Calibri" w:cs="Calibri"/>
          <w:b/>
          <w:bCs/>
          <w:smallCaps/>
          <w:color w:val="003A5D" w:themeColor="text2"/>
          <w:sz w:val="36"/>
          <w:szCs w:val="36"/>
        </w:rPr>
      </w:pPr>
    </w:p>
    <w:p w14:paraId="564B800E" w14:textId="77777777" w:rsidR="00FD41C7" w:rsidRDefault="00FD41C7" w:rsidP="00E174A2">
      <w:pPr>
        <w:ind w:left="-450"/>
        <w:rPr>
          <w:rFonts w:ascii="Calibri" w:hAnsi="Calibri" w:cs="Calibri"/>
          <w:b/>
          <w:bCs/>
          <w:smallCaps/>
          <w:color w:val="003A5D" w:themeColor="text2"/>
          <w:sz w:val="36"/>
          <w:szCs w:val="36"/>
        </w:rPr>
      </w:pPr>
    </w:p>
    <w:p w14:paraId="297C6B82" w14:textId="77777777" w:rsidR="00DC5BA1" w:rsidRDefault="00DC5BA1" w:rsidP="003400E9">
      <w:pPr>
        <w:ind w:left="-450"/>
        <w:jc w:val="right"/>
        <w:rPr>
          <w:rFonts w:ascii="Calibri" w:hAnsi="Calibri" w:cs="Calibri"/>
          <w:b/>
          <w:bCs/>
          <w:smallCaps/>
          <w:color w:val="003A5D" w:themeColor="text2"/>
          <w:sz w:val="36"/>
          <w:szCs w:val="36"/>
        </w:rPr>
      </w:pPr>
    </w:p>
    <w:p w14:paraId="25352C93" w14:textId="77777777" w:rsidR="00DC5BA1" w:rsidRDefault="00DC5BA1" w:rsidP="003400E9">
      <w:pPr>
        <w:ind w:left="-450"/>
        <w:jc w:val="right"/>
        <w:rPr>
          <w:rFonts w:ascii="Calibri" w:hAnsi="Calibri" w:cs="Calibri"/>
          <w:b/>
          <w:bCs/>
          <w:smallCaps/>
          <w:color w:val="003A5D" w:themeColor="text2"/>
          <w:sz w:val="36"/>
          <w:szCs w:val="36"/>
        </w:rPr>
      </w:pPr>
    </w:p>
    <w:p w14:paraId="03FBCEC9" w14:textId="77777777" w:rsidR="00DC5BA1" w:rsidRDefault="00DC5BA1" w:rsidP="0096005E">
      <w:pPr>
        <w:ind w:left="-450"/>
        <w:rPr>
          <w:rFonts w:ascii="Calibri" w:hAnsi="Calibri" w:cs="Calibri"/>
          <w:b/>
          <w:bCs/>
          <w:smallCaps/>
          <w:color w:val="003A5D" w:themeColor="text2"/>
          <w:sz w:val="36"/>
          <w:szCs w:val="36"/>
        </w:rPr>
      </w:pPr>
    </w:p>
    <w:p w14:paraId="6E389E27" w14:textId="66A57C45" w:rsidR="00E607A6" w:rsidRDefault="0096005E" w:rsidP="00EE6363">
      <w:pPr>
        <w:ind w:left="-450"/>
        <w:rPr>
          <w:rFonts w:ascii="Calibri" w:hAnsi="Calibri" w:cs="Calibri"/>
          <w:bCs/>
          <w:smallCaps/>
          <w:color w:val="404040" w:themeColor="text1" w:themeTint="BF"/>
          <w:sz w:val="40"/>
          <w:szCs w:val="40"/>
        </w:rPr>
      </w:pPr>
      <w:proofErr w:type="spellStart"/>
      <w:r>
        <w:rPr>
          <w:rFonts w:ascii="Calibri" w:hAnsi="Calibri" w:cs="Calibri"/>
          <w:bCs/>
          <w:smallCaps/>
          <w:color w:val="404040" w:themeColor="text1" w:themeTint="BF"/>
          <w:sz w:val="40"/>
          <w:szCs w:val="40"/>
        </w:rPr>
        <w:t>InDetail</w:t>
      </w:r>
      <w:proofErr w:type="spellEnd"/>
    </w:p>
    <w:p w14:paraId="0D1833A9" w14:textId="77777777" w:rsidR="00A24B66" w:rsidRPr="006F2A47" w:rsidRDefault="00A24B66" w:rsidP="00EE6363">
      <w:pPr>
        <w:ind w:left="-450"/>
        <w:rPr>
          <w:rFonts w:ascii="Calibri" w:hAnsi="Calibri" w:cs="Calibri"/>
          <w:bCs/>
          <w:smallCaps/>
          <w:color w:val="FFFFFF" w:themeColor="background2"/>
          <w:sz w:val="40"/>
          <w:szCs w:val="40"/>
        </w:rPr>
      </w:pPr>
    </w:p>
    <w:p w14:paraId="748286AD" w14:textId="4AA6D77B" w:rsidR="00EE6363" w:rsidRPr="00C648FE" w:rsidRDefault="005E0D65" w:rsidP="00EE6363">
      <w:pPr>
        <w:ind w:left="-450"/>
        <w:rPr>
          <w:rFonts w:ascii="Calibri" w:hAnsi="Calibri" w:cs="Calibri"/>
          <w:b/>
          <w:bCs/>
          <w:smallCaps/>
          <w:color w:val="003A5D" w:themeColor="text2"/>
          <w:sz w:val="48"/>
          <w:szCs w:val="48"/>
        </w:rPr>
      </w:pPr>
      <w:r>
        <w:rPr>
          <w:rFonts w:ascii="Calibri" w:hAnsi="Calibri" w:cs="Calibri"/>
          <w:b/>
          <w:bCs/>
          <w:smallCaps/>
          <w:color w:val="003A5D" w:themeColor="text2"/>
          <w:sz w:val="48"/>
          <w:szCs w:val="48"/>
        </w:rPr>
        <w:t>NYSCRF Bridge Logistics Develop to Core Fund</w:t>
      </w:r>
    </w:p>
    <w:p w14:paraId="4E758219" w14:textId="77777777" w:rsidR="00EE6363" w:rsidRPr="009209E5" w:rsidRDefault="00EE6363" w:rsidP="00EE6363">
      <w:pPr>
        <w:ind w:left="-450"/>
        <w:rPr>
          <w:rFonts w:ascii="Calibri" w:hAnsi="Calibri" w:cs="Calibri"/>
          <w:b/>
          <w:bCs/>
          <w:smallCaps/>
          <w:color w:val="003A5D" w:themeColor="text2"/>
          <w:sz w:val="36"/>
          <w:szCs w:val="36"/>
        </w:rPr>
      </w:pPr>
    </w:p>
    <w:p w14:paraId="0D0CDE9D" w14:textId="3130E6A3" w:rsidR="00EE6363" w:rsidRPr="009209E5" w:rsidRDefault="00594BBC" w:rsidP="00EE6363">
      <w:pPr>
        <w:ind w:left="-450"/>
        <w:rPr>
          <w:rFonts w:ascii="Calibri" w:hAnsi="Calibri" w:cs="Calibri"/>
          <w:b/>
          <w:bCs/>
          <w:smallCaps/>
          <w:color w:val="003A5D" w:themeColor="text2"/>
          <w:sz w:val="28"/>
          <w:szCs w:val="28"/>
        </w:rPr>
      </w:pPr>
      <w:r>
        <w:rPr>
          <w:color w:val="003A5D" w:themeColor="text2"/>
          <w:sz w:val="28"/>
          <w:szCs w:val="28"/>
        </w:rPr>
        <w:t>A</w:t>
      </w:r>
      <w:r w:rsidR="003B472F">
        <w:rPr>
          <w:color w:val="003A5D" w:themeColor="text2"/>
          <w:sz w:val="28"/>
          <w:szCs w:val="28"/>
        </w:rPr>
        <w:t>n Industrial Development</w:t>
      </w:r>
      <w:r>
        <w:rPr>
          <w:color w:val="003A5D" w:themeColor="text2"/>
          <w:sz w:val="28"/>
          <w:szCs w:val="28"/>
        </w:rPr>
        <w:t xml:space="preserve"> Fund</w:t>
      </w:r>
      <w:r w:rsidR="003B472F">
        <w:rPr>
          <w:color w:val="003A5D" w:themeColor="text2"/>
          <w:sz w:val="28"/>
          <w:szCs w:val="28"/>
        </w:rPr>
        <w:t>-</w:t>
      </w:r>
      <w:r>
        <w:rPr>
          <w:color w:val="003A5D" w:themeColor="text2"/>
          <w:sz w:val="28"/>
          <w:szCs w:val="28"/>
        </w:rPr>
        <w:t>of</w:t>
      </w:r>
      <w:r w:rsidR="003B472F">
        <w:rPr>
          <w:color w:val="003A5D" w:themeColor="text2"/>
          <w:sz w:val="28"/>
          <w:szCs w:val="28"/>
        </w:rPr>
        <w:t>-</w:t>
      </w:r>
      <w:r>
        <w:rPr>
          <w:color w:val="003A5D" w:themeColor="text2"/>
          <w:sz w:val="28"/>
          <w:szCs w:val="28"/>
        </w:rPr>
        <w:t>One</w:t>
      </w:r>
    </w:p>
    <w:p w14:paraId="41C4E53B" w14:textId="77777777" w:rsidR="00EE6363" w:rsidRDefault="00EE6363" w:rsidP="00EE6363">
      <w:pPr>
        <w:ind w:left="-450"/>
        <w:rPr>
          <w:rFonts w:ascii="Calibri" w:hAnsi="Calibri" w:cs="Calibri"/>
          <w:b/>
          <w:bCs/>
          <w:smallCaps/>
          <w:color w:val="003A5D" w:themeColor="text2"/>
          <w:sz w:val="72"/>
          <w:szCs w:val="72"/>
        </w:rPr>
      </w:pPr>
    </w:p>
    <w:p w14:paraId="073A99D8" w14:textId="0357238E" w:rsidR="00B5142D" w:rsidRDefault="00B5142D" w:rsidP="00D53AE6">
      <w:pPr>
        <w:ind w:left="-450"/>
        <w:jc w:val="center"/>
        <w:rPr>
          <w:rFonts w:ascii="Calibri" w:hAnsi="Calibri" w:cs="Calibri"/>
          <w:b/>
          <w:bCs/>
          <w:smallCaps/>
          <w:color w:val="FF0000"/>
          <w:sz w:val="72"/>
          <w:szCs w:val="72"/>
        </w:rPr>
      </w:pPr>
    </w:p>
    <w:p w14:paraId="318D8B63" w14:textId="77777777" w:rsidR="00F766D0" w:rsidRDefault="00F766D0" w:rsidP="00EE6363">
      <w:pPr>
        <w:ind w:left="-450"/>
        <w:rPr>
          <w:color w:val="404040" w:themeColor="text1" w:themeTint="BF"/>
          <w:sz w:val="28"/>
          <w:szCs w:val="28"/>
        </w:rPr>
      </w:pPr>
    </w:p>
    <w:p w14:paraId="292CB218" w14:textId="77777777" w:rsidR="00F766D0" w:rsidRDefault="00F766D0" w:rsidP="00EE6363">
      <w:pPr>
        <w:ind w:left="-450"/>
        <w:rPr>
          <w:color w:val="404040" w:themeColor="text1" w:themeTint="BF"/>
          <w:sz w:val="28"/>
          <w:szCs w:val="28"/>
        </w:rPr>
      </w:pPr>
    </w:p>
    <w:p w14:paraId="6E2CB2EE" w14:textId="1F2B2695" w:rsidR="004801B6" w:rsidRPr="009209E5" w:rsidRDefault="0087085F" w:rsidP="00EE6363">
      <w:pPr>
        <w:ind w:left="-450"/>
        <w:rPr>
          <w:color w:val="404040" w:themeColor="text1" w:themeTint="BF"/>
          <w:sz w:val="28"/>
          <w:szCs w:val="28"/>
        </w:rPr>
        <w:sectPr w:rsidR="004801B6" w:rsidRPr="009209E5" w:rsidSect="00C05BE5">
          <w:headerReference w:type="default" r:id="rId11"/>
          <w:footerReference w:type="default" r:id="rId12"/>
          <w:pgSz w:w="12240" w:h="15840" w:code="1"/>
          <w:pgMar w:top="1008" w:right="1008" w:bottom="1008" w:left="1008" w:header="720" w:footer="720" w:gutter="0"/>
          <w:cols w:space="720"/>
          <w:docGrid w:linePitch="299"/>
        </w:sectPr>
      </w:pPr>
      <w:r>
        <w:rPr>
          <w:color w:val="404040" w:themeColor="text1" w:themeTint="BF"/>
          <w:sz w:val="28"/>
          <w:szCs w:val="28"/>
        </w:rPr>
        <w:t>October</w:t>
      </w:r>
      <w:r w:rsidR="00D77479">
        <w:rPr>
          <w:color w:val="404040" w:themeColor="text1" w:themeTint="BF"/>
          <w:sz w:val="28"/>
          <w:szCs w:val="28"/>
        </w:rPr>
        <w:t xml:space="preserve"> </w:t>
      </w:r>
      <w:r w:rsidR="00DE2D63">
        <w:rPr>
          <w:color w:val="404040" w:themeColor="text1" w:themeTint="BF"/>
          <w:sz w:val="28"/>
          <w:szCs w:val="28"/>
        </w:rPr>
        <w:t>2024</w:t>
      </w:r>
    </w:p>
    <w:p w14:paraId="43D94EE5" w14:textId="77777777" w:rsidR="001666CF" w:rsidRPr="00297A06" w:rsidRDefault="009C19AD" w:rsidP="000B4782">
      <w:pPr>
        <w:pStyle w:val="TOCHeading"/>
        <w:spacing w:before="0" w:line="240" w:lineRule="auto"/>
        <w:rPr>
          <w:color w:val="003A5D" w:themeColor="text2"/>
          <w:sz w:val="24"/>
          <w:szCs w:val="24"/>
        </w:rPr>
      </w:pPr>
      <w:r w:rsidRPr="00297A06">
        <w:rPr>
          <w:color w:val="003A5D" w:themeColor="text2"/>
          <w:sz w:val="24"/>
          <w:szCs w:val="24"/>
        </w:rPr>
        <w:lastRenderedPageBreak/>
        <w:t>Table of Contents</w:t>
      </w:r>
    </w:p>
    <w:p w14:paraId="2A520081" w14:textId="4CEEF710" w:rsidR="00951F6E" w:rsidRDefault="00AB292D">
      <w:pPr>
        <w:pStyle w:val="TOC1"/>
        <w:rPr>
          <w:rFonts w:eastAsiaTheme="minorEastAsia" w:cstheme="minorBidi"/>
          <w:b w:val="0"/>
          <w:caps w:val="0"/>
          <w:color w:val="auto"/>
          <w:kern w:val="2"/>
          <w:szCs w:val="22"/>
          <w14:ligatures w14:val="standardContextual"/>
        </w:rPr>
      </w:pPr>
      <w:r w:rsidRPr="001912C2">
        <w:rPr>
          <w:sz w:val="18"/>
          <w:szCs w:val="18"/>
        </w:rPr>
        <w:fldChar w:fldCharType="begin"/>
      </w:r>
      <w:r w:rsidR="009C19AD" w:rsidRPr="001912C2">
        <w:rPr>
          <w:sz w:val="18"/>
          <w:szCs w:val="18"/>
        </w:rPr>
        <w:instrText xml:space="preserve"> TOC \o "1-2" \h \z \u </w:instrText>
      </w:r>
      <w:r w:rsidRPr="001912C2">
        <w:rPr>
          <w:sz w:val="18"/>
          <w:szCs w:val="18"/>
        </w:rPr>
        <w:fldChar w:fldCharType="separate"/>
      </w:r>
      <w:hyperlink w:anchor="_Toc179797276" w:history="1">
        <w:r w:rsidR="00951F6E" w:rsidRPr="00940B78">
          <w:rPr>
            <w:rStyle w:val="Hyperlink"/>
          </w:rPr>
          <w:t>Executive Summary</w:t>
        </w:r>
        <w:r w:rsidR="00951F6E">
          <w:rPr>
            <w:webHidden/>
          </w:rPr>
          <w:tab/>
        </w:r>
        <w:r w:rsidR="00951F6E">
          <w:rPr>
            <w:webHidden/>
          </w:rPr>
          <w:fldChar w:fldCharType="begin"/>
        </w:r>
        <w:r w:rsidR="00951F6E">
          <w:rPr>
            <w:webHidden/>
          </w:rPr>
          <w:instrText xml:space="preserve"> PAGEREF _Toc179797276 \h </w:instrText>
        </w:r>
        <w:r w:rsidR="00951F6E">
          <w:rPr>
            <w:webHidden/>
          </w:rPr>
        </w:r>
        <w:r w:rsidR="00951F6E">
          <w:rPr>
            <w:webHidden/>
          </w:rPr>
          <w:fldChar w:fldCharType="separate"/>
        </w:r>
        <w:r w:rsidR="00951F6E">
          <w:rPr>
            <w:webHidden/>
          </w:rPr>
          <w:t>1</w:t>
        </w:r>
        <w:r w:rsidR="00951F6E">
          <w:rPr>
            <w:webHidden/>
          </w:rPr>
          <w:fldChar w:fldCharType="end"/>
        </w:r>
      </w:hyperlink>
    </w:p>
    <w:p w14:paraId="26EA1A79" w14:textId="3EDEB555" w:rsidR="00951F6E" w:rsidRDefault="00A2515E">
      <w:pPr>
        <w:pStyle w:val="TOC2"/>
        <w:rPr>
          <w:rFonts w:eastAsiaTheme="minorEastAsia" w:cstheme="minorBidi"/>
          <w:b w:val="0"/>
          <w:caps w:val="0"/>
          <w:color w:val="auto"/>
          <w:kern w:val="2"/>
          <w:sz w:val="22"/>
          <w:szCs w:val="22"/>
          <w14:ligatures w14:val="standardContextual"/>
        </w:rPr>
      </w:pPr>
      <w:hyperlink w:anchor="_Toc179797277" w:history="1">
        <w:r w:rsidR="00951F6E" w:rsidRPr="00940B78">
          <w:rPr>
            <w:rStyle w:val="Hyperlink"/>
          </w:rPr>
          <w:t>Overview</w:t>
        </w:r>
        <w:r w:rsidR="00951F6E">
          <w:rPr>
            <w:webHidden/>
          </w:rPr>
          <w:tab/>
        </w:r>
        <w:r w:rsidR="00951F6E">
          <w:rPr>
            <w:webHidden/>
          </w:rPr>
          <w:fldChar w:fldCharType="begin"/>
        </w:r>
        <w:r w:rsidR="00951F6E">
          <w:rPr>
            <w:webHidden/>
          </w:rPr>
          <w:instrText xml:space="preserve"> PAGEREF _Toc179797277 \h </w:instrText>
        </w:r>
        <w:r w:rsidR="00951F6E">
          <w:rPr>
            <w:webHidden/>
          </w:rPr>
        </w:r>
        <w:r w:rsidR="00951F6E">
          <w:rPr>
            <w:webHidden/>
          </w:rPr>
          <w:fldChar w:fldCharType="separate"/>
        </w:r>
        <w:r w:rsidR="00951F6E">
          <w:rPr>
            <w:webHidden/>
          </w:rPr>
          <w:t>1</w:t>
        </w:r>
        <w:r w:rsidR="00951F6E">
          <w:rPr>
            <w:webHidden/>
          </w:rPr>
          <w:fldChar w:fldCharType="end"/>
        </w:r>
      </w:hyperlink>
    </w:p>
    <w:p w14:paraId="7E0663FA" w14:textId="2C740904" w:rsidR="00951F6E" w:rsidRDefault="00A2515E">
      <w:pPr>
        <w:pStyle w:val="TOC2"/>
        <w:rPr>
          <w:rFonts w:eastAsiaTheme="minorEastAsia" w:cstheme="minorBidi"/>
          <w:b w:val="0"/>
          <w:caps w:val="0"/>
          <w:color w:val="auto"/>
          <w:kern w:val="2"/>
          <w:sz w:val="22"/>
          <w:szCs w:val="22"/>
          <w14:ligatures w14:val="standardContextual"/>
        </w:rPr>
      </w:pPr>
      <w:hyperlink w:anchor="_Toc179797278" w:history="1">
        <w:r w:rsidR="00951F6E" w:rsidRPr="00940B78">
          <w:rPr>
            <w:rStyle w:val="Hyperlink"/>
          </w:rPr>
          <w:t>Comparative Advantages</w:t>
        </w:r>
        <w:r w:rsidR="00951F6E">
          <w:rPr>
            <w:webHidden/>
          </w:rPr>
          <w:tab/>
        </w:r>
        <w:r w:rsidR="00951F6E">
          <w:rPr>
            <w:webHidden/>
          </w:rPr>
          <w:fldChar w:fldCharType="begin"/>
        </w:r>
        <w:r w:rsidR="00951F6E">
          <w:rPr>
            <w:webHidden/>
          </w:rPr>
          <w:instrText xml:space="preserve"> PAGEREF _Toc179797278 \h </w:instrText>
        </w:r>
        <w:r w:rsidR="00951F6E">
          <w:rPr>
            <w:webHidden/>
          </w:rPr>
        </w:r>
        <w:r w:rsidR="00951F6E">
          <w:rPr>
            <w:webHidden/>
          </w:rPr>
          <w:fldChar w:fldCharType="separate"/>
        </w:r>
        <w:r w:rsidR="00951F6E">
          <w:rPr>
            <w:webHidden/>
          </w:rPr>
          <w:t>2</w:t>
        </w:r>
        <w:r w:rsidR="00951F6E">
          <w:rPr>
            <w:webHidden/>
          </w:rPr>
          <w:fldChar w:fldCharType="end"/>
        </w:r>
      </w:hyperlink>
    </w:p>
    <w:p w14:paraId="56366DB9" w14:textId="6675D74F" w:rsidR="00951F6E" w:rsidRDefault="00A2515E">
      <w:pPr>
        <w:pStyle w:val="TOC2"/>
        <w:rPr>
          <w:rFonts w:eastAsiaTheme="minorEastAsia" w:cstheme="minorBidi"/>
          <w:b w:val="0"/>
          <w:caps w:val="0"/>
          <w:color w:val="auto"/>
          <w:kern w:val="2"/>
          <w:sz w:val="22"/>
          <w:szCs w:val="22"/>
          <w14:ligatures w14:val="standardContextual"/>
        </w:rPr>
      </w:pPr>
      <w:hyperlink w:anchor="_Toc179797279" w:history="1">
        <w:r w:rsidR="00951F6E" w:rsidRPr="00940B78">
          <w:rPr>
            <w:rStyle w:val="Hyperlink"/>
            <w:rFonts w:cstheme="minorHAnsi"/>
          </w:rPr>
          <w:t>Potential Issues and Concerns</w:t>
        </w:r>
        <w:r w:rsidR="00951F6E">
          <w:rPr>
            <w:webHidden/>
          </w:rPr>
          <w:tab/>
        </w:r>
        <w:r w:rsidR="00951F6E">
          <w:rPr>
            <w:webHidden/>
          </w:rPr>
          <w:fldChar w:fldCharType="begin"/>
        </w:r>
        <w:r w:rsidR="00951F6E">
          <w:rPr>
            <w:webHidden/>
          </w:rPr>
          <w:instrText xml:space="preserve"> PAGEREF _Toc179797279 \h </w:instrText>
        </w:r>
        <w:r w:rsidR="00951F6E">
          <w:rPr>
            <w:webHidden/>
          </w:rPr>
        </w:r>
        <w:r w:rsidR="00951F6E">
          <w:rPr>
            <w:webHidden/>
          </w:rPr>
          <w:fldChar w:fldCharType="separate"/>
        </w:r>
        <w:r w:rsidR="00951F6E">
          <w:rPr>
            <w:webHidden/>
          </w:rPr>
          <w:t>3</w:t>
        </w:r>
        <w:r w:rsidR="00951F6E">
          <w:rPr>
            <w:webHidden/>
          </w:rPr>
          <w:fldChar w:fldCharType="end"/>
        </w:r>
      </w:hyperlink>
    </w:p>
    <w:p w14:paraId="011C2E73" w14:textId="1050B3B8" w:rsidR="00951F6E" w:rsidRDefault="00A2515E">
      <w:pPr>
        <w:pStyle w:val="TOC1"/>
        <w:rPr>
          <w:rFonts w:eastAsiaTheme="minorEastAsia" w:cstheme="minorBidi"/>
          <w:b w:val="0"/>
          <w:caps w:val="0"/>
          <w:color w:val="auto"/>
          <w:kern w:val="2"/>
          <w:szCs w:val="22"/>
          <w14:ligatures w14:val="standardContextual"/>
        </w:rPr>
      </w:pPr>
      <w:hyperlink w:anchor="_Toc179797280" w:history="1">
        <w:r w:rsidR="00951F6E" w:rsidRPr="00940B78">
          <w:rPr>
            <w:rStyle w:val="Hyperlink"/>
            <w:kern w:val="28"/>
          </w:rPr>
          <w:t>Strategy</w:t>
        </w:r>
        <w:r w:rsidR="00951F6E">
          <w:rPr>
            <w:webHidden/>
          </w:rPr>
          <w:tab/>
        </w:r>
        <w:r w:rsidR="00951F6E">
          <w:rPr>
            <w:webHidden/>
          </w:rPr>
          <w:fldChar w:fldCharType="begin"/>
        </w:r>
        <w:r w:rsidR="00951F6E">
          <w:rPr>
            <w:webHidden/>
          </w:rPr>
          <w:instrText xml:space="preserve"> PAGEREF _Toc179797280 \h </w:instrText>
        </w:r>
        <w:r w:rsidR="00951F6E">
          <w:rPr>
            <w:webHidden/>
          </w:rPr>
        </w:r>
        <w:r w:rsidR="00951F6E">
          <w:rPr>
            <w:webHidden/>
          </w:rPr>
          <w:fldChar w:fldCharType="separate"/>
        </w:r>
        <w:r w:rsidR="00951F6E">
          <w:rPr>
            <w:webHidden/>
          </w:rPr>
          <w:t>5</w:t>
        </w:r>
        <w:r w:rsidR="00951F6E">
          <w:rPr>
            <w:webHidden/>
          </w:rPr>
          <w:fldChar w:fldCharType="end"/>
        </w:r>
      </w:hyperlink>
    </w:p>
    <w:p w14:paraId="312E95E5" w14:textId="442C32A3" w:rsidR="00951F6E" w:rsidRDefault="00A2515E">
      <w:pPr>
        <w:pStyle w:val="TOC2"/>
        <w:rPr>
          <w:rFonts w:eastAsiaTheme="minorEastAsia" w:cstheme="minorBidi"/>
          <w:b w:val="0"/>
          <w:caps w:val="0"/>
          <w:color w:val="auto"/>
          <w:kern w:val="2"/>
          <w:sz w:val="22"/>
          <w:szCs w:val="22"/>
          <w14:ligatures w14:val="standardContextual"/>
        </w:rPr>
      </w:pPr>
      <w:hyperlink w:anchor="_Toc179797281" w:history="1">
        <w:r w:rsidR="00951F6E" w:rsidRPr="00940B78">
          <w:rPr>
            <w:rStyle w:val="Hyperlink"/>
          </w:rPr>
          <w:t>Overview</w:t>
        </w:r>
        <w:r w:rsidR="00951F6E">
          <w:rPr>
            <w:webHidden/>
          </w:rPr>
          <w:tab/>
        </w:r>
        <w:r w:rsidR="00951F6E">
          <w:rPr>
            <w:webHidden/>
          </w:rPr>
          <w:fldChar w:fldCharType="begin"/>
        </w:r>
        <w:r w:rsidR="00951F6E">
          <w:rPr>
            <w:webHidden/>
          </w:rPr>
          <w:instrText xml:space="preserve"> PAGEREF _Toc179797281 \h </w:instrText>
        </w:r>
        <w:r w:rsidR="00951F6E">
          <w:rPr>
            <w:webHidden/>
          </w:rPr>
        </w:r>
        <w:r w:rsidR="00951F6E">
          <w:rPr>
            <w:webHidden/>
          </w:rPr>
          <w:fldChar w:fldCharType="separate"/>
        </w:r>
        <w:r w:rsidR="00951F6E">
          <w:rPr>
            <w:webHidden/>
          </w:rPr>
          <w:t>5</w:t>
        </w:r>
        <w:r w:rsidR="00951F6E">
          <w:rPr>
            <w:webHidden/>
          </w:rPr>
          <w:fldChar w:fldCharType="end"/>
        </w:r>
      </w:hyperlink>
    </w:p>
    <w:p w14:paraId="63393ACC" w14:textId="7CEEBE44" w:rsidR="00951F6E" w:rsidRDefault="00A2515E">
      <w:pPr>
        <w:pStyle w:val="TOC2"/>
        <w:rPr>
          <w:rFonts w:eastAsiaTheme="minorEastAsia" w:cstheme="minorBidi"/>
          <w:b w:val="0"/>
          <w:caps w:val="0"/>
          <w:color w:val="auto"/>
          <w:kern w:val="2"/>
          <w:sz w:val="22"/>
          <w:szCs w:val="22"/>
          <w14:ligatures w14:val="standardContextual"/>
        </w:rPr>
      </w:pPr>
      <w:hyperlink w:anchor="_Toc179797282" w:history="1">
        <w:r w:rsidR="00951F6E" w:rsidRPr="00940B78">
          <w:rPr>
            <w:rStyle w:val="Hyperlink"/>
          </w:rPr>
          <w:t>Pipeline</w:t>
        </w:r>
        <w:r w:rsidR="00951F6E">
          <w:rPr>
            <w:webHidden/>
          </w:rPr>
          <w:tab/>
        </w:r>
        <w:r w:rsidR="00951F6E">
          <w:rPr>
            <w:webHidden/>
          </w:rPr>
          <w:fldChar w:fldCharType="begin"/>
        </w:r>
        <w:r w:rsidR="00951F6E">
          <w:rPr>
            <w:webHidden/>
          </w:rPr>
          <w:instrText xml:space="preserve"> PAGEREF _Toc179797282 \h </w:instrText>
        </w:r>
        <w:r w:rsidR="00951F6E">
          <w:rPr>
            <w:webHidden/>
          </w:rPr>
        </w:r>
        <w:r w:rsidR="00951F6E">
          <w:rPr>
            <w:webHidden/>
          </w:rPr>
          <w:fldChar w:fldCharType="separate"/>
        </w:r>
        <w:r w:rsidR="00951F6E">
          <w:rPr>
            <w:webHidden/>
          </w:rPr>
          <w:t>6</w:t>
        </w:r>
        <w:r w:rsidR="00951F6E">
          <w:rPr>
            <w:webHidden/>
          </w:rPr>
          <w:fldChar w:fldCharType="end"/>
        </w:r>
      </w:hyperlink>
    </w:p>
    <w:p w14:paraId="259189D4" w14:textId="5858B9B9" w:rsidR="00951F6E" w:rsidRDefault="00A2515E">
      <w:pPr>
        <w:pStyle w:val="TOC2"/>
        <w:rPr>
          <w:rFonts w:eastAsiaTheme="minorEastAsia" w:cstheme="minorBidi"/>
          <w:b w:val="0"/>
          <w:caps w:val="0"/>
          <w:color w:val="auto"/>
          <w:kern w:val="2"/>
          <w:sz w:val="22"/>
          <w:szCs w:val="22"/>
          <w14:ligatures w14:val="standardContextual"/>
        </w:rPr>
      </w:pPr>
      <w:hyperlink w:anchor="_Toc179797283" w:history="1">
        <w:r w:rsidR="00951F6E" w:rsidRPr="00940B78">
          <w:rPr>
            <w:rStyle w:val="Hyperlink"/>
          </w:rPr>
          <w:t>Leverage</w:t>
        </w:r>
        <w:r w:rsidR="00951F6E">
          <w:rPr>
            <w:webHidden/>
          </w:rPr>
          <w:tab/>
        </w:r>
        <w:r w:rsidR="00951F6E">
          <w:rPr>
            <w:webHidden/>
          </w:rPr>
          <w:fldChar w:fldCharType="begin"/>
        </w:r>
        <w:r w:rsidR="00951F6E">
          <w:rPr>
            <w:webHidden/>
          </w:rPr>
          <w:instrText xml:space="preserve"> PAGEREF _Toc179797283 \h </w:instrText>
        </w:r>
        <w:r w:rsidR="00951F6E">
          <w:rPr>
            <w:webHidden/>
          </w:rPr>
        </w:r>
        <w:r w:rsidR="00951F6E">
          <w:rPr>
            <w:webHidden/>
          </w:rPr>
          <w:fldChar w:fldCharType="separate"/>
        </w:r>
        <w:r w:rsidR="00951F6E">
          <w:rPr>
            <w:webHidden/>
          </w:rPr>
          <w:t>6</w:t>
        </w:r>
        <w:r w:rsidR="00951F6E">
          <w:rPr>
            <w:webHidden/>
          </w:rPr>
          <w:fldChar w:fldCharType="end"/>
        </w:r>
      </w:hyperlink>
    </w:p>
    <w:p w14:paraId="5B61406A" w14:textId="5B5DD2BB" w:rsidR="00951F6E" w:rsidRDefault="00A2515E">
      <w:pPr>
        <w:pStyle w:val="TOC2"/>
        <w:rPr>
          <w:rFonts w:eastAsiaTheme="minorEastAsia" w:cstheme="minorBidi"/>
          <w:b w:val="0"/>
          <w:caps w:val="0"/>
          <w:color w:val="auto"/>
          <w:kern w:val="2"/>
          <w:sz w:val="22"/>
          <w:szCs w:val="22"/>
          <w14:ligatures w14:val="standardContextual"/>
        </w:rPr>
      </w:pPr>
      <w:hyperlink w:anchor="_Toc179797284" w:history="1">
        <w:r w:rsidR="00951F6E" w:rsidRPr="00940B78">
          <w:rPr>
            <w:rStyle w:val="Hyperlink"/>
          </w:rPr>
          <w:t>Investment guidelines</w:t>
        </w:r>
        <w:r w:rsidR="00951F6E">
          <w:rPr>
            <w:webHidden/>
          </w:rPr>
          <w:tab/>
        </w:r>
        <w:r w:rsidR="00951F6E">
          <w:rPr>
            <w:webHidden/>
          </w:rPr>
          <w:fldChar w:fldCharType="begin"/>
        </w:r>
        <w:r w:rsidR="00951F6E">
          <w:rPr>
            <w:webHidden/>
          </w:rPr>
          <w:instrText xml:space="preserve"> PAGEREF _Toc179797284 \h </w:instrText>
        </w:r>
        <w:r w:rsidR="00951F6E">
          <w:rPr>
            <w:webHidden/>
          </w:rPr>
        </w:r>
        <w:r w:rsidR="00951F6E">
          <w:rPr>
            <w:webHidden/>
          </w:rPr>
          <w:fldChar w:fldCharType="separate"/>
        </w:r>
        <w:r w:rsidR="00951F6E">
          <w:rPr>
            <w:webHidden/>
          </w:rPr>
          <w:t>6</w:t>
        </w:r>
        <w:r w:rsidR="00951F6E">
          <w:rPr>
            <w:webHidden/>
          </w:rPr>
          <w:fldChar w:fldCharType="end"/>
        </w:r>
      </w:hyperlink>
    </w:p>
    <w:p w14:paraId="3CF0F767" w14:textId="7E71EC7C" w:rsidR="00951F6E" w:rsidRDefault="00A2515E">
      <w:pPr>
        <w:pStyle w:val="TOC1"/>
        <w:rPr>
          <w:rFonts w:eastAsiaTheme="minorEastAsia" w:cstheme="minorBidi"/>
          <w:b w:val="0"/>
          <w:caps w:val="0"/>
          <w:color w:val="auto"/>
          <w:kern w:val="2"/>
          <w:szCs w:val="22"/>
          <w14:ligatures w14:val="standardContextual"/>
        </w:rPr>
      </w:pPr>
      <w:hyperlink w:anchor="_Toc179797285" w:history="1">
        <w:r w:rsidR="00951F6E" w:rsidRPr="00940B78">
          <w:rPr>
            <w:rStyle w:val="Hyperlink"/>
            <w:kern w:val="28"/>
          </w:rPr>
          <w:t>Sponsor</w:t>
        </w:r>
        <w:r w:rsidR="00951F6E">
          <w:rPr>
            <w:webHidden/>
          </w:rPr>
          <w:tab/>
        </w:r>
        <w:r w:rsidR="00951F6E">
          <w:rPr>
            <w:webHidden/>
          </w:rPr>
          <w:fldChar w:fldCharType="begin"/>
        </w:r>
        <w:r w:rsidR="00951F6E">
          <w:rPr>
            <w:webHidden/>
          </w:rPr>
          <w:instrText xml:space="preserve"> PAGEREF _Toc179797285 \h </w:instrText>
        </w:r>
        <w:r w:rsidR="00951F6E">
          <w:rPr>
            <w:webHidden/>
          </w:rPr>
        </w:r>
        <w:r w:rsidR="00951F6E">
          <w:rPr>
            <w:webHidden/>
          </w:rPr>
          <w:fldChar w:fldCharType="separate"/>
        </w:r>
        <w:r w:rsidR="00951F6E">
          <w:rPr>
            <w:webHidden/>
          </w:rPr>
          <w:t>6</w:t>
        </w:r>
        <w:r w:rsidR="00951F6E">
          <w:rPr>
            <w:webHidden/>
          </w:rPr>
          <w:fldChar w:fldCharType="end"/>
        </w:r>
      </w:hyperlink>
    </w:p>
    <w:p w14:paraId="034FFC8B" w14:textId="7486FCB9" w:rsidR="00951F6E" w:rsidRDefault="00A2515E">
      <w:pPr>
        <w:pStyle w:val="TOC2"/>
        <w:rPr>
          <w:rFonts w:eastAsiaTheme="minorEastAsia" w:cstheme="minorBidi"/>
          <w:b w:val="0"/>
          <w:caps w:val="0"/>
          <w:color w:val="auto"/>
          <w:kern w:val="2"/>
          <w:sz w:val="22"/>
          <w:szCs w:val="22"/>
          <w14:ligatures w14:val="standardContextual"/>
        </w:rPr>
      </w:pPr>
      <w:hyperlink w:anchor="_Toc179797286" w:history="1">
        <w:r w:rsidR="00951F6E" w:rsidRPr="00940B78">
          <w:rPr>
            <w:rStyle w:val="Hyperlink"/>
          </w:rPr>
          <w:t>Overview</w:t>
        </w:r>
        <w:r w:rsidR="00951F6E">
          <w:rPr>
            <w:webHidden/>
          </w:rPr>
          <w:tab/>
        </w:r>
        <w:r w:rsidR="00951F6E">
          <w:rPr>
            <w:webHidden/>
          </w:rPr>
          <w:fldChar w:fldCharType="begin"/>
        </w:r>
        <w:r w:rsidR="00951F6E">
          <w:rPr>
            <w:webHidden/>
          </w:rPr>
          <w:instrText xml:space="preserve"> PAGEREF _Toc179797286 \h </w:instrText>
        </w:r>
        <w:r w:rsidR="00951F6E">
          <w:rPr>
            <w:webHidden/>
          </w:rPr>
        </w:r>
        <w:r w:rsidR="00951F6E">
          <w:rPr>
            <w:webHidden/>
          </w:rPr>
          <w:fldChar w:fldCharType="separate"/>
        </w:r>
        <w:r w:rsidR="00951F6E">
          <w:rPr>
            <w:webHidden/>
          </w:rPr>
          <w:t>6</w:t>
        </w:r>
        <w:r w:rsidR="00951F6E">
          <w:rPr>
            <w:webHidden/>
          </w:rPr>
          <w:fldChar w:fldCharType="end"/>
        </w:r>
      </w:hyperlink>
    </w:p>
    <w:p w14:paraId="2E9816F8" w14:textId="391BC377" w:rsidR="00951F6E" w:rsidRDefault="00A2515E">
      <w:pPr>
        <w:pStyle w:val="TOC2"/>
        <w:rPr>
          <w:rFonts w:eastAsiaTheme="minorEastAsia" w:cstheme="minorBidi"/>
          <w:b w:val="0"/>
          <w:caps w:val="0"/>
          <w:color w:val="auto"/>
          <w:kern w:val="2"/>
          <w:sz w:val="22"/>
          <w:szCs w:val="22"/>
          <w14:ligatures w14:val="standardContextual"/>
        </w:rPr>
      </w:pPr>
      <w:hyperlink w:anchor="_Toc179797287" w:history="1">
        <w:r w:rsidR="00951F6E" w:rsidRPr="00940B78">
          <w:rPr>
            <w:rStyle w:val="Hyperlink"/>
          </w:rPr>
          <w:t>Bridge Logistics Properties</w:t>
        </w:r>
        <w:r w:rsidR="00951F6E">
          <w:rPr>
            <w:webHidden/>
          </w:rPr>
          <w:tab/>
        </w:r>
        <w:r w:rsidR="00951F6E">
          <w:rPr>
            <w:webHidden/>
          </w:rPr>
          <w:fldChar w:fldCharType="begin"/>
        </w:r>
        <w:r w:rsidR="00951F6E">
          <w:rPr>
            <w:webHidden/>
          </w:rPr>
          <w:instrText xml:space="preserve"> PAGEREF _Toc179797287 \h </w:instrText>
        </w:r>
        <w:r w:rsidR="00951F6E">
          <w:rPr>
            <w:webHidden/>
          </w:rPr>
        </w:r>
        <w:r w:rsidR="00951F6E">
          <w:rPr>
            <w:webHidden/>
          </w:rPr>
          <w:fldChar w:fldCharType="separate"/>
        </w:r>
        <w:r w:rsidR="00951F6E">
          <w:rPr>
            <w:webHidden/>
          </w:rPr>
          <w:t>8</w:t>
        </w:r>
        <w:r w:rsidR="00951F6E">
          <w:rPr>
            <w:webHidden/>
          </w:rPr>
          <w:fldChar w:fldCharType="end"/>
        </w:r>
      </w:hyperlink>
    </w:p>
    <w:p w14:paraId="1BB603F6" w14:textId="0319383F" w:rsidR="00951F6E" w:rsidRDefault="00A2515E">
      <w:pPr>
        <w:pStyle w:val="TOC2"/>
        <w:rPr>
          <w:rFonts w:eastAsiaTheme="minorEastAsia" w:cstheme="minorBidi"/>
          <w:b w:val="0"/>
          <w:caps w:val="0"/>
          <w:color w:val="auto"/>
          <w:kern w:val="2"/>
          <w:sz w:val="22"/>
          <w:szCs w:val="22"/>
          <w14:ligatures w14:val="standardContextual"/>
        </w:rPr>
      </w:pPr>
      <w:hyperlink w:anchor="_Toc179797288" w:history="1">
        <w:r w:rsidR="00951F6E" w:rsidRPr="00940B78">
          <w:rPr>
            <w:rStyle w:val="Hyperlink"/>
          </w:rPr>
          <w:t>Turnover/Compensation/Retention</w:t>
        </w:r>
        <w:r w:rsidR="00951F6E">
          <w:rPr>
            <w:webHidden/>
          </w:rPr>
          <w:tab/>
        </w:r>
        <w:r w:rsidR="00951F6E">
          <w:rPr>
            <w:webHidden/>
          </w:rPr>
          <w:fldChar w:fldCharType="begin"/>
        </w:r>
        <w:r w:rsidR="00951F6E">
          <w:rPr>
            <w:webHidden/>
          </w:rPr>
          <w:instrText xml:space="preserve"> PAGEREF _Toc179797288 \h </w:instrText>
        </w:r>
        <w:r w:rsidR="00951F6E">
          <w:rPr>
            <w:webHidden/>
          </w:rPr>
        </w:r>
        <w:r w:rsidR="00951F6E">
          <w:rPr>
            <w:webHidden/>
          </w:rPr>
          <w:fldChar w:fldCharType="separate"/>
        </w:r>
        <w:r w:rsidR="00951F6E">
          <w:rPr>
            <w:webHidden/>
          </w:rPr>
          <w:t>8</w:t>
        </w:r>
        <w:r w:rsidR="00951F6E">
          <w:rPr>
            <w:webHidden/>
          </w:rPr>
          <w:fldChar w:fldCharType="end"/>
        </w:r>
      </w:hyperlink>
    </w:p>
    <w:p w14:paraId="30C2B302" w14:textId="6C2B3689" w:rsidR="00951F6E" w:rsidRDefault="00A2515E">
      <w:pPr>
        <w:pStyle w:val="TOC2"/>
        <w:rPr>
          <w:rFonts w:eastAsiaTheme="minorEastAsia" w:cstheme="minorBidi"/>
          <w:b w:val="0"/>
          <w:caps w:val="0"/>
          <w:color w:val="auto"/>
          <w:kern w:val="2"/>
          <w:sz w:val="22"/>
          <w:szCs w:val="22"/>
          <w14:ligatures w14:val="standardContextual"/>
        </w:rPr>
      </w:pPr>
      <w:hyperlink w:anchor="_Toc179797289" w:history="1">
        <w:r w:rsidR="00951F6E" w:rsidRPr="00940B78">
          <w:rPr>
            <w:rStyle w:val="Hyperlink"/>
          </w:rPr>
          <w:t>Investor Base</w:t>
        </w:r>
        <w:r w:rsidR="00951F6E">
          <w:rPr>
            <w:webHidden/>
          </w:rPr>
          <w:tab/>
        </w:r>
        <w:r w:rsidR="00951F6E">
          <w:rPr>
            <w:webHidden/>
          </w:rPr>
          <w:fldChar w:fldCharType="begin"/>
        </w:r>
        <w:r w:rsidR="00951F6E">
          <w:rPr>
            <w:webHidden/>
          </w:rPr>
          <w:instrText xml:space="preserve"> PAGEREF _Toc179797289 \h </w:instrText>
        </w:r>
        <w:r w:rsidR="00951F6E">
          <w:rPr>
            <w:webHidden/>
          </w:rPr>
        </w:r>
        <w:r w:rsidR="00951F6E">
          <w:rPr>
            <w:webHidden/>
          </w:rPr>
          <w:fldChar w:fldCharType="separate"/>
        </w:r>
        <w:r w:rsidR="00951F6E">
          <w:rPr>
            <w:webHidden/>
          </w:rPr>
          <w:t>9</w:t>
        </w:r>
        <w:r w:rsidR="00951F6E">
          <w:rPr>
            <w:webHidden/>
          </w:rPr>
          <w:fldChar w:fldCharType="end"/>
        </w:r>
      </w:hyperlink>
    </w:p>
    <w:p w14:paraId="385A27DF" w14:textId="3AD35FC5" w:rsidR="00951F6E" w:rsidRDefault="00A2515E">
      <w:pPr>
        <w:pStyle w:val="TOC2"/>
        <w:rPr>
          <w:rFonts w:eastAsiaTheme="minorEastAsia" w:cstheme="minorBidi"/>
          <w:b w:val="0"/>
          <w:caps w:val="0"/>
          <w:color w:val="auto"/>
          <w:kern w:val="2"/>
          <w:sz w:val="22"/>
          <w:szCs w:val="22"/>
          <w14:ligatures w14:val="standardContextual"/>
        </w:rPr>
      </w:pPr>
      <w:hyperlink w:anchor="_Toc179797290" w:history="1">
        <w:r w:rsidR="00951F6E" w:rsidRPr="00940B78">
          <w:rPr>
            <w:rStyle w:val="Hyperlink"/>
          </w:rPr>
          <w:t>Compliance / Litigation Disclosures</w:t>
        </w:r>
        <w:r w:rsidR="00951F6E">
          <w:rPr>
            <w:webHidden/>
          </w:rPr>
          <w:tab/>
        </w:r>
        <w:r w:rsidR="00951F6E">
          <w:rPr>
            <w:webHidden/>
          </w:rPr>
          <w:fldChar w:fldCharType="begin"/>
        </w:r>
        <w:r w:rsidR="00951F6E">
          <w:rPr>
            <w:webHidden/>
          </w:rPr>
          <w:instrText xml:space="preserve"> PAGEREF _Toc179797290 \h </w:instrText>
        </w:r>
        <w:r w:rsidR="00951F6E">
          <w:rPr>
            <w:webHidden/>
          </w:rPr>
        </w:r>
        <w:r w:rsidR="00951F6E">
          <w:rPr>
            <w:webHidden/>
          </w:rPr>
          <w:fldChar w:fldCharType="separate"/>
        </w:r>
        <w:r w:rsidR="00951F6E">
          <w:rPr>
            <w:webHidden/>
          </w:rPr>
          <w:t>9</w:t>
        </w:r>
        <w:r w:rsidR="00951F6E">
          <w:rPr>
            <w:webHidden/>
          </w:rPr>
          <w:fldChar w:fldCharType="end"/>
        </w:r>
      </w:hyperlink>
    </w:p>
    <w:p w14:paraId="75B86F2C" w14:textId="3535DE6D" w:rsidR="00951F6E" w:rsidRDefault="00A2515E">
      <w:pPr>
        <w:pStyle w:val="TOC1"/>
        <w:rPr>
          <w:rFonts w:eastAsiaTheme="minorEastAsia" w:cstheme="minorBidi"/>
          <w:b w:val="0"/>
          <w:caps w:val="0"/>
          <w:color w:val="auto"/>
          <w:kern w:val="2"/>
          <w:szCs w:val="22"/>
          <w14:ligatures w14:val="standardContextual"/>
        </w:rPr>
      </w:pPr>
      <w:hyperlink w:anchor="_Toc179797291" w:history="1">
        <w:r w:rsidR="00951F6E" w:rsidRPr="00940B78">
          <w:rPr>
            <w:rStyle w:val="Hyperlink"/>
            <w:kern w:val="28"/>
          </w:rPr>
          <w:t>Environmental and Social and Governance Policies and Practices</w:t>
        </w:r>
        <w:r w:rsidR="00951F6E">
          <w:rPr>
            <w:webHidden/>
          </w:rPr>
          <w:tab/>
        </w:r>
        <w:r w:rsidR="00951F6E">
          <w:rPr>
            <w:webHidden/>
          </w:rPr>
          <w:fldChar w:fldCharType="begin"/>
        </w:r>
        <w:r w:rsidR="00951F6E">
          <w:rPr>
            <w:webHidden/>
          </w:rPr>
          <w:instrText xml:space="preserve"> PAGEREF _Toc179797291 \h </w:instrText>
        </w:r>
        <w:r w:rsidR="00951F6E">
          <w:rPr>
            <w:webHidden/>
          </w:rPr>
        </w:r>
        <w:r w:rsidR="00951F6E">
          <w:rPr>
            <w:webHidden/>
          </w:rPr>
          <w:fldChar w:fldCharType="separate"/>
        </w:r>
        <w:r w:rsidR="00951F6E">
          <w:rPr>
            <w:webHidden/>
          </w:rPr>
          <w:t>9</w:t>
        </w:r>
        <w:r w:rsidR="00951F6E">
          <w:rPr>
            <w:webHidden/>
          </w:rPr>
          <w:fldChar w:fldCharType="end"/>
        </w:r>
      </w:hyperlink>
    </w:p>
    <w:p w14:paraId="3F8DF108" w14:textId="0D55EA5E" w:rsidR="00951F6E" w:rsidRDefault="00A2515E">
      <w:pPr>
        <w:pStyle w:val="TOC2"/>
        <w:rPr>
          <w:rFonts w:eastAsiaTheme="minorEastAsia" w:cstheme="minorBidi"/>
          <w:b w:val="0"/>
          <w:caps w:val="0"/>
          <w:color w:val="auto"/>
          <w:kern w:val="2"/>
          <w:sz w:val="22"/>
          <w:szCs w:val="22"/>
          <w14:ligatures w14:val="standardContextual"/>
        </w:rPr>
      </w:pPr>
      <w:hyperlink w:anchor="_Toc179797292" w:history="1">
        <w:r w:rsidR="00951F6E" w:rsidRPr="00940B78">
          <w:rPr>
            <w:rStyle w:val="Hyperlink"/>
          </w:rPr>
          <w:t>Summary</w:t>
        </w:r>
        <w:r w:rsidR="00951F6E">
          <w:rPr>
            <w:webHidden/>
          </w:rPr>
          <w:tab/>
        </w:r>
        <w:r w:rsidR="00951F6E">
          <w:rPr>
            <w:webHidden/>
          </w:rPr>
          <w:fldChar w:fldCharType="begin"/>
        </w:r>
        <w:r w:rsidR="00951F6E">
          <w:rPr>
            <w:webHidden/>
          </w:rPr>
          <w:instrText xml:space="preserve"> PAGEREF _Toc179797292 \h </w:instrText>
        </w:r>
        <w:r w:rsidR="00951F6E">
          <w:rPr>
            <w:webHidden/>
          </w:rPr>
        </w:r>
        <w:r w:rsidR="00951F6E">
          <w:rPr>
            <w:webHidden/>
          </w:rPr>
          <w:fldChar w:fldCharType="separate"/>
        </w:r>
        <w:r w:rsidR="00951F6E">
          <w:rPr>
            <w:webHidden/>
          </w:rPr>
          <w:t>9</w:t>
        </w:r>
        <w:r w:rsidR="00951F6E">
          <w:rPr>
            <w:webHidden/>
          </w:rPr>
          <w:fldChar w:fldCharType="end"/>
        </w:r>
      </w:hyperlink>
    </w:p>
    <w:p w14:paraId="43649819" w14:textId="070A5C9A" w:rsidR="00951F6E" w:rsidRDefault="00A2515E">
      <w:pPr>
        <w:pStyle w:val="TOC1"/>
        <w:rPr>
          <w:rFonts w:eastAsiaTheme="minorEastAsia" w:cstheme="minorBidi"/>
          <w:b w:val="0"/>
          <w:caps w:val="0"/>
          <w:color w:val="auto"/>
          <w:kern w:val="2"/>
          <w:szCs w:val="22"/>
          <w14:ligatures w14:val="standardContextual"/>
        </w:rPr>
      </w:pPr>
      <w:hyperlink w:anchor="_Toc179797293" w:history="1">
        <w:r w:rsidR="00951F6E" w:rsidRPr="00940B78">
          <w:rPr>
            <w:rStyle w:val="Hyperlink"/>
          </w:rPr>
          <w:t>Operational Due Diligence</w:t>
        </w:r>
        <w:r w:rsidR="00951F6E">
          <w:rPr>
            <w:webHidden/>
          </w:rPr>
          <w:tab/>
        </w:r>
        <w:r w:rsidR="00951F6E">
          <w:rPr>
            <w:webHidden/>
          </w:rPr>
          <w:fldChar w:fldCharType="begin"/>
        </w:r>
        <w:r w:rsidR="00951F6E">
          <w:rPr>
            <w:webHidden/>
          </w:rPr>
          <w:instrText xml:space="preserve"> PAGEREF _Toc179797293 \h </w:instrText>
        </w:r>
        <w:r w:rsidR="00951F6E">
          <w:rPr>
            <w:webHidden/>
          </w:rPr>
        </w:r>
        <w:r w:rsidR="00951F6E">
          <w:rPr>
            <w:webHidden/>
          </w:rPr>
          <w:fldChar w:fldCharType="separate"/>
        </w:r>
        <w:r w:rsidR="00951F6E">
          <w:rPr>
            <w:webHidden/>
          </w:rPr>
          <w:t>10</w:t>
        </w:r>
        <w:r w:rsidR="00951F6E">
          <w:rPr>
            <w:webHidden/>
          </w:rPr>
          <w:fldChar w:fldCharType="end"/>
        </w:r>
      </w:hyperlink>
    </w:p>
    <w:p w14:paraId="052BC8E8" w14:textId="46E738FB" w:rsidR="00951F6E" w:rsidRDefault="00A2515E">
      <w:pPr>
        <w:pStyle w:val="TOC2"/>
        <w:rPr>
          <w:rFonts w:eastAsiaTheme="minorEastAsia" w:cstheme="minorBidi"/>
          <w:b w:val="0"/>
          <w:caps w:val="0"/>
          <w:color w:val="auto"/>
          <w:kern w:val="2"/>
          <w:sz w:val="22"/>
          <w:szCs w:val="22"/>
          <w14:ligatures w14:val="standardContextual"/>
        </w:rPr>
      </w:pPr>
      <w:hyperlink w:anchor="_Toc179797294" w:history="1">
        <w:r w:rsidR="00951F6E" w:rsidRPr="00940B78">
          <w:rPr>
            <w:rStyle w:val="Hyperlink"/>
          </w:rPr>
          <w:t>Summary</w:t>
        </w:r>
        <w:r w:rsidR="00951F6E">
          <w:rPr>
            <w:webHidden/>
          </w:rPr>
          <w:tab/>
        </w:r>
        <w:r w:rsidR="00951F6E">
          <w:rPr>
            <w:webHidden/>
          </w:rPr>
          <w:fldChar w:fldCharType="begin"/>
        </w:r>
        <w:r w:rsidR="00951F6E">
          <w:rPr>
            <w:webHidden/>
          </w:rPr>
          <w:instrText xml:space="preserve"> PAGEREF _Toc179797294 \h </w:instrText>
        </w:r>
        <w:r w:rsidR="00951F6E">
          <w:rPr>
            <w:webHidden/>
          </w:rPr>
        </w:r>
        <w:r w:rsidR="00951F6E">
          <w:rPr>
            <w:webHidden/>
          </w:rPr>
          <w:fldChar w:fldCharType="separate"/>
        </w:r>
        <w:r w:rsidR="00951F6E">
          <w:rPr>
            <w:webHidden/>
          </w:rPr>
          <w:t>10</w:t>
        </w:r>
        <w:r w:rsidR="00951F6E">
          <w:rPr>
            <w:webHidden/>
          </w:rPr>
          <w:fldChar w:fldCharType="end"/>
        </w:r>
      </w:hyperlink>
    </w:p>
    <w:p w14:paraId="7BC72D3E" w14:textId="23BE031A" w:rsidR="00951F6E" w:rsidRDefault="00A2515E">
      <w:pPr>
        <w:pStyle w:val="TOC1"/>
        <w:rPr>
          <w:rFonts w:eastAsiaTheme="minorEastAsia" w:cstheme="minorBidi"/>
          <w:b w:val="0"/>
          <w:caps w:val="0"/>
          <w:color w:val="auto"/>
          <w:kern w:val="2"/>
          <w:szCs w:val="22"/>
          <w14:ligatures w14:val="standardContextual"/>
        </w:rPr>
      </w:pPr>
      <w:hyperlink w:anchor="_Toc179797295" w:history="1">
        <w:r w:rsidR="00951F6E" w:rsidRPr="00940B78">
          <w:rPr>
            <w:rStyle w:val="Hyperlink"/>
            <w:kern w:val="28"/>
          </w:rPr>
          <w:t>INVESTMENT PROCESS</w:t>
        </w:r>
        <w:r w:rsidR="00951F6E">
          <w:rPr>
            <w:webHidden/>
          </w:rPr>
          <w:tab/>
        </w:r>
        <w:r w:rsidR="00951F6E">
          <w:rPr>
            <w:webHidden/>
          </w:rPr>
          <w:fldChar w:fldCharType="begin"/>
        </w:r>
        <w:r w:rsidR="00951F6E">
          <w:rPr>
            <w:webHidden/>
          </w:rPr>
          <w:instrText xml:space="preserve"> PAGEREF _Toc179797295 \h </w:instrText>
        </w:r>
        <w:r w:rsidR="00951F6E">
          <w:rPr>
            <w:webHidden/>
          </w:rPr>
        </w:r>
        <w:r w:rsidR="00951F6E">
          <w:rPr>
            <w:webHidden/>
          </w:rPr>
          <w:fldChar w:fldCharType="separate"/>
        </w:r>
        <w:r w:rsidR="00951F6E">
          <w:rPr>
            <w:webHidden/>
          </w:rPr>
          <w:t>11</w:t>
        </w:r>
        <w:r w:rsidR="00951F6E">
          <w:rPr>
            <w:webHidden/>
          </w:rPr>
          <w:fldChar w:fldCharType="end"/>
        </w:r>
      </w:hyperlink>
    </w:p>
    <w:p w14:paraId="231F8FDF" w14:textId="677502B6" w:rsidR="00951F6E" w:rsidRDefault="00A2515E">
      <w:pPr>
        <w:pStyle w:val="TOC2"/>
        <w:rPr>
          <w:rFonts w:eastAsiaTheme="minorEastAsia" w:cstheme="minorBidi"/>
          <w:b w:val="0"/>
          <w:caps w:val="0"/>
          <w:color w:val="auto"/>
          <w:kern w:val="2"/>
          <w:sz w:val="22"/>
          <w:szCs w:val="22"/>
          <w14:ligatures w14:val="standardContextual"/>
        </w:rPr>
      </w:pPr>
      <w:hyperlink w:anchor="_Toc179797296" w:history="1">
        <w:r w:rsidR="00951F6E" w:rsidRPr="00940B78">
          <w:rPr>
            <w:rStyle w:val="Hyperlink"/>
          </w:rPr>
          <w:t>Summary</w:t>
        </w:r>
        <w:r w:rsidR="00951F6E">
          <w:rPr>
            <w:webHidden/>
          </w:rPr>
          <w:tab/>
        </w:r>
        <w:r w:rsidR="00951F6E">
          <w:rPr>
            <w:webHidden/>
          </w:rPr>
          <w:fldChar w:fldCharType="begin"/>
        </w:r>
        <w:r w:rsidR="00951F6E">
          <w:rPr>
            <w:webHidden/>
          </w:rPr>
          <w:instrText xml:space="preserve"> PAGEREF _Toc179797296 \h </w:instrText>
        </w:r>
        <w:r w:rsidR="00951F6E">
          <w:rPr>
            <w:webHidden/>
          </w:rPr>
        </w:r>
        <w:r w:rsidR="00951F6E">
          <w:rPr>
            <w:webHidden/>
          </w:rPr>
          <w:fldChar w:fldCharType="separate"/>
        </w:r>
        <w:r w:rsidR="00951F6E">
          <w:rPr>
            <w:webHidden/>
          </w:rPr>
          <w:t>11</w:t>
        </w:r>
        <w:r w:rsidR="00951F6E">
          <w:rPr>
            <w:webHidden/>
          </w:rPr>
          <w:fldChar w:fldCharType="end"/>
        </w:r>
      </w:hyperlink>
    </w:p>
    <w:p w14:paraId="0CDF2AAB" w14:textId="465ECBBD" w:rsidR="00951F6E" w:rsidRDefault="00A2515E">
      <w:pPr>
        <w:pStyle w:val="TOC2"/>
        <w:rPr>
          <w:rFonts w:eastAsiaTheme="minorEastAsia" w:cstheme="minorBidi"/>
          <w:b w:val="0"/>
          <w:caps w:val="0"/>
          <w:color w:val="auto"/>
          <w:kern w:val="2"/>
          <w:sz w:val="22"/>
          <w:szCs w:val="22"/>
          <w14:ligatures w14:val="standardContextual"/>
        </w:rPr>
      </w:pPr>
      <w:hyperlink w:anchor="_Toc179797297" w:history="1">
        <w:r w:rsidR="00951F6E" w:rsidRPr="00940B78">
          <w:rPr>
            <w:rStyle w:val="Hyperlink"/>
          </w:rPr>
          <w:t>Investment Committee</w:t>
        </w:r>
        <w:r w:rsidR="00951F6E">
          <w:rPr>
            <w:webHidden/>
          </w:rPr>
          <w:tab/>
        </w:r>
        <w:r w:rsidR="00951F6E">
          <w:rPr>
            <w:webHidden/>
          </w:rPr>
          <w:fldChar w:fldCharType="begin"/>
        </w:r>
        <w:r w:rsidR="00951F6E">
          <w:rPr>
            <w:webHidden/>
          </w:rPr>
          <w:instrText xml:space="preserve"> PAGEREF _Toc179797297 \h </w:instrText>
        </w:r>
        <w:r w:rsidR="00951F6E">
          <w:rPr>
            <w:webHidden/>
          </w:rPr>
        </w:r>
        <w:r w:rsidR="00951F6E">
          <w:rPr>
            <w:webHidden/>
          </w:rPr>
          <w:fldChar w:fldCharType="separate"/>
        </w:r>
        <w:r w:rsidR="00951F6E">
          <w:rPr>
            <w:webHidden/>
          </w:rPr>
          <w:t>11</w:t>
        </w:r>
        <w:r w:rsidR="00951F6E">
          <w:rPr>
            <w:webHidden/>
          </w:rPr>
          <w:fldChar w:fldCharType="end"/>
        </w:r>
      </w:hyperlink>
    </w:p>
    <w:p w14:paraId="68748EA0" w14:textId="295505D4" w:rsidR="00951F6E" w:rsidRDefault="00A2515E">
      <w:pPr>
        <w:pStyle w:val="TOC2"/>
        <w:rPr>
          <w:rFonts w:eastAsiaTheme="minorEastAsia" w:cstheme="minorBidi"/>
          <w:b w:val="0"/>
          <w:caps w:val="0"/>
          <w:color w:val="auto"/>
          <w:kern w:val="2"/>
          <w:sz w:val="22"/>
          <w:szCs w:val="22"/>
          <w14:ligatures w14:val="standardContextual"/>
        </w:rPr>
      </w:pPr>
      <w:hyperlink w:anchor="_Toc179797298" w:history="1">
        <w:r w:rsidR="00951F6E" w:rsidRPr="00940B78">
          <w:rPr>
            <w:rStyle w:val="Hyperlink"/>
          </w:rPr>
          <w:t>Affiliate Fees</w:t>
        </w:r>
        <w:r w:rsidR="00951F6E">
          <w:rPr>
            <w:webHidden/>
          </w:rPr>
          <w:tab/>
        </w:r>
        <w:r w:rsidR="00951F6E">
          <w:rPr>
            <w:webHidden/>
          </w:rPr>
          <w:fldChar w:fldCharType="begin"/>
        </w:r>
        <w:r w:rsidR="00951F6E">
          <w:rPr>
            <w:webHidden/>
          </w:rPr>
          <w:instrText xml:space="preserve"> PAGEREF _Toc179797298 \h </w:instrText>
        </w:r>
        <w:r w:rsidR="00951F6E">
          <w:rPr>
            <w:webHidden/>
          </w:rPr>
        </w:r>
        <w:r w:rsidR="00951F6E">
          <w:rPr>
            <w:webHidden/>
          </w:rPr>
          <w:fldChar w:fldCharType="separate"/>
        </w:r>
        <w:r w:rsidR="00951F6E">
          <w:rPr>
            <w:webHidden/>
          </w:rPr>
          <w:t>11</w:t>
        </w:r>
        <w:r w:rsidR="00951F6E">
          <w:rPr>
            <w:webHidden/>
          </w:rPr>
          <w:fldChar w:fldCharType="end"/>
        </w:r>
      </w:hyperlink>
    </w:p>
    <w:p w14:paraId="5A908C48" w14:textId="43594909" w:rsidR="00951F6E" w:rsidRDefault="00A2515E">
      <w:pPr>
        <w:pStyle w:val="TOC2"/>
        <w:rPr>
          <w:rFonts w:eastAsiaTheme="minorEastAsia" w:cstheme="minorBidi"/>
          <w:b w:val="0"/>
          <w:caps w:val="0"/>
          <w:color w:val="auto"/>
          <w:kern w:val="2"/>
          <w:sz w:val="22"/>
          <w:szCs w:val="22"/>
          <w14:ligatures w14:val="standardContextual"/>
        </w:rPr>
      </w:pPr>
      <w:hyperlink w:anchor="_Toc179797299" w:history="1">
        <w:r w:rsidR="00951F6E" w:rsidRPr="00940B78">
          <w:rPr>
            <w:rStyle w:val="Hyperlink"/>
          </w:rPr>
          <w:t>Exclusivity/Allocations</w:t>
        </w:r>
        <w:r w:rsidR="00951F6E">
          <w:rPr>
            <w:webHidden/>
          </w:rPr>
          <w:tab/>
        </w:r>
        <w:r w:rsidR="00951F6E">
          <w:rPr>
            <w:webHidden/>
          </w:rPr>
          <w:fldChar w:fldCharType="begin"/>
        </w:r>
        <w:r w:rsidR="00951F6E">
          <w:rPr>
            <w:webHidden/>
          </w:rPr>
          <w:instrText xml:space="preserve"> PAGEREF _Toc179797299 \h </w:instrText>
        </w:r>
        <w:r w:rsidR="00951F6E">
          <w:rPr>
            <w:webHidden/>
          </w:rPr>
        </w:r>
        <w:r w:rsidR="00951F6E">
          <w:rPr>
            <w:webHidden/>
          </w:rPr>
          <w:fldChar w:fldCharType="separate"/>
        </w:r>
        <w:r w:rsidR="00951F6E">
          <w:rPr>
            <w:webHidden/>
          </w:rPr>
          <w:t>12</w:t>
        </w:r>
        <w:r w:rsidR="00951F6E">
          <w:rPr>
            <w:webHidden/>
          </w:rPr>
          <w:fldChar w:fldCharType="end"/>
        </w:r>
      </w:hyperlink>
    </w:p>
    <w:p w14:paraId="76627F2B" w14:textId="509D5CEA" w:rsidR="00951F6E" w:rsidRDefault="00A2515E">
      <w:pPr>
        <w:pStyle w:val="TOC2"/>
        <w:rPr>
          <w:rFonts w:eastAsiaTheme="minorEastAsia" w:cstheme="minorBidi"/>
          <w:b w:val="0"/>
          <w:caps w:val="0"/>
          <w:color w:val="auto"/>
          <w:kern w:val="2"/>
          <w:sz w:val="22"/>
          <w:szCs w:val="22"/>
          <w14:ligatures w14:val="standardContextual"/>
        </w:rPr>
      </w:pPr>
      <w:hyperlink w:anchor="_Toc179797300" w:history="1">
        <w:r w:rsidR="00951F6E" w:rsidRPr="00940B78">
          <w:rPr>
            <w:rStyle w:val="Hyperlink"/>
          </w:rPr>
          <w:t>Hedging</w:t>
        </w:r>
        <w:r w:rsidR="00951F6E">
          <w:rPr>
            <w:webHidden/>
          </w:rPr>
          <w:tab/>
        </w:r>
        <w:r w:rsidR="00951F6E">
          <w:rPr>
            <w:webHidden/>
          </w:rPr>
          <w:fldChar w:fldCharType="begin"/>
        </w:r>
        <w:r w:rsidR="00951F6E">
          <w:rPr>
            <w:webHidden/>
          </w:rPr>
          <w:instrText xml:space="preserve"> PAGEREF _Toc179797300 \h </w:instrText>
        </w:r>
        <w:r w:rsidR="00951F6E">
          <w:rPr>
            <w:webHidden/>
          </w:rPr>
        </w:r>
        <w:r w:rsidR="00951F6E">
          <w:rPr>
            <w:webHidden/>
          </w:rPr>
          <w:fldChar w:fldCharType="separate"/>
        </w:r>
        <w:r w:rsidR="00951F6E">
          <w:rPr>
            <w:webHidden/>
          </w:rPr>
          <w:t>12</w:t>
        </w:r>
        <w:r w:rsidR="00951F6E">
          <w:rPr>
            <w:webHidden/>
          </w:rPr>
          <w:fldChar w:fldCharType="end"/>
        </w:r>
      </w:hyperlink>
    </w:p>
    <w:p w14:paraId="3BB58CBB" w14:textId="2B953370" w:rsidR="00951F6E" w:rsidRDefault="00A2515E">
      <w:pPr>
        <w:pStyle w:val="TOC2"/>
        <w:rPr>
          <w:rFonts w:eastAsiaTheme="minorEastAsia" w:cstheme="minorBidi"/>
          <w:b w:val="0"/>
          <w:caps w:val="0"/>
          <w:color w:val="auto"/>
          <w:kern w:val="2"/>
          <w:sz w:val="22"/>
          <w:szCs w:val="22"/>
          <w14:ligatures w14:val="standardContextual"/>
        </w:rPr>
      </w:pPr>
      <w:hyperlink w:anchor="_Toc179797301" w:history="1">
        <w:r w:rsidR="00951F6E" w:rsidRPr="00940B78">
          <w:rPr>
            <w:rStyle w:val="Hyperlink"/>
          </w:rPr>
          <w:t>Valuations</w:t>
        </w:r>
        <w:r w:rsidR="00951F6E">
          <w:rPr>
            <w:webHidden/>
          </w:rPr>
          <w:tab/>
        </w:r>
        <w:r w:rsidR="00951F6E">
          <w:rPr>
            <w:webHidden/>
          </w:rPr>
          <w:fldChar w:fldCharType="begin"/>
        </w:r>
        <w:r w:rsidR="00951F6E">
          <w:rPr>
            <w:webHidden/>
          </w:rPr>
          <w:instrText xml:space="preserve"> PAGEREF _Toc179797301 \h </w:instrText>
        </w:r>
        <w:r w:rsidR="00951F6E">
          <w:rPr>
            <w:webHidden/>
          </w:rPr>
        </w:r>
        <w:r w:rsidR="00951F6E">
          <w:rPr>
            <w:webHidden/>
          </w:rPr>
          <w:fldChar w:fldCharType="separate"/>
        </w:r>
        <w:r w:rsidR="00951F6E">
          <w:rPr>
            <w:webHidden/>
          </w:rPr>
          <w:t>12</w:t>
        </w:r>
        <w:r w:rsidR="00951F6E">
          <w:rPr>
            <w:webHidden/>
          </w:rPr>
          <w:fldChar w:fldCharType="end"/>
        </w:r>
      </w:hyperlink>
    </w:p>
    <w:p w14:paraId="3EE4C25E" w14:textId="363DC3C2" w:rsidR="00951F6E" w:rsidRDefault="00A2515E">
      <w:pPr>
        <w:pStyle w:val="TOC1"/>
        <w:rPr>
          <w:rFonts w:eastAsiaTheme="minorEastAsia" w:cstheme="minorBidi"/>
          <w:b w:val="0"/>
          <w:caps w:val="0"/>
          <w:color w:val="auto"/>
          <w:kern w:val="2"/>
          <w:szCs w:val="22"/>
          <w14:ligatures w14:val="standardContextual"/>
        </w:rPr>
      </w:pPr>
      <w:hyperlink w:anchor="_Toc179797302" w:history="1">
        <w:r w:rsidR="00951F6E" w:rsidRPr="00940B78">
          <w:rPr>
            <w:rStyle w:val="Hyperlink"/>
          </w:rPr>
          <w:t>FUND STRUCTURE</w:t>
        </w:r>
        <w:r w:rsidR="00951F6E">
          <w:rPr>
            <w:webHidden/>
          </w:rPr>
          <w:tab/>
        </w:r>
        <w:r w:rsidR="00951F6E">
          <w:rPr>
            <w:webHidden/>
          </w:rPr>
          <w:fldChar w:fldCharType="begin"/>
        </w:r>
        <w:r w:rsidR="00951F6E">
          <w:rPr>
            <w:webHidden/>
          </w:rPr>
          <w:instrText xml:space="preserve"> PAGEREF _Toc179797302 \h </w:instrText>
        </w:r>
        <w:r w:rsidR="00951F6E">
          <w:rPr>
            <w:webHidden/>
          </w:rPr>
        </w:r>
        <w:r w:rsidR="00951F6E">
          <w:rPr>
            <w:webHidden/>
          </w:rPr>
          <w:fldChar w:fldCharType="separate"/>
        </w:r>
        <w:r w:rsidR="00951F6E">
          <w:rPr>
            <w:webHidden/>
          </w:rPr>
          <w:t>12</w:t>
        </w:r>
        <w:r w:rsidR="00951F6E">
          <w:rPr>
            <w:webHidden/>
          </w:rPr>
          <w:fldChar w:fldCharType="end"/>
        </w:r>
      </w:hyperlink>
    </w:p>
    <w:p w14:paraId="69016138" w14:textId="22C013E2" w:rsidR="00951F6E" w:rsidRDefault="00A2515E">
      <w:pPr>
        <w:pStyle w:val="TOC2"/>
        <w:rPr>
          <w:rFonts w:eastAsiaTheme="minorEastAsia" w:cstheme="minorBidi"/>
          <w:b w:val="0"/>
          <w:caps w:val="0"/>
          <w:color w:val="auto"/>
          <w:kern w:val="2"/>
          <w:sz w:val="22"/>
          <w:szCs w:val="22"/>
          <w14:ligatures w14:val="standardContextual"/>
        </w:rPr>
      </w:pPr>
      <w:hyperlink w:anchor="_Toc179797303" w:history="1">
        <w:r w:rsidR="00951F6E" w:rsidRPr="00940B78">
          <w:rPr>
            <w:rStyle w:val="Hyperlink"/>
          </w:rPr>
          <w:t>Key Terms</w:t>
        </w:r>
        <w:r w:rsidR="00951F6E">
          <w:rPr>
            <w:webHidden/>
          </w:rPr>
          <w:tab/>
        </w:r>
        <w:r w:rsidR="00951F6E">
          <w:rPr>
            <w:webHidden/>
          </w:rPr>
          <w:fldChar w:fldCharType="begin"/>
        </w:r>
        <w:r w:rsidR="00951F6E">
          <w:rPr>
            <w:webHidden/>
          </w:rPr>
          <w:instrText xml:space="preserve"> PAGEREF _Toc179797303 \h </w:instrText>
        </w:r>
        <w:r w:rsidR="00951F6E">
          <w:rPr>
            <w:webHidden/>
          </w:rPr>
        </w:r>
        <w:r w:rsidR="00951F6E">
          <w:rPr>
            <w:webHidden/>
          </w:rPr>
          <w:fldChar w:fldCharType="separate"/>
        </w:r>
        <w:r w:rsidR="00951F6E">
          <w:rPr>
            <w:webHidden/>
          </w:rPr>
          <w:t>13</w:t>
        </w:r>
        <w:r w:rsidR="00951F6E">
          <w:rPr>
            <w:webHidden/>
          </w:rPr>
          <w:fldChar w:fldCharType="end"/>
        </w:r>
      </w:hyperlink>
    </w:p>
    <w:p w14:paraId="74FB8FB6" w14:textId="27043D11" w:rsidR="00951F6E" w:rsidRDefault="00A2515E">
      <w:pPr>
        <w:pStyle w:val="TOC2"/>
        <w:rPr>
          <w:rFonts w:eastAsiaTheme="minorEastAsia" w:cstheme="minorBidi"/>
          <w:b w:val="0"/>
          <w:caps w:val="0"/>
          <w:color w:val="auto"/>
          <w:kern w:val="2"/>
          <w:sz w:val="22"/>
          <w:szCs w:val="22"/>
          <w14:ligatures w14:val="standardContextual"/>
        </w:rPr>
      </w:pPr>
      <w:hyperlink w:anchor="_Toc179797304" w:history="1">
        <w:r w:rsidR="00951F6E" w:rsidRPr="00940B78">
          <w:rPr>
            <w:rStyle w:val="Hyperlink"/>
          </w:rPr>
          <w:t>fees and Distributions</w:t>
        </w:r>
        <w:r w:rsidR="00951F6E">
          <w:rPr>
            <w:webHidden/>
          </w:rPr>
          <w:tab/>
        </w:r>
        <w:r w:rsidR="00951F6E">
          <w:rPr>
            <w:webHidden/>
          </w:rPr>
          <w:fldChar w:fldCharType="begin"/>
        </w:r>
        <w:r w:rsidR="00951F6E">
          <w:rPr>
            <w:webHidden/>
          </w:rPr>
          <w:instrText xml:space="preserve"> PAGEREF _Toc179797304 \h </w:instrText>
        </w:r>
        <w:r w:rsidR="00951F6E">
          <w:rPr>
            <w:webHidden/>
          </w:rPr>
        </w:r>
        <w:r w:rsidR="00951F6E">
          <w:rPr>
            <w:webHidden/>
          </w:rPr>
          <w:fldChar w:fldCharType="separate"/>
        </w:r>
        <w:r w:rsidR="00951F6E">
          <w:rPr>
            <w:webHidden/>
          </w:rPr>
          <w:t>13</w:t>
        </w:r>
        <w:r w:rsidR="00951F6E">
          <w:rPr>
            <w:webHidden/>
          </w:rPr>
          <w:fldChar w:fldCharType="end"/>
        </w:r>
      </w:hyperlink>
    </w:p>
    <w:p w14:paraId="71C5284F" w14:textId="2223A5E0" w:rsidR="00951F6E" w:rsidRDefault="00A2515E">
      <w:pPr>
        <w:pStyle w:val="TOC2"/>
        <w:rPr>
          <w:rFonts w:eastAsiaTheme="minorEastAsia" w:cstheme="minorBidi"/>
          <w:b w:val="0"/>
          <w:caps w:val="0"/>
          <w:color w:val="auto"/>
          <w:kern w:val="2"/>
          <w:sz w:val="22"/>
          <w:szCs w:val="22"/>
          <w14:ligatures w14:val="standardContextual"/>
        </w:rPr>
      </w:pPr>
      <w:hyperlink w:anchor="_Toc179797305" w:history="1">
        <w:r w:rsidR="00951F6E" w:rsidRPr="00940B78">
          <w:rPr>
            <w:rStyle w:val="Hyperlink"/>
          </w:rPr>
          <w:t>Fee Analysis</w:t>
        </w:r>
        <w:r w:rsidR="00951F6E">
          <w:rPr>
            <w:webHidden/>
          </w:rPr>
          <w:tab/>
        </w:r>
        <w:r w:rsidR="00951F6E">
          <w:rPr>
            <w:webHidden/>
          </w:rPr>
          <w:fldChar w:fldCharType="begin"/>
        </w:r>
        <w:r w:rsidR="00951F6E">
          <w:rPr>
            <w:webHidden/>
          </w:rPr>
          <w:instrText xml:space="preserve"> PAGEREF _Toc179797305 \h </w:instrText>
        </w:r>
        <w:r w:rsidR="00951F6E">
          <w:rPr>
            <w:webHidden/>
          </w:rPr>
        </w:r>
        <w:r w:rsidR="00951F6E">
          <w:rPr>
            <w:webHidden/>
          </w:rPr>
          <w:fldChar w:fldCharType="separate"/>
        </w:r>
        <w:r w:rsidR="00951F6E">
          <w:rPr>
            <w:webHidden/>
          </w:rPr>
          <w:t>14</w:t>
        </w:r>
        <w:r w:rsidR="00951F6E">
          <w:rPr>
            <w:webHidden/>
          </w:rPr>
          <w:fldChar w:fldCharType="end"/>
        </w:r>
      </w:hyperlink>
    </w:p>
    <w:p w14:paraId="33A84DD2" w14:textId="17EA4247" w:rsidR="00951F6E" w:rsidRDefault="00A2515E">
      <w:pPr>
        <w:pStyle w:val="TOC1"/>
        <w:rPr>
          <w:rFonts w:eastAsiaTheme="minorEastAsia" w:cstheme="minorBidi"/>
          <w:b w:val="0"/>
          <w:caps w:val="0"/>
          <w:color w:val="auto"/>
          <w:kern w:val="2"/>
          <w:szCs w:val="22"/>
          <w14:ligatures w14:val="standardContextual"/>
        </w:rPr>
      </w:pPr>
      <w:hyperlink w:anchor="_Toc179797306" w:history="1">
        <w:r w:rsidR="00951F6E" w:rsidRPr="00940B78">
          <w:rPr>
            <w:rStyle w:val="Hyperlink"/>
            <w:kern w:val="28"/>
          </w:rPr>
          <w:t>PERFORMANCE (as Of March 31, 2024)</w:t>
        </w:r>
        <w:r w:rsidR="00951F6E">
          <w:rPr>
            <w:webHidden/>
          </w:rPr>
          <w:tab/>
        </w:r>
        <w:r w:rsidR="00951F6E">
          <w:rPr>
            <w:webHidden/>
          </w:rPr>
          <w:fldChar w:fldCharType="begin"/>
        </w:r>
        <w:r w:rsidR="00951F6E">
          <w:rPr>
            <w:webHidden/>
          </w:rPr>
          <w:instrText xml:space="preserve"> PAGEREF _Toc179797306 \h </w:instrText>
        </w:r>
        <w:r w:rsidR="00951F6E">
          <w:rPr>
            <w:webHidden/>
          </w:rPr>
        </w:r>
        <w:r w:rsidR="00951F6E">
          <w:rPr>
            <w:webHidden/>
          </w:rPr>
          <w:fldChar w:fldCharType="separate"/>
        </w:r>
        <w:r w:rsidR="00951F6E">
          <w:rPr>
            <w:webHidden/>
          </w:rPr>
          <w:t>15</w:t>
        </w:r>
        <w:r w:rsidR="00951F6E">
          <w:rPr>
            <w:webHidden/>
          </w:rPr>
          <w:fldChar w:fldCharType="end"/>
        </w:r>
      </w:hyperlink>
    </w:p>
    <w:p w14:paraId="5ABE3326" w14:textId="4EA17819" w:rsidR="00951F6E" w:rsidRDefault="00A2515E">
      <w:pPr>
        <w:pStyle w:val="TOC2"/>
        <w:rPr>
          <w:rFonts w:eastAsiaTheme="minorEastAsia" w:cstheme="minorBidi"/>
          <w:b w:val="0"/>
          <w:caps w:val="0"/>
          <w:color w:val="auto"/>
          <w:kern w:val="2"/>
          <w:sz w:val="22"/>
          <w:szCs w:val="22"/>
          <w14:ligatures w14:val="standardContextual"/>
        </w:rPr>
      </w:pPr>
      <w:hyperlink w:anchor="_Toc179797307" w:history="1">
        <w:r w:rsidR="00951F6E" w:rsidRPr="00940B78">
          <w:rPr>
            <w:rStyle w:val="Hyperlink"/>
          </w:rPr>
          <w:t>Logistics VAlue Ventures</w:t>
        </w:r>
        <w:r w:rsidR="00951F6E">
          <w:rPr>
            <w:webHidden/>
          </w:rPr>
          <w:tab/>
        </w:r>
        <w:r w:rsidR="00951F6E">
          <w:rPr>
            <w:webHidden/>
          </w:rPr>
          <w:fldChar w:fldCharType="begin"/>
        </w:r>
        <w:r w:rsidR="00951F6E">
          <w:rPr>
            <w:webHidden/>
          </w:rPr>
          <w:instrText xml:space="preserve"> PAGEREF _Toc179797307 \h </w:instrText>
        </w:r>
        <w:r w:rsidR="00951F6E">
          <w:rPr>
            <w:webHidden/>
          </w:rPr>
        </w:r>
        <w:r w:rsidR="00951F6E">
          <w:rPr>
            <w:webHidden/>
          </w:rPr>
          <w:fldChar w:fldCharType="separate"/>
        </w:r>
        <w:r w:rsidR="00951F6E">
          <w:rPr>
            <w:webHidden/>
          </w:rPr>
          <w:t>15</w:t>
        </w:r>
        <w:r w:rsidR="00951F6E">
          <w:rPr>
            <w:webHidden/>
          </w:rPr>
          <w:fldChar w:fldCharType="end"/>
        </w:r>
      </w:hyperlink>
    </w:p>
    <w:p w14:paraId="4DBD2C0B" w14:textId="043DEC5D" w:rsidR="00951F6E" w:rsidRDefault="00A2515E">
      <w:pPr>
        <w:pStyle w:val="TOC2"/>
        <w:rPr>
          <w:rFonts w:eastAsiaTheme="minorEastAsia" w:cstheme="minorBidi"/>
          <w:b w:val="0"/>
          <w:caps w:val="0"/>
          <w:color w:val="auto"/>
          <w:kern w:val="2"/>
          <w:sz w:val="22"/>
          <w:szCs w:val="22"/>
          <w14:ligatures w14:val="standardContextual"/>
        </w:rPr>
      </w:pPr>
      <w:hyperlink w:anchor="_Toc179797308" w:history="1">
        <w:r w:rsidR="00951F6E" w:rsidRPr="00940B78">
          <w:rPr>
            <w:rStyle w:val="Hyperlink"/>
          </w:rPr>
          <w:t>BLV I - Vintage Peer Comparison</w:t>
        </w:r>
        <w:r w:rsidR="00951F6E">
          <w:rPr>
            <w:webHidden/>
          </w:rPr>
          <w:tab/>
        </w:r>
        <w:r w:rsidR="00951F6E">
          <w:rPr>
            <w:webHidden/>
          </w:rPr>
          <w:fldChar w:fldCharType="begin"/>
        </w:r>
        <w:r w:rsidR="00951F6E">
          <w:rPr>
            <w:webHidden/>
          </w:rPr>
          <w:instrText xml:space="preserve"> PAGEREF _Toc179797308 \h </w:instrText>
        </w:r>
        <w:r w:rsidR="00951F6E">
          <w:rPr>
            <w:webHidden/>
          </w:rPr>
        </w:r>
        <w:r w:rsidR="00951F6E">
          <w:rPr>
            <w:webHidden/>
          </w:rPr>
          <w:fldChar w:fldCharType="separate"/>
        </w:r>
        <w:r w:rsidR="00951F6E">
          <w:rPr>
            <w:webHidden/>
          </w:rPr>
          <w:t>16</w:t>
        </w:r>
        <w:r w:rsidR="00951F6E">
          <w:rPr>
            <w:webHidden/>
          </w:rPr>
          <w:fldChar w:fldCharType="end"/>
        </w:r>
      </w:hyperlink>
    </w:p>
    <w:p w14:paraId="6D4F89C5" w14:textId="07B6555D" w:rsidR="00951F6E" w:rsidRDefault="00A2515E">
      <w:pPr>
        <w:pStyle w:val="TOC2"/>
        <w:rPr>
          <w:rFonts w:eastAsiaTheme="minorEastAsia" w:cstheme="minorBidi"/>
          <w:b w:val="0"/>
          <w:caps w:val="0"/>
          <w:color w:val="auto"/>
          <w:kern w:val="2"/>
          <w:sz w:val="22"/>
          <w:szCs w:val="22"/>
          <w14:ligatures w14:val="standardContextual"/>
        </w:rPr>
      </w:pPr>
      <w:hyperlink w:anchor="_Toc179797309" w:history="1">
        <w:r w:rsidR="00951F6E" w:rsidRPr="00940B78">
          <w:rPr>
            <w:rStyle w:val="Hyperlink"/>
          </w:rPr>
          <w:t>BLV I – Index Comparison</w:t>
        </w:r>
        <w:r w:rsidR="00951F6E">
          <w:rPr>
            <w:webHidden/>
          </w:rPr>
          <w:tab/>
        </w:r>
        <w:r w:rsidR="00951F6E">
          <w:rPr>
            <w:webHidden/>
          </w:rPr>
          <w:fldChar w:fldCharType="begin"/>
        </w:r>
        <w:r w:rsidR="00951F6E">
          <w:rPr>
            <w:webHidden/>
          </w:rPr>
          <w:instrText xml:space="preserve"> PAGEREF _Toc179797309 \h </w:instrText>
        </w:r>
        <w:r w:rsidR="00951F6E">
          <w:rPr>
            <w:webHidden/>
          </w:rPr>
        </w:r>
        <w:r w:rsidR="00951F6E">
          <w:rPr>
            <w:webHidden/>
          </w:rPr>
          <w:fldChar w:fldCharType="separate"/>
        </w:r>
        <w:r w:rsidR="00951F6E">
          <w:rPr>
            <w:webHidden/>
          </w:rPr>
          <w:t>16</w:t>
        </w:r>
        <w:r w:rsidR="00951F6E">
          <w:rPr>
            <w:webHidden/>
          </w:rPr>
          <w:fldChar w:fldCharType="end"/>
        </w:r>
      </w:hyperlink>
    </w:p>
    <w:p w14:paraId="1F653A5D" w14:textId="3763B4E4" w:rsidR="00951F6E" w:rsidRDefault="00A2515E">
      <w:pPr>
        <w:pStyle w:val="TOC2"/>
        <w:rPr>
          <w:rFonts w:eastAsiaTheme="minorEastAsia" w:cstheme="minorBidi"/>
          <w:b w:val="0"/>
          <w:caps w:val="0"/>
          <w:color w:val="auto"/>
          <w:kern w:val="2"/>
          <w:sz w:val="22"/>
          <w:szCs w:val="22"/>
          <w14:ligatures w14:val="standardContextual"/>
        </w:rPr>
      </w:pPr>
      <w:hyperlink w:anchor="_Toc179797310" w:history="1">
        <w:r w:rsidR="00951F6E" w:rsidRPr="00940B78">
          <w:rPr>
            <w:rStyle w:val="Hyperlink"/>
          </w:rPr>
          <w:t>Other Development Activity</w:t>
        </w:r>
        <w:r w:rsidR="00951F6E">
          <w:rPr>
            <w:webHidden/>
          </w:rPr>
          <w:tab/>
        </w:r>
        <w:r w:rsidR="00951F6E">
          <w:rPr>
            <w:webHidden/>
          </w:rPr>
          <w:fldChar w:fldCharType="begin"/>
        </w:r>
        <w:r w:rsidR="00951F6E">
          <w:rPr>
            <w:webHidden/>
          </w:rPr>
          <w:instrText xml:space="preserve"> PAGEREF _Toc179797310 \h </w:instrText>
        </w:r>
        <w:r w:rsidR="00951F6E">
          <w:rPr>
            <w:webHidden/>
          </w:rPr>
        </w:r>
        <w:r w:rsidR="00951F6E">
          <w:rPr>
            <w:webHidden/>
          </w:rPr>
          <w:fldChar w:fldCharType="separate"/>
        </w:r>
        <w:r w:rsidR="00951F6E">
          <w:rPr>
            <w:webHidden/>
          </w:rPr>
          <w:t>17</w:t>
        </w:r>
        <w:r w:rsidR="00951F6E">
          <w:rPr>
            <w:webHidden/>
          </w:rPr>
          <w:fldChar w:fldCharType="end"/>
        </w:r>
      </w:hyperlink>
    </w:p>
    <w:p w14:paraId="328977B8" w14:textId="097CB590" w:rsidR="0093570A" w:rsidRPr="009E228B" w:rsidRDefault="00AB292D" w:rsidP="003E0EEA">
      <w:pPr>
        <w:pStyle w:val="BodyText"/>
        <w:spacing w:before="0" w:after="60"/>
        <w:ind w:firstLine="0"/>
        <w:rPr>
          <w:sz w:val="18"/>
          <w:szCs w:val="18"/>
        </w:rPr>
      </w:pPr>
      <w:r w:rsidRPr="001912C2">
        <w:rPr>
          <w:sz w:val="18"/>
          <w:szCs w:val="18"/>
        </w:rPr>
        <w:fldChar w:fldCharType="end"/>
      </w:r>
    </w:p>
    <w:p w14:paraId="25A8AD90" w14:textId="42B1EDAB" w:rsidR="0096685A" w:rsidRPr="00F672E0" w:rsidRDefault="0096685A" w:rsidP="004654C1">
      <w:pPr>
        <w:pStyle w:val="BodyText"/>
        <w:spacing w:before="0"/>
        <w:ind w:firstLine="0"/>
        <w:rPr>
          <w:b/>
          <w:caps/>
          <w:color w:val="00355D"/>
          <w:sz w:val="16"/>
          <w:szCs w:val="16"/>
        </w:rPr>
      </w:pPr>
      <w:r w:rsidRPr="00F672E0">
        <w:rPr>
          <w:b/>
          <w:caps/>
          <w:color w:val="00355D"/>
          <w:sz w:val="16"/>
          <w:szCs w:val="16"/>
        </w:rPr>
        <w:t xml:space="preserve">Exhibit </w:t>
      </w:r>
      <w:r w:rsidR="000761E8" w:rsidRPr="00F672E0">
        <w:rPr>
          <w:b/>
          <w:caps/>
          <w:color w:val="00355D"/>
          <w:sz w:val="16"/>
          <w:szCs w:val="16"/>
        </w:rPr>
        <w:t>A</w:t>
      </w:r>
      <w:r w:rsidRPr="00F672E0">
        <w:rPr>
          <w:b/>
          <w:caps/>
          <w:color w:val="00355D"/>
          <w:sz w:val="16"/>
          <w:szCs w:val="16"/>
        </w:rPr>
        <w:t xml:space="preserve">: </w:t>
      </w:r>
      <w:r w:rsidR="003C47DA">
        <w:rPr>
          <w:b/>
          <w:caps/>
          <w:color w:val="00355D"/>
          <w:sz w:val="16"/>
          <w:szCs w:val="16"/>
        </w:rPr>
        <w:t>Pipeline</w:t>
      </w:r>
      <w:r w:rsidR="00A67708">
        <w:rPr>
          <w:b/>
          <w:caps/>
          <w:color w:val="00355D"/>
          <w:sz w:val="16"/>
          <w:szCs w:val="16"/>
        </w:rPr>
        <w:tab/>
      </w:r>
      <w:r w:rsidR="00A67708">
        <w:rPr>
          <w:b/>
          <w:caps/>
          <w:color w:val="00355D"/>
          <w:sz w:val="16"/>
          <w:szCs w:val="16"/>
        </w:rPr>
        <w:tab/>
      </w:r>
      <w:r w:rsidR="00A67708">
        <w:rPr>
          <w:b/>
          <w:caps/>
          <w:color w:val="00355D"/>
          <w:sz w:val="16"/>
          <w:szCs w:val="16"/>
        </w:rPr>
        <w:tab/>
      </w:r>
      <w:r w:rsidR="00A67708">
        <w:rPr>
          <w:b/>
          <w:caps/>
          <w:color w:val="00355D"/>
          <w:sz w:val="16"/>
          <w:szCs w:val="16"/>
        </w:rPr>
        <w:tab/>
      </w:r>
      <w:r w:rsidR="00A67708">
        <w:rPr>
          <w:b/>
          <w:caps/>
          <w:color w:val="00355D"/>
          <w:sz w:val="16"/>
          <w:szCs w:val="16"/>
        </w:rPr>
        <w:tab/>
      </w:r>
      <w:r w:rsidR="00A67708">
        <w:rPr>
          <w:b/>
          <w:caps/>
          <w:color w:val="00355D"/>
          <w:sz w:val="16"/>
          <w:szCs w:val="16"/>
        </w:rPr>
        <w:tab/>
      </w:r>
      <w:r w:rsidR="00A67708">
        <w:rPr>
          <w:b/>
          <w:caps/>
          <w:color w:val="00355D"/>
          <w:sz w:val="16"/>
          <w:szCs w:val="16"/>
        </w:rPr>
        <w:tab/>
        <w:t>Exhibit H:</w:t>
      </w:r>
      <w:r w:rsidR="0085128A">
        <w:rPr>
          <w:b/>
          <w:caps/>
          <w:color w:val="00355D"/>
          <w:sz w:val="16"/>
          <w:szCs w:val="16"/>
        </w:rPr>
        <w:t xml:space="preserve"> Strategy Allocation Guidelines</w:t>
      </w:r>
    </w:p>
    <w:p w14:paraId="20D3E074" w14:textId="0A81A629" w:rsidR="00646C96" w:rsidRPr="00F672E0" w:rsidRDefault="00A41CAC" w:rsidP="00A67708">
      <w:pPr>
        <w:pStyle w:val="BodyText"/>
        <w:spacing w:before="0"/>
        <w:ind w:firstLine="0"/>
        <w:rPr>
          <w:b/>
          <w:caps/>
          <w:color w:val="00355D"/>
          <w:sz w:val="16"/>
          <w:szCs w:val="16"/>
        </w:rPr>
      </w:pPr>
      <w:r w:rsidRPr="00F672E0">
        <w:rPr>
          <w:b/>
          <w:caps/>
          <w:color w:val="00355D"/>
          <w:sz w:val="16"/>
          <w:szCs w:val="16"/>
        </w:rPr>
        <w:t xml:space="preserve">Exhibit B: </w:t>
      </w:r>
      <w:r w:rsidR="0085128A">
        <w:rPr>
          <w:b/>
          <w:caps/>
          <w:color w:val="00355D"/>
          <w:sz w:val="16"/>
          <w:szCs w:val="16"/>
        </w:rPr>
        <w:t>Bridge Corporate Structure Chart</w:t>
      </w:r>
      <w:r w:rsidR="00A67708">
        <w:rPr>
          <w:b/>
          <w:caps/>
          <w:color w:val="00355D"/>
          <w:sz w:val="16"/>
          <w:szCs w:val="16"/>
        </w:rPr>
        <w:tab/>
      </w:r>
      <w:r w:rsidR="00A67708">
        <w:rPr>
          <w:b/>
          <w:caps/>
          <w:color w:val="00355D"/>
          <w:sz w:val="16"/>
          <w:szCs w:val="16"/>
        </w:rPr>
        <w:tab/>
      </w:r>
      <w:r w:rsidR="00A67708">
        <w:rPr>
          <w:b/>
          <w:caps/>
          <w:color w:val="00355D"/>
          <w:sz w:val="16"/>
          <w:szCs w:val="16"/>
        </w:rPr>
        <w:tab/>
      </w:r>
      <w:r w:rsidR="00A67708">
        <w:rPr>
          <w:b/>
          <w:caps/>
          <w:color w:val="00355D"/>
          <w:sz w:val="16"/>
          <w:szCs w:val="16"/>
        </w:rPr>
        <w:tab/>
      </w:r>
      <w:r w:rsidR="0056308F">
        <w:rPr>
          <w:b/>
          <w:caps/>
          <w:color w:val="00355D"/>
          <w:sz w:val="16"/>
          <w:szCs w:val="16"/>
        </w:rPr>
        <w:t>Exhibit I:</w:t>
      </w:r>
      <w:r w:rsidR="0085128A">
        <w:rPr>
          <w:b/>
          <w:caps/>
          <w:color w:val="00355D"/>
          <w:sz w:val="16"/>
          <w:szCs w:val="16"/>
        </w:rPr>
        <w:t xml:space="preserve"> </w:t>
      </w:r>
      <w:r w:rsidR="00045C3B">
        <w:rPr>
          <w:b/>
          <w:caps/>
          <w:color w:val="00355D"/>
          <w:sz w:val="16"/>
          <w:szCs w:val="16"/>
        </w:rPr>
        <w:t>BLV</w:t>
      </w:r>
      <w:r w:rsidR="0085128A">
        <w:rPr>
          <w:b/>
          <w:caps/>
          <w:color w:val="00355D"/>
          <w:sz w:val="16"/>
          <w:szCs w:val="16"/>
        </w:rPr>
        <w:t xml:space="preserve"> I Asset Management Summary</w:t>
      </w:r>
    </w:p>
    <w:p w14:paraId="0E2EDE42" w14:textId="42B82891" w:rsidR="00045C3B" w:rsidRPr="00F672E0" w:rsidRDefault="00C502DE" w:rsidP="004654C1">
      <w:pPr>
        <w:pStyle w:val="BodyText"/>
        <w:spacing w:before="0"/>
        <w:ind w:firstLine="0"/>
        <w:rPr>
          <w:b/>
          <w:caps/>
          <w:color w:val="00355D"/>
          <w:sz w:val="16"/>
          <w:szCs w:val="16"/>
        </w:rPr>
      </w:pPr>
      <w:r w:rsidRPr="00F672E0">
        <w:rPr>
          <w:b/>
          <w:caps/>
          <w:color w:val="00355D"/>
          <w:sz w:val="16"/>
          <w:szCs w:val="16"/>
        </w:rPr>
        <w:t xml:space="preserve">Exhibit </w:t>
      </w:r>
      <w:r w:rsidR="00A41CAC" w:rsidRPr="00F672E0">
        <w:rPr>
          <w:b/>
          <w:caps/>
          <w:color w:val="00355D"/>
          <w:sz w:val="16"/>
          <w:szCs w:val="16"/>
        </w:rPr>
        <w:t>c</w:t>
      </w:r>
      <w:r w:rsidRPr="00F672E0">
        <w:rPr>
          <w:b/>
          <w:caps/>
          <w:color w:val="00355D"/>
          <w:sz w:val="16"/>
          <w:szCs w:val="16"/>
        </w:rPr>
        <w:t xml:space="preserve">: </w:t>
      </w:r>
      <w:r w:rsidR="0085128A">
        <w:rPr>
          <w:b/>
          <w:caps/>
          <w:color w:val="00355D"/>
          <w:sz w:val="16"/>
          <w:szCs w:val="16"/>
        </w:rPr>
        <w:t>Bridge Organizational Chart</w:t>
      </w:r>
      <w:r w:rsidR="00A67708">
        <w:rPr>
          <w:b/>
          <w:caps/>
          <w:color w:val="00355D"/>
          <w:sz w:val="16"/>
          <w:szCs w:val="16"/>
        </w:rPr>
        <w:tab/>
      </w:r>
      <w:r w:rsidR="00A67708">
        <w:rPr>
          <w:b/>
          <w:caps/>
          <w:color w:val="00355D"/>
          <w:sz w:val="16"/>
          <w:szCs w:val="16"/>
        </w:rPr>
        <w:tab/>
      </w:r>
      <w:r w:rsidR="00A67708">
        <w:rPr>
          <w:b/>
          <w:caps/>
          <w:color w:val="00355D"/>
          <w:sz w:val="16"/>
          <w:szCs w:val="16"/>
        </w:rPr>
        <w:tab/>
      </w:r>
      <w:r w:rsidR="00A67708">
        <w:rPr>
          <w:b/>
          <w:caps/>
          <w:color w:val="00355D"/>
          <w:sz w:val="16"/>
          <w:szCs w:val="16"/>
        </w:rPr>
        <w:tab/>
      </w:r>
      <w:r w:rsidR="0056308F">
        <w:rPr>
          <w:b/>
          <w:caps/>
          <w:color w:val="00355D"/>
          <w:sz w:val="16"/>
          <w:szCs w:val="16"/>
        </w:rPr>
        <w:t>Exhibit J:</w:t>
      </w:r>
      <w:r w:rsidR="00045C3B">
        <w:rPr>
          <w:b/>
          <w:caps/>
          <w:color w:val="00355D"/>
          <w:sz w:val="16"/>
          <w:szCs w:val="16"/>
        </w:rPr>
        <w:t xml:space="preserve"> BLV I </w:t>
      </w:r>
      <w:r w:rsidR="0085128A">
        <w:rPr>
          <w:b/>
          <w:caps/>
          <w:color w:val="00355D"/>
          <w:sz w:val="16"/>
          <w:szCs w:val="16"/>
        </w:rPr>
        <w:t>Deal-by-Deal Performance Info</w:t>
      </w:r>
    </w:p>
    <w:p w14:paraId="53173FBC" w14:textId="61F05EF3" w:rsidR="00AE1303" w:rsidRPr="00F672E0" w:rsidRDefault="00AB3F12" w:rsidP="00AE1303">
      <w:pPr>
        <w:pStyle w:val="BodyText"/>
        <w:spacing w:before="0"/>
        <w:ind w:firstLine="0"/>
        <w:rPr>
          <w:b/>
          <w:caps/>
          <w:color w:val="00355D"/>
          <w:sz w:val="16"/>
          <w:szCs w:val="16"/>
        </w:rPr>
      </w:pPr>
      <w:bookmarkStart w:id="0" w:name="_Toc413830785"/>
      <w:r w:rsidRPr="00F672E0">
        <w:rPr>
          <w:b/>
          <w:caps/>
          <w:color w:val="00355D"/>
          <w:sz w:val="16"/>
          <w:szCs w:val="16"/>
        </w:rPr>
        <w:t xml:space="preserve">Exhibit </w:t>
      </w:r>
      <w:r w:rsidR="00A41CAC" w:rsidRPr="00F672E0">
        <w:rPr>
          <w:b/>
          <w:caps/>
          <w:color w:val="00355D"/>
          <w:sz w:val="16"/>
          <w:szCs w:val="16"/>
        </w:rPr>
        <w:t>d</w:t>
      </w:r>
      <w:r w:rsidR="000761E8" w:rsidRPr="00F672E0">
        <w:rPr>
          <w:b/>
          <w:caps/>
          <w:color w:val="00355D"/>
          <w:sz w:val="16"/>
          <w:szCs w:val="16"/>
        </w:rPr>
        <w:t>:</w:t>
      </w:r>
      <w:r w:rsidR="00EF58CA" w:rsidRPr="00F672E0">
        <w:rPr>
          <w:b/>
          <w:caps/>
          <w:color w:val="00355D"/>
          <w:sz w:val="16"/>
          <w:szCs w:val="16"/>
        </w:rPr>
        <w:t xml:space="preserve"> </w:t>
      </w:r>
      <w:r w:rsidR="0085128A">
        <w:rPr>
          <w:b/>
          <w:caps/>
          <w:color w:val="00355D"/>
          <w:sz w:val="16"/>
          <w:szCs w:val="16"/>
        </w:rPr>
        <w:t>BLP Organizational Info</w:t>
      </w:r>
      <w:r w:rsidR="0056308F">
        <w:rPr>
          <w:b/>
          <w:caps/>
          <w:color w:val="00355D"/>
          <w:sz w:val="16"/>
          <w:szCs w:val="16"/>
        </w:rPr>
        <w:tab/>
      </w:r>
      <w:r w:rsidR="0056308F">
        <w:rPr>
          <w:b/>
          <w:caps/>
          <w:color w:val="00355D"/>
          <w:sz w:val="16"/>
          <w:szCs w:val="16"/>
        </w:rPr>
        <w:tab/>
      </w:r>
      <w:r w:rsidR="0056308F">
        <w:rPr>
          <w:b/>
          <w:caps/>
          <w:color w:val="00355D"/>
          <w:sz w:val="16"/>
          <w:szCs w:val="16"/>
        </w:rPr>
        <w:tab/>
      </w:r>
      <w:r w:rsidR="0056308F">
        <w:rPr>
          <w:b/>
          <w:caps/>
          <w:color w:val="00355D"/>
          <w:sz w:val="16"/>
          <w:szCs w:val="16"/>
        </w:rPr>
        <w:tab/>
      </w:r>
      <w:r w:rsidR="0056308F">
        <w:rPr>
          <w:b/>
          <w:caps/>
          <w:color w:val="00355D"/>
          <w:sz w:val="16"/>
          <w:szCs w:val="16"/>
        </w:rPr>
        <w:tab/>
      </w:r>
      <w:r w:rsidR="00EF551F">
        <w:rPr>
          <w:b/>
          <w:caps/>
          <w:color w:val="00355D"/>
          <w:sz w:val="16"/>
          <w:szCs w:val="16"/>
        </w:rPr>
        <w:t>Exhibit K: BLP Development Transactions</w:t>
      </w:r>
    </w:p>
    <w:p w14:paraId="0C03C442" w14:textId="4F99349E" w:rsidR="002A57E0" w:rsidRPr="00F672E0" w:rsidRDefault="009A3292" w:rsidP="00AE1303">
      <w:pPr>
        <w:pStyle w:val="BodyText"/>
        <w:spacing w:before="0"/>
        <w:ind w:firstLine="0"/>
        <w:rPr>
          <w:b/>
          <w:caps/>
          <w:color w:val="00355D"/>
          <w:sz w:val="16"/>
          <w:szCs w:val="16"/>
          <w:highlight w:val="yellow"/>
        </w:rPr>
      </w:pPr>
      <w:r w:rsidRPr="00F672E0">
        <w:rPr>
          <w:b/>
          <w:caps/>
          <w:color w:val="00355D"/>
          <w:sz w:val="16"/>
          <w:szCs w:val="16"/>
        </w:rPr>
        <w:t xml:space="preserve">Exhibit </w:t>
      </w:r>
      <w:r w:rsidR="00A41CAC" w:rsidRPr="00F672E0">
        <w:rPr>
          <w:b/>
          <w:caps/>
          <w:color w:val="00355D"/>
          <w:sz w:val="16"/>
          <w:szCs w:val="16"/>
        </w:rPr>
        <w:t>E</w:t>
      </w:r>
      <w:r w:rsidRPr="00F672E0">
        <w:rPr>
          <w:b/>
          <w:caps/>
          <w:color w:val="00355D"/>
          <w:sz w:val="16"/>
          <w:szCs w:val="16"/>
        </w:rPr>
        <w:t>: Senior Personnel Biographies</w:t>
      </w:r>
      <w:r w:rsidR="000E481E">
        <w:rPr>
          <w:b/>
          <w:caps/>
          <w:color w:val="00355D"/>
          <w:sz w:val="16"/>
          <w:szCs w:val="16"/>
        </w:rPr>
        <w:tab/>
      </w:r>
      <w:r w:rsidR="000E481E">
        <w:rPr>
          <w:b/>
          <w:caps/>
          <w:color w:val="00355D"/>
          <w:sz w:val="16"/>
          <w:szCs w:val="16"/>
        </w:rPr>
        <w:tab/>
      </w:r>
      <w:r w:rsidR="000E481E">
        <w:rPr>
          <w:b/>
          <w:caps/>
          <w:color w:val="00355D"/>
          <w:sz w:val="16"/>
          <w:szCs w:val="16"/>
        </w:rPr>
        <w:tab/>
      </w:r>
      <w:r w:rsidR="000E481E">
        <w:rPr>
          <w:b/>
          <w:caps/>
          <w:color w:val="00355D"/>
          <w:sz w:val="16"/>
          <w:szCs w:val="16"/>
        </w:rPr>
        <w:tab/>
        <w:t>Appendix: Rating Rationale</w:t>
      </w:r>
    </w:p>
    <w:p w14:paraId="57DA1349" w14:textId="0D77F823" w:rsidR="0008336C" w:rsidRDefault="0096685A" w:rsidP="00A63510">
      <w:pPr>
        <w:pStyle w:val="BodyText"/>
        <w:spacing w:before="0"/>
        <w:ind w:firstLine="0"/>
        <w:rPr>
          <w:b/>
          <w:caps/>
          <w:color w:val="00355D"/>
          <w:sz w:val="16"/>
          <w:szCs w:val="16"/>
        </w:rPr>
      </w:pPr>
      <w:r w:rsidRPr="00F672E0">
        <w:rPr>
          <w:b/>
          <w:caps/>
          <w:color w:val="00355D"/>
          <w:sz w:val="16"/>
          <w:szCs w:val="16"/>
        </w:rPr>
        <w:t xml:space="preserve">Exhibit </w:t>
      </w:r>
      <w:r w:rsidR="006F7F33" w:rsidRPr="00F672E0">
        <w:rPr>
          <w:b/>
          <w:caps/>
          <w:color w:val="00355D"/>
          <w:sz w:val="16"/>
          <w:szCs w:val="16"/>
        </w:rPr>
        <w:t>F</w:t>
      </w:r>
      <w:r w:rsidR="00891F1F" w:rsidRPr="00F672E0">
        <w:rPr>
          <w:b/>
          <w:caps/>
          <w:color w:val="00355D"/>
          <w:sz w:val="16"/>
          <w:szCs w:val="16"/>
        </w:rPr>
        <w:t>:</w:t>
      </w:r>
      <w:r w:rsidRPr="00F672E0">
        <w:rPr>
          <w:b/>
          <w:caps/>
          <w:color w:val="00355D"/>
          <w:sz w:val="16"/>
          <w:szCs w:val="16"/>
        </w:rPr>
        <w:t xml:space="preserve"> </w:t>
      </w:r>
      <w:r w:rsidR="0085128A">
        <w:rPr>
          <w:b/>
          <w:caps/>
          <w:color w:val="00355D"/>
          <w:sz w:val="16"/>
          <w:szCs w:val="16"/>
        </w:rPr>
        <w:t>Project Approval Process</w:t>
      </w:r>
    </w:p>
    <w:p w14:paraId="6422CD15" w14:textId="3AFA42D4" w:rsidR="00942409" w:rsidRPr="00F672E0" w:rsidRDefault="007B6C78" w:rsidP="00A63510">
      <w:pPr>
        <w:pStyle w:val="BodyText"/>
        <w:spacing w:before="0"/>
        <w:ind w:firstLine="0"/>
        <w:rPr>
          <w:b/>
          <w:caps/>
          <w:color w:val="00355D"/>
          <w:sz w:val="16"/>
          <w:szCs w:val="16"/>
        </w:rPr>
        <w:sectPr w:rsidR="00942409" w:rsidRPr="00F672E0" w:rsidSect="003762DF">
          <w:headerReference w:type="default" r:id="rId13"/>
          <w:footerReference w:type="default" r:id="rId14"/>
          <w:pgSz w:w="12240" w:h="15840" w:code="1"/>
          <w:pgMar w:top="576" w:right="1008" w:bottom="1008" w:left="1008" w:header="144" w:footer="144" w:gutter="0"/>
          <w:pgNumType w:start="1"/>
          <w:cols w:space="720"/>
          <w:docGrid w:linePitch="299"/>
        </w:sectPr>
      </w:pPr>
      <w:r>
        <w:rPr>
          <w:b/>
          <w:caps/>
          <w:color w:val="00355D"/>
          <w:sz w:val="16"/>
          <w:szCs w:val="16"/>
        </w:rPr>
        <w:t>Exhibit G:</w:t>
      </w:r>
      <w:r w:rsidR="0085128A">
        <w:rPr>
          <w:b/>
          <w:caps/>
          <w:color w:val="00355D"/>
          <w:sz w:val="16"/>
          <w:szCs w:val="16"/>
        </w:rPr>
        <w:t xml:space="preserve"> Affiliate Fee Schedule</w:t>
      </w:r>
    </w:p>
    <w:p w14:paraId="2622783F" w14:textId="77777777" w:rsidR="006E3BB4" w:rsidRPr="009C6E4C" w:rsidRDefault="006E3BB4" w:rsidP="001666CF">
      <w:pPr>
        <w:pStyle w:val="Heading1"/>
      </w:pPr>
      <w:bookmarkStart w:id="1" w:name="_Toc179797276"/>
      <w:r w:rsidRPr="009C6E4C">
        <w:lastRenderedPageBreak/>
        <w:t>Executive Summary</w:t>
      </w:r>
      <w:bookmarkStart w:id="2" w:name="_Toc413830786"/>
      <w:bookmarkStart w:id="3" w:name="_Toc411433473"/>
      <w:bookmarkEnd w:id="0"/>
      <w:bookmarkEnd w:id="1"/>
    </w:p>
    <w:p w14:paraId="136BC5A8" w14:textId="77777777" w:rsidR="006E3BB4" w:rsidRPr="00E519D6" w:rsidRDefault="006E3BB4" w:rsidP="001666CF">
      <w:pPr>
        <w:pStyle w:val="Heading2"/>
        <w:rPr>
          <w:color w:val="8CA4A4" w:themeColor="accent5"/>
        </w:rPr>
      </w:pPr>
      <w:bookmarkStart w:id="4" w:name="_Toc179797277"/>
      <w:r w:rsidRPr="00E519D6">
        <w:rPr>
          <w:color w:val="8CA4A4" w:themeColor="accent5"/>
        </w:rPr>
        <w:t>Overview</w:t>
      </w:r>
      <w:bookmarkEnd w:id="2"/>
      <w:bookmarkEnd w:id="4"/>
    </w:p>
    <w:tbl>
      <w:tblPr>
        <w:tblStyle w:val="TableGrid"/>
        <w:tblpPr w:leftFromText="180" w:rightFromText="180" w:vertAnchor="text" w:horzAnchor="margin" w:tblpY="15"/>
        <w:tblW w:w="103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1"/>
        <w:gridCol w:w="2741"/>
        <w:gridCol w:w="3769"/>
      </w:tblGrid>
      <w:tr w:rsidR="008E121C" w:rsidRPr="00D84948" w14:paraId="7C1AD360" w14:textId="77777777" w:rsidTr="008E121C">
        <w:trPr>
          <w:trHeight w:val="90"/>
        </w:trPr>
        <w:tc>
          <w:tcPr>
            <w:tcW w:w="3871" w:type="dxa"/>
            <w:tcBorders>
              <w:bottom w:val="single" w:sz="4" w:space="0" w:color="auto"/>
            </w:tcBorders>
          </w:tcPr>
          <w:p w14:paraId="288A7D6C" w14:textId="77777777" w:rsidR="008E121C" w:rsidRPr="00D84948" w:rsidRDefault="008E121C" w:rsidP="008E121C">
            <w:pPr>
              <w:tabs>
                <w:tab w:val="right" w:pos="9360"/>
              </w:tabs>
              <w:rPr>
                <w:rFonts w:ascii="Calibri" w:eastAsia="MS Mincho" w:hAnsi="Calibri"/>
                <w:noProof/>
                <w:color w:val="404040" w:themeColor="text1" w:themeTint="BF"/>
                <w:sz w:val="20"/>
                <w:szCs w:val="20"/>
              </w:rPr>
            </w:pPr>
            <w:bookmarkStart w:id="5" w:name="_Toc413830787"/>
            <w:bookmarkEnd w:id="3"/>
            <w:r w:rsidRPr="00D84948">
              <w:rPr>
                <w:rFonts w:ascii="Calibri" w:eastAsia="MS Mincho" w:hAnsi="Calibri"/>
                <w:noProof/>
                <w:color w:val="404040" w:themeColor="text1" w:themeTint="BF"/>
                <w:sz w:val="20"/>
                <w:szCs w:val="20"/>
              </w:rPr>
              <w:t>Review Date</w:t>
            </w:r>
          </w:p>
        </w:tc>
        <w:tc>
          <w:tcPr>
            <w:tcW w:w="2741" w:type="dxa"/>
            <w:tcBorders>
              <w:bottom w:val="single" w:sz="4" w:space="0" w:color="auto"/>
            </w:tcBorders>
          </w:tcPr>
          <w:p w14:paraId="63FA6555" w14:textId="77777777" w:rsidR="008E121C" w:rsidRPr="00D84948" w:rsidRDefault="008E121C" w:rsidP="008E121C">
            <w:pPr>
              <w:tabs>
                <w:tab w:val="right" w:pos="9360"/>
              </w:tabs>
              <w:jc w:val="center"/>
              <w:rPr>
                <w:rFonts w:ascii="Calibri" w:eastAsia="MS Mincho" w:hAnsi="Calibri"/>
                <w:noProof/>
                <w:color w:val="404040" w:themeColor="text1" w:themeTint="BF"/>
                <w:sz w:val="20"/>
                <w:szCs w:val="20"/>
              </w:rPr>
            </w:pPr>
            <w:r w:rsidRPr="00D84948">
              <w:rPr>
                <w:rFonts w:ascii="Calibri" w:eastAsia="MS Mincho" w:hAnsi="Calibri"/>
                <w:noProof/>
                <w:color w:val="404040" w:themeColor="text1" w:themeTint="BF"/>
                <w:sz w:val="20"/>
                <w:szCs w:val="20"/>
              </w:rPr>
              <w:t xml:space="preserve"> Rating</w:t>
            </w:r>
          </w:p>
        </w:tc>
        <w:tc>
          <w:tcPr>
            <w:tcW w:w="3769" w:type="dxa"/>
            <w:tcBorders>
              <w:bottom w:val="single" w:sz="4" w:space="0" w:color="auto"/>
            </w:tcBorders>
          </w:tcPr>
          <w:p w14:paraId="180E6A90" w14:textId="17E64730" w:rsidR="008E121C" w:rsidRPr="00D84948" w:rsidRDefault="00C8709C" w:rsidP="008E121C">
            <w:pPr>
              <w:tabs>
                <w:tab w:val="right" w:pos="9360"/>
              </w:tabs>
              <w:jc w:val="right"/>
              <w:rPr>
                <w:rFonts w:ascii="Calibri" w:eastAsia="MS Mincho" w:hAnsi="Calibri"/>
                <w:noProof/>
                <w:color w:val="404040" w:themeColor="text1" w:themeTint="BF"/>
                <w:sz w:val="20"/>
                <w:szCs w:val="20"/>
              </w:rPr>
            </w:pPr>
            <w:r w:rsidRPr="00D84948">
              <w:rPr>
                <w:rFonts w:ascii="Calibri" w:eastAsia="MS Mincho" w:hAnsi="Calibri"/>
                <w:noProof/>
                <w:color w:val="404040" w:themeColor="text1" w:themeTint="BF"/>
                <w:sz w:val="20"/>
                <w:szCs w:val="20"/>
              </w:rPr>
              <w:t>Pr</w:t>
            </w:r>
            <w:r w:rsidR="00A76A68" w:rsidRPr="00D84948">
              <w:rPr>
                <w:rFonts w:ascii="Calibri" w:eastAsia="MS Mincho" w:hAnsi="Calibri"/>
                <w:noProof/>
                <w:color w:val="404040" w:themeColor="text1" w:themeTint="BF"/>
                <w:sz w:val="20"/>
                <w:szCs w:val="20"/>
              </w:rPr>
              <w:t>ior</w:t>
            </w:r>
            <w:r w:rsidRPr="00D84948">
              <w:rPr>
                <w:rFonts w:ascii="Calibri" w:eastAsia="MS Mincho" w:hAnsi="Calibri"/>
                <w:noProof/>
                <w:color w:val="404040" w:themeColor="text1" w:themeTint="BF"/>
                <w:sz w:val="20"/>
                <w:szCs w:val="20"/>
              </w:rPr>
              <w:t xml:space="preserve"> Fund Rating</w:t>
            </w:r>
          </w:p>
        </w:tc>
      </w:tr>
      <w:tr w:rsidR="008E121C" w:rsidRPr="00D84948" w14:paraId="749BD59F" w14:textId="77777777" w:rsidTr="00496381">
        <w:trPr>
          <w:trHeight w:val="282"/>
        </w:trPr>
        <w:tc>
          <w:tcPr>
            <w:tcW w:w="3871" w:type="dxa"/>
            <w:tcBorders>
              <w:top w:val="single" w:sz="4" w:space="0" w:color="auto"/>
              <w:bottom w:val="single" w:sz="4" w:space="0" w:color="auto"/>
              <w:right w:val="single" w:sz="4" w:space="0" w:color="auto"/>
            </w:tcBorders>
            <w:vAlign w:val="center"/>
          </w:tcPr>
          <w:p w14:paraId="2C2C0B81" w14:textId="586B6E84" w:rsidR="008E121C" w:rsidRPr="00D84948" w:rsidRDefault="003B472F" w:rsidP="008E121C">
            <w:pPr>
              <w:rPr>
                <w:rFonts w:ascii="Calibri" w:hAnsi="Calibri"/>
                <w:color w:val="404040" w:themeColor="text1" w:themeTint="BF"/>
                <w:sz w:val="20"/>
                <w:szCs w:val="20"/>
              </w:rPr>
            </w:pPr>
            <w:r>
              <w:rPr>
                <w:rFonts w:ascii="Calibri" w:hAnsi="Calibri"/>
                <w:color w:val="404040" w:themeColor="text1" w:themeTint="BF"/>
                <w:sz w:val="20"/>
                <w:szCs w:val="20"/>
              </w:rPr>
              <w:t>October</w:t>
            </w:r>
            <w:r w:rsidR="00641242">
              <w:rPr>
                <w:rFonts w:ascii="Calibri" w:hAnsi="Calibri"/>
                <w:color w:val="404040" w:themeColor="text1" w:themeTint="BF"/>
                <w:sz w:val="20"/>
                <w:szCs w:val="20"/>
              </w:rPr>
              <w:t xml:space="preserve"> 2024 </w:t>
            </w:r>
          </w:p>
        </w:tc>
        <w:tc>
          <w:tcPr>
            <w:tcW w:w="2741" w:type="dxa"/>
            <w:tcBorders>
              <w:top w:val="single" w:sz="4" w:space="0" w:color="auto"/>
              <w:left w:val="single" w:sz="4" w:space="0" w:color="auto"/>
              <w:bottom w:val="single" w:sz="4" w:space="0" w:color="auto"/>
              <w:right w:val="single" w:sz="4" w:space="0" w:color="auto"/>
            </w:tcBorders>
            <w:shd w:val="clear" w:color="auto" w:fill="auto"/>
            <w:vAlign w:val="center"/>
          </w:tcPr>
          <w:p w14:paraId="30C210A2" w14:textId="4A142A31" w:rsidR="008E121C" w:rsidRPr="00D84948" w:rsidRDefault="0005515D" w:rsidP="00254F7C">
            <w:pPr>
              <w:jc w:val="center"/>
              <w:rPr>
                <w:rFonts w:ascii="Calibri" w:hAnsi="Calibri"/>
                <w:b/>
                <w:color w:val="404040" w:themeColor="text1" w:themeTint="BF"/>
                <w:sz w:val="20"/>
                <w:szCs w:val="20"/>
              </w:rPr>
            </w:pPr>
            <w:r>
              <w:rPr>
                <w:rFonts w:ascii="Calibri" w:hAnsi="Calibri"/>
                <w:b/>
                <w:color w:val="404040" w:themeColor="text1" w:themeTint="BF"/>
                <w:sz w:val="20"/>
                <w:szCs w:val="20"/>
              </w:rPr>
              <w:t>Buy</w:t>
            </w:r>
          </w:p>
        </w:tc>
        <w:tc>
          <w:tcPr>
            <w:tcW w:w="3769" w:type="dxa"/>
            <w:tcBorders>
              <w:top w:val="single" w:sz="4" w:space="0" w:color="auto"/>
              <w:left w:val="single" w:sz="4" w:space="0" w:color="auto"/>
              <w:bottom w:val="single" w:sz="4" w:space="0" w:color="auto"/>
            </w:tcBorders>
            <w:vAlign w:val="center"/>
          </w:tcPr>
          <w:p w14:paraId="2004D63E" w14:textId="24CCFD5E" w:rsidR="008E121C" w:rsidRPr="00D84948" w:rsidRDefault="00151F23" w:rsidP="00A152A0">
            <w:pPr>
              <w:jc w:val="right"/>
              <w:rPr>
                <w:rFonts w:ascii="Calibri" w:hAnsi="Calibri"/>
                <w:color w:val="404040" w:themeColor="text1" w:themeTint="BF"/>
                <w:sz w:val="20"/>
                <w:szCs w:val="20"/>
              </w:rPr>
            </w:pPr>
            <w:r>
              <w:rPr>
                <w:rFonts w:ascii="Calibri" w:hAnsi="Calibri"/>
                <w:color w:val="404040" w:themeColor="text1" w:themeTint="BF"/>
                <w:sz w:val="20"/>
                <w:szCs w:val="20"/>
              </w:rPr>
              <w:t>N/A</w:t>
            </w:r>
          </w:p>
        </w:tc>
      </w:tr>
    </w:tbl>
    <w:p w14:paraId="33726E3F" w14:textId="77777777" w:rsidR="0005515D" w:rsidRPr="0005515D" w:rsidRDefault="0005515D" w:rsidP="004C0569">
      <w:pPr>
        <w:jc w:val="both"/>
        <w:rPr>
          <w:rFonts w:ascii="Calibri" w:hAnsi="Calibri" w:cs="Calibri"/>
          <w:color w:val="404040" w:themeColor="text1" w:themeTint="BF"/>
          <w:sz w:val="16"/>
          <w:szCs w:val="16"/>
        </w:rPr>
      </w:pPr>
    </w:p>
    <w:p w14:paraId="4066BFA9" w14:textId="21A61EE8" w:rsidR="00C07EF5" w:rsidRDefault="000953D9" w:rsidP="004C0569">
      <w:pPr>
        <w:jc w:val="both"/>
        <w:rPr>
          <w:rFonts w:ascii="Calibri" w:hAnsi="Calibri" w:cs="Calibri"/>
          <w:color w:val="404040" w:themeColor="text1" w:themeTint="BF"/>
          <w:szCs w:val="22"/>
        </w:rPr>
      </w:pPr>
      <w:r>
        <w:rPr>
          <w:rFonts w:ascii="Calibri" w:hAnsi="Calibri" w:cs="Calibri"/>
          <w:color w:val="404040" w:themeColor="text1" w:themeTint="BF"/>
          <w:szCs w:val="22"/>
        </w:rPr>
        <w:t>Bridge</w:t>
      </w:r>
      <w:r w:rsidR="00867716">
        <w:rPr>
          <w:rFonts w:ascii="Calibri" w:hAnsi="Calibri" w:cs="Calibri"/>
          <w:color w:val="404040" w:themeColor="text1" w:themeTint="BF"/>
          <w:szCs w:val="22"/>
        </w:rPr>
        <w:t xml:space="preserve"> Logistics </w:t>
      </w:r>
      <w:r w:rsidR="00EA6A01">
        <w:rPr>
          <w:rFonts w:ascii="Calibri" w:hAnsi="Calibri" w:cs="Calibri"/>
          <w:color w:val="404040" w:themeColor="text1" w:themeTint="BF"/>
          <w:szCs w:val="22"/>
        </w:rPr>
        <w:t>Develop to Core</w:t>
      </w:r>
      <w:r w:rsidR="00867716">
        <w:rPr>
          <w:rFonts w:ascii="Calibri" w:hAnsi="Calibri" w:cs="Calibri"/>
          <w:color w:val="404040" w:themeColor="text1" w:themeTint="BF"/>
          <w:szCs w:val="22"/>
        </w:rPr>
        <w:t xml:space="preserve"> Fund (</w:t>
      </w:r>
      <w:r w:rsidR="00017726">
        <w:rPr>
          <w:rFonts w:ascii="Calibri" w:hAnsi="Calibri" w:cs="Calibri"/>
          <w:color w:val="404040" w:themeColor="text1" w:themeTint="BF"/>
          <w:szCs w:val="22"/>
        </w:rPr>
        <w:t>the “Fund”) is being established by Bridge Logistics Properties Fund Manager LLC (</w:t>
      </w:r>
      <w:r w:rsidR="008D11A1">
        <w:rPr>
          <w:rFonts w:ascii="Calibri" w:hAnsi="Calibri" w:cs="Calibri"/>
          <w:color w:val="404040" w:themeColor="text1" w:themeTint="BF"/>
          <w:szCs w:val="22"/>
        </w:rPr>
        <w:t xml:space="preserve">“BLP” or </w:t>
      </w:r>
      <w:r w:rsidR="00017726">
        <w:rPr>
          <w:rFonts w:ascii="Calibri" w:hAnsi="Calibri" w:cs="Calibri"/>
          <w:color w:val="404040" w:themeColor="text1" w:themeTint="BF"/>
          <w:szCs w:val="22"/>
        </w:rPr>
        <w:t>the “Sponsor”)</w:t>
      </w:r>
      <w:r w:rsidR="007E55AC">
        <w:rPr>
          <w:rFonts w:ascii="Calibri" w:hAnsi="Calibri" w:cs="Calibri"/>
          <w:color w:val="404040" w:themeColor="text1" w:themeTint="BF"/>
          <w:szCs w:val="22"/>
        </w:rPr>
        <w:t xml:space="preserve">, a subsidiary of Bridge Investment Group Holdings </w:t>
      </w:r>
      <w:r w:rsidR="00CC6D91">
        <w:rPr>
          <w:rFonts w:ascii="Calibri" w:hAnsi="Calibri" w:cs="Calibri"/>
          <w:color w:val="404040" w:themeColor="text1" w:themeTint="BF"/>
          <w:szCs w:val="22"/>
        </w:rPr>
        <w:t>LLC</w:t>
      </w:r>
      <w:r w:rsidR="008D11A1">
        <w:rPr>
          <w:rFonts w:ascii="Calibri" w:hAnsi="Calibri" w:cs="Calibri"/>
          <w:color w:val="404040" w:themeColor="text1" w:themeTint="BF"/>
          <w:szCs w:val="22"/>
        </w:rPr>
        <w:t xml:space="preserve"> (“Bridge”)</w:t>
      </w:r>
      <w:r w:rsidR="00CC6D91">
        <w:rPr>
          <w:rFonts w:ascii="Calibri" w:hAnsi="Calibri" w:cs="Calibri"/>
          <w:color w:val="404040" w:themeColor="text1" w:themeTint="BF"/>
          <w:szCs w:val="22"/>
        </w:rPr>
        <w:t xml:space="preserve"> as a </w:t>
      </w:r>
      <w:r w:rsidR="007B67D7">
        <w:rPr>
          <w:rFonts w:ascii="Calibri" w:hAnsi="Calibri" w:cs="Calibri"/>
          <w:color w:val="404040" w:themeColor="text1" w:themeTint="BF"/>
          <w:szCs w:val="22"/>
        </w:rPr>
        <w:t xml:space="preserve">single investor Fund managed on behalf of NYSCRF to pursue industrial development. The $600 million Fund will target </w:t>
      </w:r>
      <w:r w:rsidR="00D351D5">
        <w:rPr>
          <w:rFonts w:ascii="Calibri" w:hAnsi="Calibri" w:cs="Calibri"/>
          <w:color w:val="404040" w:themeColor="text1" w:themeTint="BF"/>
          <w:szCs w:val="22"/>
        </w:rPr>
        <w:t xml:space="preserve">returns </w:t>
      </w:r>
      <w:proofErr w:type="gramStart"/>
      <w:r w:rsidR="00D351D5">
        <w:rPr>
          <w:rFonts w:ascii="Calibri" w:hAnsi="Calibri" w:cs="Calibri"/>
          <w:color w:val="404040" w:themeColor="text1" w:themeTint="BF"/>
          <w:szCs w:val="22"/>
        </w:rPr>
        <w:t>in excess of</w:t>
      </w:r>
      <w:proofErr w:type="gramEnd"/>
      <w:r w:rsidR="00D351D5">
        <w:rPr>
          <w:rFonts w:ascii="Calibri" w:hAnsi="Calibri" w:cs="Calibri"/>
          <w:color w:val="404040" w:themeColor="text1" w:themeTint="BF"/>
          <w:szCs w:val="22"/>
        </w:rPr>
        <w:t xml:space="preserve"> </w:t>
      </w:r>
      <w:r w:rsidR="00EF193E">
        <w:rPr>
          <w:rFonts w:ascii="Calibri" w:hAnsi="Calibri" w:cs="Calibri"/>
          <w:color w:val="404040" w:themeColor="text1" w:themeTint="BF"/>
          <w:szCs w:val="22"/>
        </w:rPr>
        <w:t xml:space="preserve">15% net </w:t>
      </w:r>
      <w:r w:rsidR="00703100">
        <w:rPr>
          <w:rFonts w:ascii="Calibri" w:hAnsi="Calibri" w:cs="Calibri"/>
          <w:color w:val="404040" w:themeColor="text1" w:themeTint="BF"/>
          <w:szCs w:val="22"/>
        </w:rPr>
        <w:t xml:space="preserve">over an initial </w:t>
      </w:r>
      <w:r w:rsidR="00AE7473">
        <w:rPr>
          <w:rFonts w:ascii="Calibri" w:hAnsi="Calibri" w:cs="Calibri"/>
          <w:color w:val="404040" w:themeColor="text1" w:themeTint="BF"/>
          <w:szCs w:val="22"/>
        </w:rPr>
        <w:t>eight-year</w:t>
      </w:r>
      <w:r w:rsidR="00703100">
        <w:rPr>
          <w:rFonts w:ascii="Calibri" w:hAnsi="Calibri" w:cs="Calibri"/>
          <w:color w:val="404040" w:themeColor="text1" w:themeTint="BF"/>
          <w:szCs w:val="22"/>
        </w:rPr>
        <w:t xml:space="preserve"> term. </w:t>
      </w:r>
      <w:r w:rsidR="00E22830">
        <w:rPr>
          <w:rFonts w:ascii="Calibri" w:hAnsi="Calibri" w:cs="Calibri"/>
          <w:color w:val="404040" w:themeColor="text1" w:themeTint="BF"/>
          <w:szCs w:val="22"/>
        </w:rPr>
        <w:t xml:space="preserve">Formal operating documents </w:t>
      </w:r>
      <w:r w:rsidR="00824305">
        <w:rPr>
          <w:rFonts w:ascii="Calibri" w:hAnsi="Calibri" w:cs="Calibri"/>
          <w:color w:val="404040" w:themeColor="text1" w:themeTint="BF"/>
          <w:szCs w:val="22"/>
        </w:rPr>
        <w:t xml:space="preserve">have not been finalized and Townsend’s analysis is limited to the available information as </w:t>
      </w:r>
      <w:r w:rsidR="00454DFE">
        <w:rPr>
          <w:rFonts w:ascii="Calibri" w:hAnsi="Calibri" w:cs="Calibri"/>
          <w:color w:val="404040" w:themeColor="text1" w:themeTint="BF"/>
          <w:szCs w:val="22"/>
        </w:rPr>
        <w:t>currently understood</w:t>
      </w:r>
      <w:r w:rsidR="00824305">
        <w:rPr>
          <w:rFonts w:ascii="Calibri" w:hAnsi="Calibri" w:cs="Calibri"/>
          <w:color w:val="404040" w:themeColor="text1" w:themeTint="BF"/>
          <w:szCs w:val="22"/>
        </w:rPr>
        <w:t xml:space="preserve"> </w:t>
      </w:r>
      <w:r w:rsidR="00454DFE">
        <w:rPr>
          <w:rFonts w:ascii="Calibri" w:hAnsi="Calibri" w:cs="Calibri"/>
          <w:color w:val="404040" w:themeColor="text1" w:themeTint="BF"/>
          <w:szCs w:val="22"/>
        </w:rPr>
        <w:t>through</w:t>
      </w:r>
      <w:r w:rsidR="00824305">
        <w:rPr>
          <w:rFonts w:ascii="Calibri" w:hAnsi="Calibri" w:cs="Calibri"/>
          <w:color w:val="404040" w:themeColor="text1" w:themeTint="BF"/>
          <w:szCs w:val="22"/>
        </w:rPr>
        <w:t xml:space="preserve"> discussion with </w:t>
      </w:r>
      <w:r w:rsidR="00E20518">
        <w:rPr>
          <w:rFonts w:ascii="Calibri" w:hAnsi="Calibri" w:cs="Calibri"/>
          <w:color w:val="404040" w:themeColor="text1" w:themeTint="BF"/>
          <w:szCs w:val="22"/>
        </w:rPr>
        <w:t xml:space="preserve">BLP, NYSCRF staff, and </w:t>
      </w:r>
      <w:r w:rsidR="009C127A">
        <w:rPr>
          <w:rFonts w:ascii="Calibri" w:hAnsi="Calibri" w:cs="Calibri"/>
          <w:color w:val="404040" w:themeColor="text1" w:themeTint="BF"/>
          <w:szCs w:val="22"/>
        </w:rPr>
        <w:t xml:space="preserve">review of </w:t>
      </w:r>
      <w:r w:rsidR="00E20518">
        <w:rPr>
          <w:rFonts w:ascii="Calibri" w:hAnsi="Calibri" w:cs="Calibri"/>
          <w:color w:val="404040" w:themeColor="text1" w:themeTint="BF"/>
          <w:szCs w:val="22"/>
        </w:rPr>
        <w:t xml:space="preserve">the latest Framework Term Sheet. </w:t>
      </w:r>
    </w:p>
    <w:p w14:paraId="73F89F7A" w14:textId="77777777" w:rsidR="001531A5" w:rsidRPr="00F163F0" w:rsidRDefault="001531A5" w:rsidP="004C0569">
      <w:pPr>
        <w:jc w:val="both"/>
        <w:rPr>
          <w:rFonts w:ascii="Calibri" w:hAnsi="Calibri" w:cs="Calibri"/>
          <w:color w:val="404040" w:themeColor="text1" w:themeTint="BF"/>
          <w:sz w:val="16"/>
          <w:szCs w:val="16"/>
        </w:rPr>
      </w:pPr>
    </w:p>
    <w:p w14:paraId="34D913DF" w14:textId="08EDA942" w:rsidR="001E41CA" w:rsidRPr="00707DB5" w:rsidRDefault="001531A5" w:rsidP="00E93588">
      <w:pPr>
        <w:jc w:val="both"/>
        <w:rPr>
          <w:rFonts w:ascii="Calibri" w:hAnsi="Calibri" w:cs="Calibri"/>
          <w:iCs/>
          <w:color w:val="404040" w:themeColor="text1" w:themeTint="BF"/>
          <w:szCs w:val="22"/>
        </w:rPr>
      </w:pPr>
      <w:r w:rsidRPr="00F163F0">
        <w:rPr>
          <w:rFonts w:ascii="Calibri" w:hAnsi="Calibri" w:cs="Calibri"/>
          <w:i/>
          <w:color w:val="404040" w:themeColor="text1" w:themeTint="BF"/>
          <w:szCs w:val="22"/>
        </w:rPr>
        <w:t>Strat</w:t>
      </w:r>
      <w:r w:rsidRPr="009B3004">
        <w:rPr>
          <w:rFonts w:ascii="Calibri" w:hAnsi="Calibri" w:cs="Calibri"/>
          <w:i/>
          <w:color w:val="404040" w:themeColor="text1" w:themeTint="BF"/>
          <w:szCs w:val="22"/>
        </w:rPr>
        <w:t>egy:</w:t>
      </w:r>
      <w:r w:rsidR="00A54904" w:rsidRPr="009B3004">
        <w:rPr>
          <w:rFonts w:ascii="Calibri" w:hAnsi="Calibri" w:cs="Calibri"/>
          <w:i/>
          <w:color w:val="404040" w:themeColor="text1" w:themeTint="BF"/>
          <w:szCs w:val="22"/>
        </w:rPr>
        <w:t xml:space="preserve"> </w:t>
      </w:r>
      <w:r w:rsidR="00707DB5">
        <w:rPr>
          <w:rFonts w:ascii="Calibri" w:hAnsi="Calibri" w:cs="Calibri"/>
          <w:iCs/>
          <w:color w:val="404040" w:themeColor="text1" w:themeTint="BF"/>
          <w:szCs w:val="22"/>
        </w:rPr>
        <w:t xml:space="preserve">The Fund will </w:t>
      </w:r>
      <w:r w:rsidR="00ED31FD">
        <w:rPr>
          <w:rFonts w:ascii="Calibri" w:hAnsi="Calibri" w:cs="Calibri"/>
          <w:iCs/>
          <w:color w:val="404040" w:themeColor="text1" w:themeTint="BF"/>
          <w:szCs w:val="22"/>
        </w:rPr>
        <w:t>serve</w:t>
      </w:r>
      <w:r w:rsidR="00707DB5">
        <w:rPr>
          <w:rFonts w:ascii="Calibri" w:hAnsi="Calibri" w:cs="Calibri"/>
          <w:iCs/>
          <w:color w:val="404040" w:themeColor="text1" w:themeTint="BF"/>
          <w:szCs w:val="22"/>
        </w:rPr>
        <w:t xml:space="preserve"> primarily </w:t>
      </w:r>
      <w:r w:rsidR="00D7663F">
        <w:rPr>
          <w:rFonts w:ascii="Calibri" w:hAnsi="Calibri" w:cs="Calibri"/>
          <w:iCs/>
          <w:color w:val="404040" w:themeColor="text1" w:themeTint="BF"/>
          <w:szCs w:val="22"/>
        </w:rPr>
        <w:t>to capitalize BLP</w:t>
      </w:r>
      <w:r w:rsidR="00ED31FD">
        <w:rPr>
          <w:rFonts w:ascii="Calibri" w:hAnsi="Calibri" w:cs="Calibri"/>
          <w:iCs/>
          <w:color w:val="404040" w:themeColor="text1" w:themeTint="BF"/>
          <w:szCs w:val="22"/>
        </w:rPr>
        <w:t xml:space="preserve"> development</w:t>
      </w:r>
      <w:r w:rsidR="00D7663F">
        <w:rPr>
          <w:rFonts w:ascii="Calibri" w:hAnsi="Calibri" w:cs="Calibri"/>
          <w:iCs/>
          <w:color w:val="404040" w:themeColor="text1" w:themeTint="BF"/>
          <w:szCs w:val="22"/>
        </w:rPr>
        <w:t xml:space="preserve"> </w:t>
      </w:r>
      <w:proofErr w:type="spellStart"/>
      <w:r w:rsidR="00D7663F">
        <w:rPr>
          <w:rFonts w:ascii="Calibri" w:hAnsi="Calibri" w:cs="Calibri"/>
          <w:iCs/>
          <w:color w:val="404040" w:themeColor="text1" w:themeTint="BF"/>
          <w:szCs w:val="22"/>
        </w:rPr>
        <w:t>dealflow</w:t>
      </w:r>
      <w:proofErr w:type="spellEnd"/>
      <w:r w:rsidR="00D7663F">
        <w:rPr>
          <w:rFonts w:ascii="Calibri" w:hAnsi="Calibri" w:cs="Calibri"/>
          <w:iCs/>
          <w:color w:val="404040" w:themeColor="text1" w:themeTint="BF"/>
          <w:szCs w:val="22"/>
        </w:rPr>
        <w:t xml:space="preserve"> with parameters that fit outside of Bridge’s finite</w:t>
      </w:r>
      <w:r w:rsidR="00823405">
        <w:rPr>
          <w:rFonts w:ascii="Calibri" w:hAnsi="Calibri" w:cs="Calibri"/>
          <w:iCs/>
          <w:color w:val="404040" w:themeColor="text1" w:themeTint="BF"/>
          <w:szCs w:val="22"/>
        </w:rPr>
        <w:t xml:space="preserve">-life flagship fund series. </w:t>
      </w:r>
      <w:r w:rsidR="00ED31FD">
        <w:rPr>
          <w:rFonts w:ascii="Calibri" w:hAnsi="Calibri" w:cs="Calibri"/>
          <w:iCs/>
          <w:color w:val="404040" w:themeColor="text1" w:themeTint="BF"/>
          <w:szCs w:val="22"/>
        </w:rPr>
        <w:t>This inclu</w:t>
      </w:r>
      <w:r w:rsidR="007D1D4F">
        <w:rPr>
          <w:rFonts w:ascii="Calibri" w:hAnsi="Calibri" w:cs="Calibri"/>
          <w:iCs/>
          <w:color w:val="404040" w:themeColor="text1" w:themeTint="BF"/>
          <w:szCs w:val="22"/>
        </w:rPr>
        <w:t xml:space="preserve">des larger projects </w:t>
      </w:r>
      <w:r w:rsidR="006B1774">
        <w:rPr>
          <w:rFonts w:ascii="Calibri" w:hAnsi="Calibri" w:cs="Calibri"/>
          <w:iCs/>
          <w:color w:val="404040" w:themeColor="text1" w:themeTint="BF"/>
          <w:szCs w:val="22"/>
        </w:rPr>
        <w:t xml:space="preserve">presenting greater concentration risk to a closed-end fund, projects with </w:t>
      </w:r>
      <w:r w:rsidR="00623B90">
        <w:rPr>
          <w:rFonts w:ascii="Calibri" w:hAnsi="Calibri" w:cs="Calibri"/>
          <w:iCs/>
          <w:color w:val="404040" w:themeColor="text1" w:themeTint="BF"/>
          <w:szCs w:val="22"/>
        </w:rPr>
        <w:t xml:space="preserve">a </w:t>
      </w:r>
      <w:r w:rsidR="006B1774">
        <w:rPr>
          <w:rFonts w:ascii="Calibri" w:hAnsi="Calibri" w:cs="Calibri"/>
          <w:iCs/>
          <w:color w:val="404040" w:themeColor="text1" w:themeTint="BF"/>
          <w:szCs w:val="22"/>
        </w:rPr>
        <w:t xml:space="preserve">longer </w:t>
      </w:r>
      <w:r w:rsidR="00623B90">
        <w:rPr>
          <w:rFonts w:ascii="Calibri" w:hAnsi="Calibri" w:cs="Calibri"/>
          <w:iCs/>
          <w:color w:val="404040" w:themeColor="text1" w:themeTint="BF"/>
          <w:szCs w:val="22"/>
        </w:rPr>
        <w:t xml:space="preserve">or more complex </w:t>
      </w:r>
      <w:r w:rsidR="006B1774">
        <w:rPr>
          <w:rFonts w:ascii="Calibri" w:hAnsi="Calibri" w:cs="Calibri"/>
          <w:iCs/>
          <w:color w:val="404040" w:themeColor="text1" w:themeTint="BF"/>
          <w:szCs w:val="22"/>
        </w:rPr>
        <w:t xml:space="preserve">entitlement process, </w:t>
      </w:r>
      <w:r w:rsidR="006F14CC">
        <w:rPr>
          <w:rFonts w:ascii="Calibri" w:hAnsi="Calibri" w:cs="Calibri"/>
          <w:iCs/>
          <w:color w:val="404040" w:themeColor="text1" w:themeTint="BF"/>
          <w:szCs w:val="22"/>
        </w:rPr>
        <w:t>and projects with multi-phase execution</w:t>
      </w:r>
      <w:r w:rsidR="00623B90">
        <w:rPr>
          <w:rFonts w:ascii="Calibri" w:hAnsi="Calibri" w:cs="Calibri"/>
          <w:iCs/>
          <w:color w:val="404040" w:themeColor="text1" w:themeTint="BF"/>
          <w:szCs w:val="22"/>
        </w:rPr>
        <w:t xml:space="preserve"> and construction timelines less appropriate for a </w:t>
      </w:r>
      <w:r w:rsidR="00C54413">
        <w:rPr>
          <w:rFonts w:ascii="Calibri" w:hAnsi="Calibri" w:cs="Calibri"/>
          <w:iCs/>
          <w:color w:val="404040" w:themeColor="text1" w:themeTint="BF"/>
          <w:szCs w:val="22"/>
        </w:rPr>
        <w:t xml:space="preserve">typical closed-end fund. </w:t>
      </w:r>
      <w:r w:rsidR="000E48EC">
        <w:rPr>
          <w:rFonts w:ascii="Calibri" w:hAnsi="Calibri" w:cs="Calibri"/>
          <w:iCs/>
          <w:color w:val="404040" w:themeColor="text1" w:themeTint="BF"/>
          <w:szCs w:val="22"/>
        </w:rPr>
        <w:t xml:space="preserve">Bridge will target opportunities where </w:t>
      </w:r>
      <w:proofErr w:type="spellStart"/>
      <w:r w:rsidR="00FA0AFA">
        <w:rPr>
          <w:rFonts w:ascii="Calibri" w:hAnsi="Calibri" w:cs="Calibri"/>
          <w:iCs/>
          <w:color w:val="404040" w:themeColor="text1" w:themeTint="BF"/>
          <w:szCs w:val="22"/>
        </w:rPr>
        <w:t>untrended</w:t>
      </w:r>
      <w:proofErr w:type="spellEnd"/>
      <w:r w:rsidR="00FA0AFA">
        <w:rPr>
          <w:rFonts w:ascii="Calibri" w:hAnsi="Calibri" w:cs="Calibri"/>
          <w:iCs/>
          <w:color w:val="404040" w:themeColor="text1" w:themeTint="BF"/>
          <w:szCs w:val="22"/>
        </w:rPr>
        <w:t xml:space="preserve"> </w:t>
      </w:r>
      <w:r w:rsidR="004167C4">
        <w:rPr>
          <w:rFonts w:ascii="Calibri" w:hAnsi="Calibri" w:cs="Calibri"/>
          <w:iCs/>
          <w:color w:val="404040" w:themeColor="text1" w:themeTint="BF"/>
          <w:szCs w:val="22"/>
        </w:rPr>
        <w:t xml:space="preserve">stabilized yield-on-cost can be underwritten to </w:t>
      </w:r>
      <w:r w:rsidR="00503AA8">
        <w:rPr>
          <w:rFonts w:ascii="Calibri" w:hAnsi="Calibri" w:cs="Calibri"/>
          <w:iCs/>
          <w:color w:val="404040" w:themeColor="text1" w:themeTint="BF"/>
          <w:szCs w:val="22"/>
        </w:rPr>
        <w:t>75-150</w:t>
      </w:r>
      <w:r w:rsidR="001F495D">
        <w:rPr>
          <w:rFonts w:ascii="Calibri" w:hAnsi="Calibri" w:cs="Calibri"/>
          <w:iCs/>
          <w:color w:val="404040" w:themeColor="text1" w:themeTint="BF"/>
          <w:szCs w:val="22"/>
        </w:rPr>
        <w:t xml:space="preserve"> bps premiums to prevailing market cap rates. Bridge focuses on a </w:t>
      </w:r>
      <w:r w:rsidR="00531574">
        <w:rPr>
          <w:rFonts w:ascii="Calibri" w:hAnsi="Calibri" w:cs="Calibri"/>
          <w:iCs/>
          <w:color w:val="404040" w:themeColor="text1" w:themeTint="BF"/>
          <w:szCs w:val="22"/>
        </w:rPr>
        <w:t xml:space="preserve">defined list of “U.S. Global Gateway” and “Regional Prime Growth” markets </w:t>
      </w:r>
      <w:r w:rsidR="00ED7F49">
        <w:rPr>
          <w:rFonts w:ascii="Calibri" w:hAnsi="Calibri" w:cs="Calibri"/>
          <w:iCs/>
          <w:color w:val="404040" w:themeColor="text1" w:themeTint="BF"/>
          <w:szCs w:val="22"/>
        </w:rPr>
        <w:t xml:space="preserve">and will pursue relatively infill sites </w:t>
      </w:r>
      <w:r w:rsidR="007139B4">
        <w:rPr>
          <w:rFonts w:ascii="Calibri" w:hAnsi="Calibri" w:cs="Calibri"/>
          <w:iCs/>
          <w:color w:val="404040" w:themeColor="text1" w:themeTint="BF"/>
          <w:szCs w:val="22"/>
        </w:rPr>
        <w:t xml:space="preserve">with reduced potential for competitive supply. </w:t>
      </w:r>
      <w:r w:rsidR="00545006">
        <w:rPr>
          <w:rFonts w:ascii="Calibri" w:hAnsi="Calibri" w:cs="Calibri"/>
          <w:iCs/>
          <w:color w:val="404040" w:themeColor="text1" w:themeTint="BF"/>
          <w:szCs w:val="22"/>
        </w:rPr>
        <w:t xml:space="preserve">The Fund will </w:t>
      </w:r>
      <w:r w:rsidR="006205A4">
        <w:rPr>
          <w:rFonts w:ascii="Calibri" w:hAnsi="Calibri" w:cs="Calibri"/>
          <w:iCs/>
          <w:color w:val="404040" w:themeColor="text1" w:themeTint="BF"/>
          <w:szCs w:val="22"/>
        </w:rPr>
        <w:t xml:space="preserve">develop assets over a </w:t>
      </w:r>
      <w:proofErr w:type="gramStart"/>
      <w:r w:rsidR="00E5260B">
        <w:rPr>
          <w:rFonts w:ascii="Calibri" w:hAnsi="Calibri" w:cs="Calibri"/>
          <w:iCs/>
          <w:color w:val="404040" w:themeColor="text1" w:themeTint="BF"/>
          <w:szCs w:val="22"/>
        </w:rPr>
        <w:t>2-3 year</w:t>
      </w:r>
      <w:proofErr w:type="gramEnd"/>
      <w:r w:rsidR="00E5260B">
        <w:rPr>
          <w:rFonts w:ascii="Calibri" w:hAnsi="Calibri" w:cs="Calibri"/>
          <w:iCs/>
          <w:color w:val="404040" w:themeColor="text1" w:themeTint="BF"/>
          <w:szCs w:val="22"/>
        </w:rPr>
        <w:t xml:space="preserve"> development phase and transition </w:t>
      </w:r>
      <w:r w:rsidR="00BA65E0">
        <w:rPr>
          <w:rFonts w:ascii="Calibri" w:hAnsi="Calibri" w:cs="Calibri"/>
          <w:iCs/>
          <w:color w:val="404040" w:themeColor="text1" w:themeTint="BF"/>
          <w:szCs w:val="22"/>
        </w:rPr>
        <w:t xml:space="preserve">them into a core hold phase </w:t>
      </w:r>
      <w:r w:rsidR="00BC3372">
        <w:rPr>
          <w:rFonts w:ascii="Calibri" w:hAnsi="Calibri" w:cs="Calibri"/>
          <w:iCs/>
          <w:color w:val="404040" w:themeColor="text1" w:themeTint="BF"/>
          <w:szCs w:val="22"/>
        </w:rPr>
        <w:t>with sale at NYSCRF</w:t>
      </w:r>
      <w:r w:rsidR="000D2A8D">
        <w:rPr>
          <w:rFonts w:ascii="Calibri" w:hAnsi="Calibri" w:cs="Calibri"/>
          <w:iCs/>
          <w:color w:val="404040" w:themeColor="text1" w:themeTint="BF"/>
          <w:szCs w:val="22"/>
        </w:rPr>
        <w:t>’s discretion</w:t>
      </w:r>
      <w:r w:rsidR="00A557F2">
        <w:rPr>
          <w:rFonts w:ascii="Calibri" w:hAnsi="Calibri" w:cs="Calibri"/>
          <w:iCs/>
          <w:color w:val="404040" w:themeColor="text1" w:themeTint="BF"/>
          <w:szCs w:val="22"/>
        </w:rPr>
        <w:t xml:space="preserve">. </w:t>
      </w:r>
    </w:p>
    <w:p w14:paraId="5641F963" w14:textId="77777777" w:rsidR="007F5047" w:rsidRPr="00791890" w:rsidRDefault="007F5047" w:rsidP="00E93588">
      <w:pPr>
        <w:jc w:val="both"/>
        <w:rPr>
          <w:rFonts w:ascii="Calibri" w:hAnsi="Calibri" w:cs="Calibri"/>
          <w:color w:val="404040" w:themeColor="text1" w:themeTint="BF"/>
          <w:sz w:val="16"/>
          <w:szCs w:val="16"/>
        </w:rPr>
      </w:pPr>
    </w:p>
    <w:p w14:paraId="303C22C0" w14:textId="77777777" w:rsidR="004C0569" w:rsidRPr="00791890" w:rsidRDefault="004C0569" w:rsidP="004C0569">
      <w:pPr>
        <w:rPr>
          <w:rFonts w:ascii="Calibri" w:hAnsi="Calibri" w:cs="Calibri"/>
          <w:i/>
          <w:color w:val="404040" w:themeColor="text1" w:themeTint="BF"/>
          <w:sz w:val="20"/>
        </w:rPr>
      </w:pPr>
      <w:r w:rsidRPr="00791890">
        <w:rPr>
          <w:rFonts w:ascii="Calibri" w:hAnsi="Calibri" w:cs="Calibri"/>
          <w:i/>
          <w:color w:val="404040" w:themeColor="text1" w:themeTint="BF"/>
          <w:sz w:val="20"/>
        </w:rPr>
        <w:t>Sponsor:</w:t>
      </w:r>
    </w:p>
    <w:tbl>
      <w:tblPr>
        <w:tblW w:w="10410" w:type="dxa"/>
        <w:tblLayout w:type="fixed"/>
        <w:tblLook w:val="04A0" w:firstRow="1" w:lastRow="0" w:firstColumn="1" w:lastColumn="0" w:noHBand="0" w:noVBand="1"/>
      </w:tblPr>
      <w:tblGrid>
        <w:gridCol w:w="2616"/>
        <w:gridCol w:w="2879"/>
        <w:gridCol w:w="2246"/>
        <w:gridCol w:w="2669"/>
      </w:tblGrid>
      <w:tr w:rsidR="004C0569" w:rsidRPr="00791890" w14:paraId="78B9CF3E" w14:textId="77777777" w:rsidTr="004F61B8">
        <w:trPr>
          <w:trHeight w:val="169"/>
        </w:trPr>
        <w:tc>
          <w:tcPr>
            <w:tcW w:w="1256" w:type="pct"/>
            <w:tcBorders>
              <w:top w:val="nil"/>
              <w:left w:val="nil"/>
              <w:bottom w:val="single" w:sz="4" w:space="0" w:color="808080"/>
              <w:right w:val="nil"/>
            </w:tcBorders>
            <w:vAlign w:val="center"/>
            <w:hideMark/>
          </w:tcPr>
          <w:p w14:paraId="0E0DECDB" w14:textId="77777777" w:rsidR="004C0569" w:rsidRPr="00791890" w:rsidRDefault="004C0569">
            <w:pPr>
              <w:spacing w:before="40" w:line="200" w:lineRule="atLeast"/>
              <w:rPr>
                <w:rFonts w:ascii="Calibri" w:eastAsia="MS Mincho" w:hAnsi="Calibri" w:cs="Arial"/>
                <w:b/>
                <w:color w:val="404040" w:themeColor="text1" w:themeTint="BF"/>
                <w:sz w:val="18"/>
                <w:szCs w:val="18"/>
              </w:rPr>
            </w:pPr>
            <w:r w:rsidRPr="00791890">
              <w:rPr>
                <w:rFonts w:ascii="Calibri" w:eastAsia="MS Mincho" w:hAnsi="Calibri" w:cs="Arial"/>
                <w:b/>
                <w:color w:val="404040" w:themeColor="text1" w:themeTint="BF"/>
                <w:sz w:val="18"/>
                <w:szCs w:val="18"/>
              </w:rPr>
              <w:t>HQ Location</w:t>
            </w:r>
          </w:p>
        </w:tc>
        <w:tc>
          <w:tcPr>
            <w:tcW w:w="1383" w:type="pct"/>
            <w:tcBorders>
              <w:top w:val="nil"/>
              <w:left w:val="nil"/>
              <w:bottom w:val="single" w:sz="4" w:space="0" w:color="808080"/>
              <w:right w:val="nil"/>
            </w:tcBorders>
            <w:vAlign w:val="center"/>
            <w:hideMark/>
          </w:tcPr>
          <w:p w14:paraId="47443D83" w14:textId="631CD967" w:rsidR="004C0569" w:rsidRPr="00791890" w:rsidRDefault="00055E77">
            <w:pPr>
              <w:spacing w:before="40" w:line="200" w:lineRule="atLeast"/>
              <w:rPr>
                <w:rFonts w:ascii="Calibri" w:eastAsia="MS Mincho" w:hAnsi="Calibri" w:cs="Arial"/>
                <w:color w:val="404040" w:themeColor="text1" w:themeTint="BF"/>
                <w:sz w:val="18"/>
                <w:szCs w:val="18"/>
              </w:rPr>
            </w:pPr>
            <w:r>
              <w:rPr>
                <w:rFonts w:ascii="Calibri" w:eastAsia="MS Mincho" w:hAnsi="Calibri" w:cs="Arial"/>
                <w:color w:val="404040" w:themeColor="text1" w:themeTint="BF"/>
                <w:sz w:val="18"/>
                <w:szCs w:val="18"/>
              </w:rPr>
              <w:t>Salt Lake City, UT</w:t>
            </w:r>
          </w:p>
        </w:tc>
        <w:tc>
          <w:tcPr>
            <w:tcW w:w="1079" w:type="pct"/>
            <w:tcBorders>
              <w:top w:val="nil"/>
              <w:left w:val="nil"/>
              <w:bottom w:val="single" w:sz="4" w:space="0" w:color="808080"/>
              <w:right w:val="nil"/>
            </w:tcBorders>
            <w:vAlign w:val="center"/>
            <w:hideMark/>
          </w:tcPr>
          <w:p w14:paraId="1FF8AE06" w14:textId="08DD6B24" w:rsidR="004C0569" w:rsidRPr="00DF5E38" w:rsidRDefault="004C0569">
            <w:pPr>
              <w:spacing w:before="40" w:line="200" w:lineRule="atLeast"/>
              <w:rPr>
                <w:rFonts w:ascii="Calibri" w:eastAsia="MS Mincho" w:hAnsi="Calibri" w:cs="Arial"/>
                <w:b/>
                <w:color w:val="404040" w:themeColor="text1" w:themeTint="BF"/>
                <w:sz w:val="18"/>
                <w:szCs w:val="18"/>
              </w:rPr>
            </w:pPr>
            <w:r w:rsidRPr="00DF5E38">
              <w:rPr>
                <w:rFonts w:ascii="Calibri" w:eastAsia="MS Mincho" w:hAnsi="Calibri" w:cs="Arial"/>
                <w:b/>
                <w:color w:val="404040" w:themeColor="text1" w:themeTint="BF"/>
                <w:sz w:val="18"/>
                <w:szCs w:val="18"/>
              </w:rPr>
              <w:t>Parent</w:t>
            </w:r>
          </w:p>
        </w:tc>
        <w:tc>
          <w:tcPr>
            <w:tcW w:w="1282" w:type="pct"/>
            <w:tcBorders>
              <w:top w:val="nil"/>
              <w:left w:val="nil"/>
              <w:bottom w:val="single" w:sz="4" w:space="0" w:color="808080"/>
              <w:right w:val="nil"/>
            </w:tcBorders>
            <w:vAlign w:val="center"/>
            <w:hideMark/>
          </w:tcPr>
          <w:p w14:paraId="2238D115" w14:textId="67C72BCF" w:rsidR="004C0569" w:rsidRPr="00DF5E38" w:rsidRDefault="005657B1">
            <w:pPr>
              <w:spacing w:before="40" w:line="200" w:lineRule="atLeast"/>
              <w:rPr>
                <w:rFonts w:ascii="Calibri" w:eastAsia="MS Mincho" w:hAnsi="Calibri" w:cs="Arial"/>
                <w:color w:val="404040" w:themeColor="text1" w:themeTint="BF"/>
                <w:sz w:val="18"/>
                <w:szCs w:val="18"/>
              </w:rPr>
            </w:pPr>
            <w:r>
              <w:rPr>
                <w:rFonts w:ascii="Calibri" w:eastAsia="MS Mincho" w:hAnsi="Calibri" w:cs="Arial"/>
                <w:color w:val="404040" w:themeColor="text1" w:themeTint="BF"/>
                <w:sz w:val="18"/>
                <w:szCs w:val="18"/>
              </w:rPr>
              <w:t>Bridge Investment Group</w:t>
            </w:r>
          </w:p>
        </w:tc>
      </w:tr>
      <w:tr w:rsidR="004C0569" w:rsidRPr="004D48E6" w14:paraId="10EA12AA" w14:textId="77777777" w:rsidTr="004F61B8">
        <w:trPr>
          <w:trHeight w:val="177"/>
        </w:trPr>
        <w:tc>
          <w:tcPr>
            <w:tcW w:w="1256" w:type="pct"/>
            <w:tcBorders>
              <w:top w:val="single" w:sz="4" w:space="0" w:color="808080"/>
              <w:left w:val="nil"/>
              <w:bottom w:val="single" w:sz="4" w:space="0" w:color="808080"/>
              <w:right w:val="nil"/>
            </w:tcBorders>
            <w:vAlign w:val="center"/>
            <w:hideMark/>
          </w:tcPr>
          <w:p w14:paraId="0B507BB5" w14:textId="77777777" w:rsidR="004C0569" w:rsidRPr="00791890" w:rsidRDefault="004C0569">
            <w:pPr>
              <w:spacing w:before="40" w:line="200" w:lineRule="atLeast"/>
              <w:rPr>
                <w:rFonts w:ascii="Calibri" w:eastAsia="MS Mincho" w:hAnsi="Calibri" w:cs="Arial"/>
                <w:b/>
                <w:color w:val="404040" w:themeColor="text1" w:themeTint="BF"/>
                <w:sz w:val="18"/>
                <w:szCs w:val="18"/>
              </w:rPr>
            </w:pPr>
            <w:r w:rsidRPr="00791890">
              <w:rPr>
                <w:rFonts w:ascii="Calibri" w:eastAsia="MS Mincho" w:hAnsi="Calibri" w:cs="Arial"/>
                <w:b/>
                <w:color w:val="404040" w:themeColor="text1" w:themeTint="BF"/>
                <w:sz w:val="18"/>
                <w:szCs w:val="18"/>
              </w:rPr>
              <w:t>Ownership</w:t>
            </w:r>
          </w:p>
        </w:tc>
        <w:tc>
          <w:tcPr>
            <w:tcW w:w="1383" w:type="pct"/>
            <w:tcBorders>
              <w:top w:val="single" w:sz="4" w:space="0" w:color="808080"/>
              <w:left w:val="nil"/>
              <w:bottom w:val="single" w:sz="4" w:space="0" w:color="808080"/>
              <w:right w:val="nil"/>
            </w:tcBorders>
            <w:vAlign w:val="center"/>
            <w:hideMark/>
          </w:tcPr>
          <w:p w14:paraId="29A67DBC" w14:textId="2B719500" w:rsidR="004C0569" w:rsidRPr="00791890" w:rsidRDefault="00055E77" w:rsidP="00155839">
            <w:pPr>
              <w:spacing w:before="40" w:line="200" w:lineRule="atLeast"/>
              <w:jc w:val="both"/>
              <w:rPr>
                <w:rFonts w:ascii="Calibri" w:eastAsia="MS Mincho" w:hAnsi="Calibri" w:cs="Arial"/>
                <w:color w:val="404040" w:themeColor="text1" w:themeTint="BF"/>
                <w:sz w:val="18"/>
                <w:szCs w:val="18"/>
              </w:rPr>
            </w:pPr>
            <w:r>
              <w:rPr>
                <w:rFonts w:ascii="Calibri" w:eastAsia="MS Mincho" w:hAnsi="Calibri" w:cs="Arial"/>
                <w:color w:val="404040" w:themeColor="text1" w:themeTint="BF"/>
                <w:sz w:val="18"/>
                <w:szCs w:val="18"/>
              </w:rPr>
              <w:t>Public (</w:t>
            </w:r>
            <w:r w:rsidR="00AF0497">
              <w:rPr>
                <w:rFonts w:ascii="Calibri" w:eastAsia="MS Mincho" w:hAnsi="Calibri" w:cs="Arial"/>
                <w:color w:val="404040" w:themeColor="text1" w:themeTint="BF"/>
                <w:sz w:val="18"/>
                <w:szCs w:val="18"/>
              </w:rPr>
              <w:t>NYSE: BRDG)</w:t>
            </w:r>
          </w:p>
        </w:tc>
        <w:tc>
          <w:tcPr>
            <w:tcW w:w="1079" w:type="pct"/>
            <w:tcBorders>
              <w:top w:val="single" w:sz="4" w:space="0" w:color="808080"/>
              <w:left w:val="nil"/>
              <w:bottom w:val="single" w:sz="4" w:space="0" w:color="808080"/>
              <w:right w:val="nil"/>
            </w:tcBorders>
            <w:vAlign w:val="center"/>
            <w:hideMark/>
          </w:tcPr>
          <w:p w14:paraId="73326ADD" w14:textId="77777777" w:rsidR="004C0569" w:rsidRPr="00E347A1" w:rsidRDefault="004C0569">
            <w:pPr>
              <w:spacing w:before="40" w:line="200" w:lineRule="atLeast"/>
              <w:rPr>
                <w:rFonts w:ascii="Calibri" w:eastAsia="MS Mincho" w:hAnsi="Calibri" w:cs="Arial"/>
                <w:b/>
                <w:color w:val="404040" w:themeColor="text1" w:themeTint="BF"/>
                <w:sz w:val="18"/>
                <w:szCs w:val="18"/>
              </w:rPr>
            </w:pPr>
            <w:r w:rsidRPr="00E347A1">
              <w:rPr>
                <w:rFonts w:ascii="Calibri" w:eastAsia="MS Mincho" w:hAnsi="Calibri" w:cs="Arial"/>
                <w:b/>
                <w:color w:val="404040" w:themeColor="text1" w:themeTint="BF"/>
                <w:sz w:val="18"/>
                <w:szCs w:val="18"/>
              </w:rPr>
              <w:t>Founded</w:t>
            </w:r>
          </w:p>
        </w:tc>
        <w:tc>
          <w:tcPr>
            <w:tcW w:w="1282" w:type="pct"/>
            <w:tcBorders>
              <w:top w:val="single" w:sz="4" w:space="0" w:color="808080"/>
              <w:left w:val="nil"/>
              <w:bottom w:val="single" w:sz="4" w:space="0" w:color="808080"/>
              <w:right w:val="nil"/>
            </w:tcBorders>
            <w:vAlign w:val="center"/>
            <w:hideMark/>
          </w:tcPr>
          <w:p w14:paraId="703A8AC1" w14:textId="3A5E9CB1" w:rsidR="004C0569" w:rsidRPr="00E347A1" w:rsidRDefault="007D78B5">
            <w:pPr>
              <w:spacing w:before="40" w:line="200" w:lineRule="atLeast"/>
              <w:rPr>
                <w:rFonts w:ascii="Calibri" w:eastAsia="MS Mincho" w:hAnsi="Calibri" w:cs="Arial"/>
                <w:color w:val="404040" w:themeColor="text1" w:themeTint="BF"/>
                <w:sz w:val="18"/>
                <w:szCs w:val="18"/>
              </w:rPr>
            </w:pPr>
            <w:r>
              <w:rPr>
                <w:rFonts w:ascii="Calibri" w:eastAsia="MS Mincho" w:hAnsi="Calibri" w:cs="Arial"/>
                <w:color w:val="404040" w:themeColor="text1" w:themeTint="BF"/>
                <w:sz w:val="18"/>
                <w:szCs w:val="18"/>
              </w:rPr>
              <w:t xml:space="preserve">2009 </w:t>
            </w:r>
            <w:r w:rsidR="00DA5555">
              <w:rPr>
                <w:rFonts w:ascii="Calibri" w:eastAsia="MS Mincho" w:hAnsi="Calibri" w:cs="Arial"/>
                <w:color w:val="404040" w:themeColor="text1" w:themeTint="BF"/>
                <w:sz w:val="18"/>
                <w:szCs w:val="18"/>
              </w:rPr>
              <w:t>(BLP in 2021)</w:t>
            </w:r>
          </w:p>
        </w:tc>
      </w:tr>
      <w:tr w:rsidR="004C0569" w:rsidRPr="004D48E6" w14:paraId="2268B1F0" w14:textId="77777777" w:rsidTr="004F61B8">
        <w:trPr>
          <w:trHeight w:val="186"/>
        </w:trPr>
        <w:tc>
          <w:tcPr>
            <w:tcW w:w="1256" w:type="pct"/>
            <w:tcBorders>
              <w:top w:val="single" w:sz="4" w:space="0" w:color="808080"/>
              <w:left w:val="nil"/>
              <w:bottom w:val="single" w:sz="4" w:space="0" w:color="808080"/>
              <w:right w:val="nil"/>
            </w:tcBorders>
            <w:vAlign w:val="center"/>
            <w:hideMark/>
          </w:tcPr>
          <w:p w14:paraId="7EDAC3AB" w14:textId="1847F196" w:rsidR="004C0569" w:rsidRPr="004D48E6" w:rsidRDefault="00034FCA">
            <w:pPr>
              <w:spacing w:before="40" w:line="200" w:lineRule="atLeast"/>
              <w:rPr>
                <w:rFonts w:ascii="Calibri" w:eastAsia="MS Mincho" w:hAnsi="Calibri" w:cs="Arial"/>
                <w:b/>
                <w:color w:val="404040" w:themeColor="text1" w:themeTint="BF"/>
                <w:sz w:val="18"/>
                <w:szCs w:val="18"/>
              </w:rPr>
            </w:pPr>
            <w:r>
              <w:rPr>
                <w:rFonts w:ascii="Calibri" w:eastAsia="MS Mincho" w:hAnsi="Calibri" w:cs="Arial"/>
                <w:b/>
                <w:color w:val="404040" w:themeColor="text1" w:themeTint="BF"/>
                <w:sz w:val="18"/>
                <w:szCs w:val="18"/>
              </w:rPr>
              <w:t>Staff Members (BLP)</w:t>
            </w:r>
          </w:p>
        </w:tc>
        <w:tc>
          <w:tcPr>
            <w:tcW w:w="1383" w:type="pct"/>
            <w:tcBorders>
              <w:top w:val="single" w:sz="4" w:space="0" w:color="808080"/>
              <w:left w:val="nil"/>
              <w:bottom w:val="single" w:sz="4" w:space="0" w:color="808080"/>
              <w:right w:val="nil"/>
            </w:tcBorders>
            <w:vAlign w:val="center"/>
            <w:hideMark/>
          </w:tcPr>
          <w:p w14:paraId="29917501" w14:textId="47356934" w:rsidR="004C0569" w:rsidRPr="004D48E6" w:rsidRDefault="002B1028">
            <w:pPr>
              <w:spacing w:before="40" w:line="200" w:lineRule="atLeast"/>
              <w:rPr>
                <w:rFonts w:ascii="Calibri" w:eastAsia="MS Mincho" w:hAnsi="Calibri" w:cs="Arial"/>
                <w:color w:val="404040" w:themeColor="text1" w:themeTint="BF"/>
                <w:sz w:val="18"/>
                <w:szCs w:val="18"/>
              </w:rPr>
            </w:pPr>
            <w:r>
              <w:rPr>
                <w:rFonts w:ascii="Calibri" w:eastAsia="MS Mincho" w:hAnsi="Calibri" w:cs="Arial"/>
                <w:color w:val="404040" w:themeColor="text1" w:themeTint="BF"/>
                <w:sz w:val="18"/>
                <w:szCs w:val="18"/>
              </w:rPr>
              <w:t>34</w:t>
            </w:r>
          </w:p>
        </w:tc>
        <w:tc>
          <w:tcPr>
            <w:tcW w:w="1079" w:type="pct"/>
            <w:tcBorders>
              <w:top w:val="single" w:sz="4" w:space="0" w:color="808080"/>
              <w:left w:val="nil"/>
              <w:bottom w:val="single" w:sz="4" w:space="0" w:color="808080"/>
              <w:right w:val="nil"/>
            </w:tcBorders>
            <w:vAlign w:val="center"/>
            <w:hideMark/>
          </w:tcPr>
          <w:p w14:paraId="4C4260D5" w14:textId="1366BF32" w:rsidR="004C0569" w:rsidRPr="004D48E6" w:rsidRDefault="004F61B8">
            <w:pPr>
              <w:spacing w:before="40" w:line="200" w:lineRule="atLeast"/>
              <w:rPr>
                <w:rFonts w:ascii="Calibri" w:eastAsia="MS Mincho" w:hAnsi="Calibri" w:cs="Arial"/>
                <w:b/>
                <w:color w:val="404040" w:themeColor="text1" w:themeTint="BF"/>
                <w:sz w:val="18"/>
                <w:szCs w:val="18"/>
              </w:rPr>
            </w:pPr>
            <w:r>
              <w:rPr>
                <w:rFonts w:ascii="Calibri" w:eastAsia="MS Mincho" w:hAnsi="Calibri" w:cs="Arial"/>
                <w:b/>
                <w:color w:val="404040" w:themeColor="text1" w:themeTint="BF"/>
                <w:sz w:val="18"/>
                <w:szCs w:val="18"/>
              </w:rPr>
              <w:t xml:space="preserve">Gross </w:t>
            </w:r>
            <w:r w:rsidR="004158C3">
              <w:rPr>
                <w:rFonts w:ascii="Calibri" w:eastAsia="MS Mincho" w:hAnsi="Calibri" w:cs="Arial"/>
                <w:b/>
                <w:color w:val="404040" w:themeColor="text1" w:themeTint="BF"/>
                <w:sz w:val="18"/>
                <w:szCs w:val="18"/>
              </w:rPr>
              <w:t>AUM</w:t>
            </w:r>
            <w:r w:rsidR="003811ED">
              <w:rPr>
                <w:rFonts w:ascii="Calibri" w:eastAsia="MS Mincho" w:hAnsi="Calibri" w:cs="Arial"/>
                <w:b/>
                <w:color w:val="404040" w:themeColor="text1" w:themeTint="BF"/>
                <w:sz w:val="18"/>
                <w:szCs w:val="18"/>
              </w:rPr>
              <w:t xml:space="preserve"> (</w:t>
            </w:r>
            <w:r w:rsidR="00002EFB">
              <w:rPr>
                <w:rFonts w:ascii="Calibri" w:eastAsia="MS Mincho" w:hAnsi="Calibri" w:cs="Arial"/>
                <w:b/>
                <w:color w:val="404040" w:themeColor="text1" w:themeTint="BF"/>
                <w:sz w:val="18"/>
                <w:szCs w:val="18"/>
              </w:rPr>
              <w:t>June</w:t>
            </w:r>
            <w:r w:rsidR="00E347A1">
              <w:rPr>
                <w:rFonts w:ascii="Calibri" w:eastAsia="MS Mincho" w:hAnsi="Calibri" w:cs="Arial"/>
                <w:b/>
                <w:color w:val="404040" w:themeColor="text1" w:themeTint="BF"/>
                <w:sz w:val="18"/>
                <w:szCs w:val="18"/>
              </w:rPr>
              <w:t xml:space="preserve"> 30</w:t>
            </w:r>
            <w:r w:rsidR="003811ED">
              <w:rPr>
                <w:rFonts w:ascii="Calibri" w:eastAsia="MS Mincho" w:hAnsi="Calibri" w:cs="Arial"/>
                <w:b/>
                <w:color w:val="404040" w:themeColor="text1" w:themeTint="BF"/>
                <w:sz w:val="18"/>
                <w:szCs w:val="18"/>
              </w:rPr>
              <w:t>, 202</w:t>
            </w:r>
            <w:r>
              <w:rPr>
                <w:rFonts w:ascii="Calibri" w:eastAsia="MS Mincho" w:hAnsi="Calibri" w:cs="Arial"/>
                <w:b/>
                <w:color w:val="404040" w:themeColor="text1" w:themeTint="BF"/>
                <w:sz w:val="18"/>
                <w:szCs w:val="18"/>
              </w:rPr>
              <w:t>4</w:t>
            </w:r>
            <w:r w:rsidR="003811ED">
              <w:rPr>
                <w:rFonts w:ascii="Calibri" w:eastAsia="MS Mincho" w:hAnsi="Calibri" w:cs="Arial"/>
                <w:b/>
                <w:color w:val="404040" w:themeColor="text1" w:themeTint="BF"/>
                <w:sz w:val="18"/>
                <w:szCs w:val="18"/>
              </w:rPr>
              <w:t>)</w:t>
            </w:r>
          </w:p>
        </w:tc>
        <w:tc>
          <w:tcPr>
            <w:tcW w:w="1282" w:type="pct"/>
            <w:tcBorders>
              <w:top w:val="single" w:sz="4" w:space="0" w:color="808080"/>
              <w:left w:val="nil"/>
              <w:bottom w:val="single" w:sz="4" w:space="0" w:color="808080"/>
              <w:right w:val="nil"/>
            </w:tcBorders>
            <w:vAlign w:val="center"/>
            <w:hideMark/>
          </w:tcPr>
          <w:p w14:paraId="2989B16F" w14:textId="7181CBC9" w:rsidR="004C0569" w:rsidRPr="004D48E6" w:rsidRDefault="00034FCA">
            <w:pPr>
              <w:spacing w:before="40" w:line="200" w:lineRule="atLeast"/>
              <w:rPr>
                <w:rFonts w:ascii="Calibri" w:eastAsia="MS Mincho" w:hAnsi="Calibri" w:cs="Arial"/>
                <w:color w:val="404040" w:themeColor="text1" w:themeTint="BF"/>
                <w:sz w:val="18"/>
                <w:szCs w:val="18"/>
              </w:rPr>
            </w:pPr>
            <w:r>
              <w:rPr>
                <w:rFonts w:ascii="Calibri" w:eastAsia="MS Mincho" w:hAnsi="Calibri" w:cs="Arial"/>
                <w:color w:val="404040" w:themeColor="text1" w:themeTint="BF"/>
                <w:sz w:val="18"/>
                <w:szCs w:val="18"/>
              </w:rPr>
              <w:t>$49B ($</w:t>
            </w:r>
            <w:r w:rsidR="00AF7E0E">
              <w:rPr>
                <w:rFonts w:ascii="Calibri" w:eastAsia="MS Mincho" w:hAnsi="Calibri" w:cs="Arial"/>
                <w:color w:val="404040" w:themeColor="text1" w:themeTint="BF"/>
                <w:sz w:val="18"/>
                <w:szCs w:val="18"/>
              </w:rPr>
              <w:t>983M Logistics)</w:t>
            </w:r>
          </w:p>
        </w:tc>
      </w:tr>
    </w:tbl>
    <w:p w14:paraId="24DDE2E2" w14:textId="77777777" w:rsidR="00180969" w:rsidRPr="00413502" w:rsidRDefault="00180969" w:rsidP="00166F39">
      <w:pPr>
        <w:rPr>
          <w:rFonts w:ascii="Calibri" w:hAnsi="Calibri" w:cs="Calibri"/>
          <w:i/>
          <w:color w:val="404040" w:themeColor="text1" w:themeTint="BF"/>
          <w:sz w:val="16"/>
          <w:szCs w:val="16"/>
        </w:rPr>
      </w:pPr>
    </w:p>
    <w:p w14:paraId="0EFD6E07" w14:textId="452D6596" w:rsidR="00547449" w:rsidRDefault="00622B2B" w:rsidP="00166F39">
      <w:pPr>
        <w:rPr>
          <w:rFonts w:ascii="Calibri" w:hAnsi="Calibri" w:cs="Calibri"/>
          <w:b/>
          <w:bCs/>
          <w:i/>
          <w:color w:val="404040" w:themeColor="text1" w:themeTint="BF"/>
          <w:sz w:val="18"/>
          <w:szCs w:val="18"/>
        </w:rPr>
      </w:pPr>
      <w:r w:rsidRPr="00213D08">
        <w:rPr>
          <w:rFonts w:ascii="Calibri" w:hAnsi="Calibri" w:cs="Calibri"/>
          <w:b/>
          <w:bCs/>
          <w:i/>
          <w:color w:val="404040" w:themeColor="text1" w:themeTint="BF"/>
          <w:sz w:val="18"/>
          <w:szCs w:val="18"/>
        </w:rPr>
        <w:t>Track Record</w:t>
      </w:r>
      <w:r w:rsidR="006E5F9E" w:rsidRPr="00213D08">
        <w:rPr>
          <w:rFonts w:ascii="Calibri" w:hAnsi="Calibri" w:cs="Calibri"/>
          <w:b/>
          <w:bCs/>
          <w:i/>
          <w:color w:val="404040" w:themeColor="text1" w:themeTint="BF"/>
          <w:sz w:val="18"/>
          <w:szCs w:val="18"/>
        </w:rPr>
        <w:t xml:space="preserve"> (as of</w:t>
      </w:r>
      <w:r w:rsidR="005166C1" w:rsidRPr="00213D08">
        <w:rPr>
          <w:rFonts w:ascii="Calibri" w:hAnsi="Calibri" w:cs="Calibri"/>
          <w:b/>
          <w:bCs/>
          <w:i/>
          <w:color w:val="404040" w:themeColor="text1" w:themeTint="BF"/>
          <w:sz w:val="18"/>
          <w:szCs w:val="18"/>
        </w:rPr>
        <w:t xml:space="preserve"> </w:t>
      </w:r>
      <w:r w:rsidR="00EA1336">
        <w:rPr>
          <w:rFonts w:ascii="Calibri" w:hAnsi="Calibri" w:cs="Calibri"/>
          <w:b/>
          <w:bCs/>
          <w:i/>
          <w:color w:val="404040" w:themeColor="text1" w:themeTint="BF"/>
          <w:sz w:val="18"/>
          <w:szCs w:val="18"/>
        </w:rPr>
        <w:t>3</w:t>
      </w:r>
      <w:r w:rsidR="00EC5209" w:rsidRPr="00213D08">
        <w:rPr>
          <w:rFonts w:ascii="Calibri" w:hAnsi="Calibri" w:cs="Calibri"/>
          <w:b/>
          <w:bCs/>
          <w:i/>
          <w:color w:val="404040" w:themeColor="text1" w:themeTint="BF"/>
          <w:sz w:val="18"/>
          <w:szCs w:val="18"/>
        </w:rPr>
        <w:t>/3</w:t>
      </w:r>
      <w:r w:rsidR="00EA1336">
        <w:rPr>
          <w:rFonts w:ascii="Calibri" w:hAnsi="Calibri" w:cs="Calibri"/>
          <w:b/>
          <w:bCs/>
          <w:i/>
          <w:color w:val="404040" w:themeColor="text1" w:themeTint="BF"/>
          <w:sz w:val="18"/>
          <w:szCs w:val="18"/>
        </w:rPr>
        <w:t>1</w:t>
      </w:r>
      <w:r w:rsidR="00EC5209" w:rsidRPr="00213D08">
        <w:rPr>
          <w:rFonts w:ascii="Calibri" w:hAnsi="Calibri" w:cs="Calibri"/>
          <w:b/>
          <w:bCs/>
          <w:i/>
          <w:color w:val="404040" w:themeColor="text1" w:themeTint="BF"/>
          <w:sz w:val="18"/>
          <w:szCs w:val="18"/>
        </w:rPr>
        <w:t>/202</w:t>
      </w:r>
      <w:r w:rsidR="00EA1336">
        <w:rPr>
          <w:rFonts w:ascii="Calibri" w:hAnsi="Calibri" w:cs="Calibri"/>
          <w:b/>
          <w:bCs/>
          <w:i/>
          <w:color w:val="404040" w:themeColor="text1" w:themeTint="BF"/>
          <w:sz w:val="18"/>
          <w:szCs w:val="18"/>
        </w:rPr>
        <w:t>4</w:t>
      </w:r>
      <w:r w:rsidR="00315E51" w:rsidRPr="00213D08">
        <w:rPr>
          <w:rFonts w:ascii="Calibri" w:hAnsi="Calibri" w:cs="Calibri"/>
          <w:b/>
          <w:bCs/>
          <w:i/>
          <w:color w:val="404040" w:themeColor="text1" w:themeTint="BF"/>
          <w:sz w:val="18"/>
          <w:szCs w:val="18"/>
        </w:rPr>
        <w:t>)</w:t>
      </w:r>
    </w:p>
    <w:p w14:paraId="34DB8046" w14:textId="77777777" w:rsidR="002A6F86" w:rsidRPr="008D79B2" w:rsidRDefault="002A6F86" w:rsidP="00654A4C">
      <w:pPr>
        <w:rPr>
          <w:rFonts w:ascii="Calibri" w:hAnsi="Calibri" w:cs="Calibri"/>
          <w:b/>
          <w:bCs/>
          <w:i/>
          <w:color w:val="404040" w:themeColor="text1" w:themeTint="BF"/>
          <w:sz w:val="18"/>
          <w:szCs w:val="18"/>
        </w:rPr>
      </w:pPr>
    </w:p>
    <w:p w14:paraId="683394B7" w14:textId="5E626082" w:rsidR="005030AC" w:rsidRPr="00F620BD" w:rsidRDefault="00654A4C" w:rsidP="004F2F6A">
      <w:pPr>
        <w:rPr>
          <w:rFonts w:ascii="Calibri" w:hAnsi="Calibri" w:cs="Calibri"/>
          <w:iCs/>
          <w:color w:val="404040" w:themeColor="text1" w:themeTint="BF"/>
          <w:sz w:val="18"/>
          <w:szCs w:val="18"/>
        </w:rPr>
      </w:pPr>
      <w:r w:rsidRPr="00654A4C">
        <w:rPr>
          <w:noProof/>
        </w:rPr>
        <w:drawing>
          <wp:inline distT="0" distB="0" distL="0" distR="0" wp14:anchorId="57A9B770" wp14:editId="747901DB">
            <wp:extent cx="6492240" cy="1108710"/>
            <wp:effectExtent l="0" t="0" r="3810" b="0"/>
            <wp:docPr id="6362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92240" cy="1108710"/>
                    </a:xfrm>
                    <a:prstGeom prst="rect">
                      <a:avLst/>
                    </a:prstGeom>
                    <a:noFill/>
                    <a:ln>
                      <a:noFill/>
                    </a:ln>
                  </pic:spPr>
                </pic:pic>
              </a:graphicData>
            </a:graphic>
          </wp:inline>
        </w:drawing>
      </w:r>
    </w:p>
    <w:p w14:paraId="6D6544F6" w14:textId="77777777" w:rsidR="00F87EF1" w:rsidRPr="00EB0EE1" w:rsidRDefault="00F87EF1" w:rsidP="005030AC">
      <w:pPr>
        <w:rPr>
          <w:rFonts w:ascii="Calibri" w:hAnsi="Calibri" w:cs="Calibri"/>
          <w:i/>
          <w:color w:val="404040" w:themeColor="text1" w:themeTint="BF"/>
          <w:sz w:val="18"/>
          <w:szCs w:val="18"/>
        </w:rPr>
      </w:pPr>
    </w:p>
    <w:p w14:paraId="1420F6FC" w14:textId="77777777" w:rsidR="004C0569" w:rsidRPr="004D48E6" w:rsidRDefault="00F71A02" w:rsidP="004C0569">
      <w:pPr>
        <w:rPr>
          <w:rFonts w:ascii="Calibri" w:hAnsi="Calibri" w:cs="Calibri"/>
          <w:i/>
          <w:color w:val="404040" w:themeColor="text1" w:themeTint="BF"/>
          <w:sz w:val="20"/>
        </w:rPr>
      </w:pPr>
      <w:r w:rsidRPr="004D48E6">
        <w:rPr>
          <w:rFonts w:ascii="Calibri" w:hAnsi="Calibri" w:cs="Calibri"/>
          <w:i/>
          <w:color w:val="404040" w:themeColor="text1" w:themeTint="BF"/>
          <w:sz w:val="20"/>
        </w:rPr>
        <w:t xml:space="preserve"> </w:t>
      </w:r>
      <w:r w:rsidR="00A00E5D">
        <w:rPr>
          <w:rFonts w:ascii="Calibri" w:hAnsi="Calibri" w:cs="Calibri"/>
          <w:i/>
          <w:color w:val="404040" w:themeColor="text1" w:themeTint="BF"/>
          <w:sz w:val="20"/>
        </w:rPr>
        <w:t>Portfolio Characteristics</w:t>
      </w:r>
      <w:r w:rsidR="0094273D">
        <w:rPr>
          <w:rFonts w:ascii="Calibri" w:hAnsi="Calibri" w:cs="Calibri"/>
          <w:i/>
          <w:color w:val="404040" w:themeColor="text1" w:themeTint="BF"/>
          <w:sz w:val="20"/>
        </w:rPr>
        <w:t>:</w:t>
      </w:r>
    </w:p>
    <w:tbl>
      <w:tblPr>
        <w:tblW w:w="10556" w:type="dxa"/>
        <w:tblLayout w:type="fixed"/>
        <w:tblLook w:val="04A0" w:firstRow="1" w:lastRow="0" w:firstColumn="1" w:lastColumn="0" w:noHBand="0" w:noVBand="1"/>
      </w:tblPr>
      <w:tblGrid>
        <w:gridCol w:w="2069"/>
        <w:gridCol w:w="3331"/>
        <w:gridCol w:w="1858"/>
        <w:gridCol w:w="3298"/>
      </w:tblGrid>
      <w:tr w:rsidR="004C0569" w:rsidRPr="004D48E6" w14:paraId="15D82178" w14:textId="77777777" w:rsidTr="00CB67CB">
        <w:trPr>
          <w:trHeight w:val="125"/>
        </w:trPr>
        <w:tc>
          <w:tcPr>
            <w:tcW w:w="980" w:type="pct"/>
            <w:tcBorders>
              <w:top w:val="nil"/>
              <w:left w:val="nil"/>
              <w:bottom w:val="single" w:sz="4" w:space="0" w:color="808080"/>
              <w:right w:val="nil"/>
            </w:tcBorders>
            <w:vAlign w:val="center"/>
            <w:hideMark/>
          </w:tcPr>
          <w:p w14:paraId="4FAFE641" w14:textId="77777777" w:rsidR="004C0569" w:rsidRPr="004D48E6" w:rsidRDefault="004910CA">
            <w:pPr>
              <w:spacing w:before="40" w:line="200" w:lineRule="atLeast"/>
              <w:rPr>
                <w:rFonts w:ascii="Calibri" w:eastAsia="MS Mincho" w:hAnsi="Calibri" w:cs="Arial"/>
                <w:b/>
                <w:color w:val="404040" w:themeColor="text1" w:themeTint="BF"/>
                <w:sz w:val="18"/>
                <w:szCs w:val="18"/>
              </w:rPr>
            </w:pPr>
            <w:r>
              <w:rPr>
                <w:rFonts w:ascii="Calibri" w:eastAsia="MS Mincho" w:hAnsi="Calibri" w:cs="Arial"/>
                <w:b/>
                <w:color w:val="404040" w:themeColor="text1" w:themeTint="BF"/>
                <w:sz w:val="18"/>
                <w:szCs w:val="18"/>
              </w:rPr>
              <w:t>Vehicle</w:t>
            </w:r>
            <w:r w:rsidR="004C0569" w:rsidRPr="004D48E6">
              <w:rPr>
                <w:rFonts w:ascii="Calibri" w:eastAsia="MS Mincho" w:hAnsi="Calibri" w:cs="Arial"/>
                <w:b/>
                <w:color w:val="404040" w:themeColor="text1" w:themeTint="BF"/>
                <w:sz w:val="18"/>
                <w:szCs w:val="18"/>
              </w:rPr>
              <w:t xml:space="preserve"> Structure</w:t>
            </w:r>
          </w:p>
        </w:tc>
        <w:tc>
          <w:tcPr>
            <w:tcW w:w="1578" w:type="pct"/>
            <w:tcBorders>
              <w:top w:val="nil"/>
              <w:left w:val="nil"/>
              <w:bottom w:val="single" w:sz="4" w:space="0" w:color="808080"/>
              <w:right w:val="nil"/>
            </w:tcBorders>
            <w:vAlign w:val="center"/>
            <w:hideMark/>
          </w:tcPr>
          <w:p w14:paraId="2A213B1C" w14:textId="056993B5" w:rsidR="004C0569" w:rsidRPr="004D48E6" w:rsidRDefault="00524478">
            <w:pPr>
              <w:spacing w:before="40" w:line="200" w:lineRule="atLeast"/>
              <w:rPr>
                <w:rFonts w:ascii="Calibri" w:eastAsia="MS Mincho" w:hAnsi="Calibri" w:cs="Arial"/>
                <w:color w:val="404040" w:themeColor="text1" w:themeTint="BF"/>
                <w:sz w:val="18"/>
                <w:szCs w:val="18"/>
              </w:rPr>
            </w:pPr>
            <w:r>
              <w:rPr>
                <w:rFonts w:ascii="Calibri" w:eastAsia="MS Mincho" w:hAnsi="Calibri" w:cs="Arial"/>
                <w:color w:val="404040" w:themeColor="text1" w:themeTint="BF"/>
                <w:sz w:val="18"/>
                <w:szCs w:val="18"/>
              </w:rPr>
              <w:t>Fund-of-One</w:t>
            </w:r>
          </w:p>
        </w:tc>
        <w:tc>
          <w:tcPr>
            <w:tcW w:w="880" w:type="pct"/>
            <w:tcBorders>
              <w:top w:val="nil"/>
              <w:left w:val="nil"/>
              <w:bottom w:val="single" w:sz="4" w:space="0" w:color="808080"/>
              <w:right w:val="nil"/>
            </w:tcBorders>
            <w:vAlign w:val="center"/>
            <w:hideMark/>
          </w:tcPr>
          <w:p w14:paraId="57E55F70" w14:textId="1880755D" w:rsidR="004C0569" w:rsidRPr="004D48E6" w:rsidRDefault="003163BF">
            <w:pPr>
              <w:spacing w:before="40" w:line="200" w:lineRule="atLeast"/>
              <w:rPr>
                <w:rFonts w:ascii="Calibri" w:eastAsia="MS Mincho" w:hAnsi="Calibri" w:cs="Arial"/>
                <w:b/>
                <w:color w:val="404040" w:themeColor="text1" w:themeTint="BF"/>
                <w:sz w:val="18"/>
                <w:szCs w:val="18"/>
              </w:rPr>
            </w:pPr>
            <w:r>
              <w:rPr>
                <w:rFonts w:ascii="Calibri" w:eastAsia="MS Mincho" w:hAnsi="Calibri" w:cs="Arial"/>
                <w:b/>
                <w:color w:val="404040" w:themeColor="text1" w:themeTint="BF"/>
                <w:sz w:val="18"/>
                <w:szCs w:val="18"/>
              </w:rPr>
              <w:t>R</w:t>
            </w:r>
            <w:r w:rsidR="007E761C">
              <w:rPr>
                <w:rFonts w:ascii="Calibri" w:eastAsia="MS Mincho" w:hAnsi="Calibri" w:cs="Arial"/>
                <w:b/>
                <w:color w:val="404040" w:themeColor="text1" w:themeTint="BF"/>
                <w:sz w:val="18"/>
                <w:szCs w:val="18"/>
              </w:rPr>
              <w:t xml:space="preserve">isk </w:t>
            </w:r>
            <w:r w:rsidR="00201C3A">
              <w:rPr>
                <w:rFonts w:ascii="Calibri" w:eastAsia="MS Mincho" w:hAnsi="Calibri" w:cs="Arial"/>
                <w:b/>
                <w:color w:val="404040" w:themeColor="text1" w:themeTint="BF"/>
                <w:sz w:val="18"/>
                <w:szCs w:val="18"/>
              </w:rPr>
              <w:t>Category</w:t>
            </w:r>
          </w:p>
        </w:tc>
        <w:tc>
          <w:tcPr>
            <w:tcW w:w="1562" w:type="pct"/>
            <w:tcBorders>
              <w:top w:val="nil"/>
              <w:left w:val="nil"/>
              <w:bottom w:val="single" w:sz="4" w:space="0" w:color="808080"/>
              <w:right w:val="nil"/>
            </w:tcBorders>
            <w:vAlign w:val="center"/>
            <w:hideMark/>
          </w:tcPr>
          <w:p w14:paraId="158B235B" w14:textId="5F636EF6" w:rsidR="004C0569" w:rsidRPr="004D48E6" w:rsidRDefault="004E58C7">
            <w:pPr>
              <w:spacing w:before="40" w:line="200" w:lineRule="atLeast"/>
              <w:rPr>
                <w:rFonts w:ascii="Calibri" w:eastAsia="MS Mincho" w:hAnsi="Calibri" w:cs="Arial"/>
                <w:color w:val="404040" w:themeColor="text1" w:themeTint="BF"/>
                <w:sz w:val="18"/>
                <w:szCs w:val="18"/>
              </w:rPr>
            </w:pPr>
            <w:r>
              <w:rPr>
                <w:rFonts w:ascii="Calibri" w:eastAsia="MS Mincho" w:hAnsi="Calibri" w:cs="Arial"/>
                <w:color w:val="404040" w:themeColor="text1" w:themeTint="BF"/>
                <w:sz w:val="18"/>
                <w:szCs w:val="18"/>
              </w:rPr>
              <w:t xml:space="preserve">Opportunistic </w:t>
            </w:r>
            <w:r w:rsidR="009949CB">
              <w:rPr>
                <w:rFonts w:ascii="Calibri" w:eastAsia="MS Mincho" w:hAnsi="Calibri" w:cs="Arial"/>
                <w:color w:val="404040" w:themeColor="text1" w:themeTint="BF"/>
                <w:sz w:val="18"/>
                <w:szCs w:val="18"/>
              </w:rPr>
              <w:t>held to</w:t>
            </w:r>
            <w:r>
              <w:rPr>
                <w:rFonts w:ascii="Calibri" w:eastAsia="MS Mincho" w:hAnsi="Calibri" w:cs="Arial"/>
                <w:color w:val="404040" w:themeColor="text1" w:themeTint="BF"/>
                <w:sz w:val="18"/>
                <w:szCs w:val="18"/>
              </w:rPr>
              <w:t xml:space="preserve"> Core</w:t>
            </w:r>
          </w:p>
        </w:tc>
      </w:tr>
      <w:tr w:rsidR="004C0569" w:rsidRPr="004D48E6" w14:paraId="76B09DF2" w14:textId="77777777" w:rsidTr="00CB67CB">
        <w:trPr>
          <w:trHeight w:val="224"/>
        </w:trPr>
        <w:tc>
          <w:tcPr>
            <w:tcW w:w="980" w:type="pct"/>
            <w:tcBorders>
              <w:top w:val="single" w:sz="4" w:space="0" w:color="808080"/>
              <w:left w:val="nil"/>
              <w:bottom w:val="single" w:sz="4" w:space="0" w:color="808080"/>
              <w:right w:val="nil"/>
            </w:tcBorders>
            <w:vAlign w:val="center"/>
            <w:hideMark/>
          </w:tcPr>
          <w:p w14:paraId="1F88B00B" w14:textId="3C265C50" w:rsidR="004C0569" w:rsidRPr="004D48E6" w:rsidRDefault="008563F6">
            <w:pPr>
              <w:spacing w:before="40" w:line="200" w:lineRule="atLeast"/>
              <w:rPr>
                <w:rFonts w:ascii="Calibri" w:eastAsia="MS Mincho" w:hAnsi="Calibri" w:cs="Arial"/>
                <w:b/>
                <w:color w:val="404040" w:themeColor="text1" w:themeTint="BF"/>
                <w:sz w:val="18"/>
                <w:szCs w:val="18"/>
              </w:rPr>
            </w:pPr>
            <w:r>
              <w:rPr>
                <w:rFonts w:ascii="Calibri" w:eastAsia="MS Mincho" w:hAnsi="Calibri" w:cs="Arial"/>
                <w:b/>
                <w:color w:val="404040" w:themeColor="text1" w:themeTint="BF"/>
                <w:sz w:val="18"/>
                <w:szCs w:val="18"/>
              </w:rPr>
              <w:t>Expected Fund Size</w:t>
            </w:r>
          </w:p>
        </w:tc>
        <w:tc>
          <w:tcPr>
            <w:tcW w:w="1578" w:type="pct"/>
            <w:tcBorders>
              <w:top w:val="single" w:sz="4" w:space="0" w:color="808080"/>
              <w:left w:val="nil"/>
              <w:bottom w:val="single" w:sz="4" w:space="0" w:color="808080"/>
              <w:right w:val="nil"/>
            </w:tcBorders>
            <w:vAlign w:val="center"/>
            <w:hideMark/>
          </w:tcPr>
          <w:p w14:paraId="59D6595B" w14:textId="0A7C4085" w:rsidR="004C0569" w:rsidRPr="004D48E6" w:rsidRDefault="004E58C7">
            <w:pPr>
              <w:spacing w:before="40" w:line="200" w:lineRule="atLeast"/>
              <w:rPr>
                <w:rFonts w:ascii="Calibri" w:eastAsia="MS Mincho" w:hAnsi="Calibri" w:cs="Arial"/>
                <w:color w:val="404040" w:themeColor="text1" w:themeTint="BF"/>
                <w:sz w:val="18"/>
                <w:szCs w:val="18"/>
              </w:rPr>
            </w:pPr>
            <w:r>
              <w:rPr>
                <w:rFonts w:ascii="Calibri" w:eastAsia="MS Mincho" w:hAnsi="Calibri" w:cs="Arial"/>
                <w:color w:val="404040" w:themeColor="text1" w:themeTint="BF"/>
                <w:sz w:val="18"/>
                <w:szCs w:val="18"/>
              </w:rPr>
              <w:t>$600 million</w:t>
            </w:r>
          </w:p>
        </w:tc>
        <w:tc>
          <w:tcPr>
            <w:tcW w:w="880" w:type="pct"/>
            <w:tcBorders>
              <w:top w:val="single" w:sz="4" w:space="0" w:color="808080"/>
              <w:left w:val="nil"/>
              <w:bottom w:val="single" w:sz="4" w:space="0" w:color="808080"/>
              <w:right w:val="nil"/>
            </w:tcBorders>
            <w:vAlign w:val="center"/>
            <w:hideMark/>
          </w:tcPr>
          <w:p w14:paraId="0F2EDD37" w14:textId="61408978" w:rsidR="004C0569" w:rsidRPr="003A0DB2" w:rsidRDefault="004C0569">
            <w:pPr>
              <w:spacing w:before="40" w:line="200" w:lineRule="atLeast"/>
              <w:rPr>
                <w:rFonts w:ascii="Calibri" w:eastAsia="MS Mincho" w:hAnsi="Calibri" w:cs="Arial"/>
                <w:b/>
                <w:color w:val="404040" w:themeColor="text1" w:themeTint="BF"/>
                <w:sz w:val="18"/>
                <w:szCs w:val="18"/>
              </w:rPr>
            </w:pPr>
            <w:r w:rsidRPr="003A0DB2">
              <w:rPr>
                <w:rFonts w:ascii="Calibri" w:eastAsia="MS Mincho" w:hAnsi="Calibri" w:cs="Arial"/>
                <w:b/>
                <w:color w:val="404040" w:themeColor="text1" w:themeTint="BF"/>
                <w:sz w:val="18"/>
                <w:szCs w:val="18"/>
              </w:rPr>
              <w:t>Sponsor Co</w:t>
            </w:r>
            <w:r w:rsidR="00547449" w:rsidRPr="003A0DB2">
              <w:rPr>
                <w:rFonts w:ascii="Calibri" w:eastAsia="MS Mincho" w:hAnsi="Calibri" w:cs="Arial"/>
                <w:b/>
                <w:color w:val="404040" w:themeColor="text1" w:themeTint="BF"/>
                <w:sz w:val="18"/>
                <w:szCs w:val="18"/>
              </w:rPr>
              <w:t>mmitment</w:t>
            </w:r>
          </w:p>
        </w:tc>
        <w:tc>
          <w:tcPr>
            <w:tcW w:w="1562" w:type="pct"/>
            <w:tcBorders>
              <w:top w:val="single" w:sz="4" w:space="0" w:color="808080"/>
              <w:left w:val="nil"/>
              <w:bottom w:val="single" w:sz="4" w:space="0" w:color="808080"/>
              <w:right w:val="nil"/>
            </w:tcBorders>
            <w:vAlign w:val="center"/>
            <w:hideMark/>
          </w:tcPr>
          <w:p w14:paraId="13E942B4" w14:textId="51ED8BB3" w:rsidR="004C0569" w:rsidRPr="003A0DB2" w:rsidRDefault="0051360E" w:rsidP="00951254">
            <w:pPr>
              <w:spacing w:before="40" w:line="200" w:lineRule="atLeast"/>
              <w:rPr>
                <w:rFonts w:ascii="Calibri" w:eastAsia="MS Mincho" w:hAnsi="Calibri" w:cs="Arial"/>
                <w:color w:val="404040" w:themeColor="text1" w:themeTint="BF"/>
                <w:sz w:val="18"/>
                <w:szCs w:val="18"/>
              </w:rPr>
            </w:pPr>
            <w:r>
              <w:rPr>
                <w:rFonts w:ascii="Calibri" w:eastAsia="MS Mincho" w:hAnsi="Calibri" w:cs="Arial"/>
                <w:color w:val="404040" w:themeColor="text1" w:themeTint="BF"/>
                <w:sz w:val="18"/>
                <w:szCs w:val="18"/>
              </w:rPr>
              <w:t>2% of capital commitments</w:t>
            </w:r>
          </w:p>
        </w:tc>
      </w:tr>
      <w:tr w:rsidR="004C0569" w:rsidRPr="004D48E6" w14:paraId="29DAB47F" w14:textId="77777777" w:rsidTr="00CB67CB">
        <w:trPr>
          <w:trHeight w:val="40"/>
        </w:trPr>
        <w:tc>
          <w:tcPr>
            <w:tcW w:w="980" w:type="pct"/>
            <w:tcBorders>
              <w:top w:val="single" w:sz="4" w:space="0" w:color="808080"/>
              <w:left w:val="nil"/>
              <w:bottom w:val="single" w:sz="4" w:space="0" w:color="808080"/>
              <w:right w:val="nil"/>
            </w:tcBorders>
            <w:vAlign w:val="center"/>
            <w:hideMark/>
          </w:tcPr>
          <w:p w14:paraId="3745891E" w14:textId="1DC1B52E" w:rsidR="004C0569" w:rsidRPr="003A0DB2" w:rsidRDefault="00562B5B">
            <w:pPr>
              <w:spacing w:before="40" w:line="200" w:lineRule="atLeast"/>
              <w:rPr>
                <w:rFonts w:ascii="Calibri" w:eastAsia="MS Mincho" w:hAnsi="Calibri" w:cs="Arial"/>
                <w:b/>
                <w:color w:val="404040" w:themeColor="text1" w:themeTint="BF"/>
                <w:sz w:val="18"/>
                <w:szCs w:val="18"/>
              </w:rPr>
            </w:pPr>
            <w:r>
              <w:rPr>
                <w:rFonts w:ascii="Calibri" w:eastAsia="MS Mincho" w:hAnsi="Calibri" w:cs="Arial"/>
                <w:b/>
                <w:color w:val="404040" w:themeColor="text1" w:themeTint="BF"/>
                <w:sz w:val="18"/>
                <w:szCs w:val="18"/>
              </w:rPr>
              <w:t>Commitment Period</w:t>
            </w:r>
          </w:p>
        </w:tc>
        <w:tc>
          <w:tcPr>
            <w:tcW w:w="1578" w:type="pct"/>
            <w:tcBorders>
              <w:top w:val="single" w:sz="4" w:space="0" w:color="808080"/>
              <w:left w:val="nil"/>
              <w:bottom w:val="single" w:sz="4" w:space="0" w:color="808080"/>
              <w:right w:val="nil"/>
            </w:tcBorders>
            <w:vAlign w:val="center"/>
            <w:hideMark/>
          </w:tcPr>
          <w:p w14:paraId="01AA180C" w14:textId="60E3DDBB" w:rsidR="004C0569" w:rsidRPr="003A0DB2" w:rsidRDefault="00562B5B">
            <w:pPr>
              <w:spacing w:before="40" w:line="200" w:lineRule="atLeast"/>
              <w:rPr>
                <w:rFonts w:ascii="Calibri" w:eastAsia="MS Mincho" w:hAnsi="Calibri" w:cs="Arial"/>
                <w:color w:val="404040" w:themeColor="text1" w:themeTint="BF"/>
                <w:sz w:val="18"/>
                <w:szCs w:val="18"/>
              </w:rPr>
            </w:pPr>
            <w:r>
              <w:rPr>
                <w:rFonts w:ascii="Calibri" w:eastAsia="MS Mincho" w:hAnsi="Calibri" w:cs="Arial"/>
                <w:color w:val="404040" w:themeColor="text1" w:themeTint="BF"/>
                <w:sz w:val="18"/>
                <w:szCs w:val="18"/>
              </w:rPr>
              <w:t>3 years</w:t>
            </w:r>
          </w:p>
        </w:tc>
        <w:tc>
          <w:tcPr>
            <w:tcW w:w="880" w:type="pct"/>
            <w:tcBorders>
              <w:top w:val="single" w:sz="4" w:space="0" w:color="808080"/>
              <w:left w:val="nil"/>
              <w:bottom w:val="single" w:sz="4" w:space="0" w:color="808080"/>
              <w:right w:val="nil"/>
            </w:tcBorders>
            <w:vAlign w:val="center"/>
            <w:hideMark/>
          </w:tcPr>
          <w:p w14:paraId="75693728" w14:textId="75E655E5" w:rsidR="004C0569" w:rsidRPr="003A0DB2" w:rsidRDefault="00055CE0">
            <w:pPr>
              <w:spacing w:before="40" w:line="200" w:lineRule="atLeast"/>
              <w:rPr>
                <w:rFonts w:ascii="Calibri" w:eastAsia="MS Mincho" w:hAnsi="Calibri" w:cs="Arial"/>
                <w:b/>
                <w:color w:val="404040" w:themeColor="text1" w:themeTint="BF"/>
                <w:sz w:val="18"/>
                <w:szCs w:val="18"/>
              </w:rPr>
            </w:pPr>
            <w:r w:rsidRPr="003A0DB2">
              <w:rPr>
                <w:rFonts w:ascii="Calibri" w:eastAsia="MS Mincho" w:hAnsi="Calibri" w:cs="Arial"/>
                <w:b/>
                <w:color w:val="404040" w:themeColor="text1" w:themeTint="BF"/>
                <w:sz w:val="18"/>
                <w:szCs w:val="18"/>
              </w:rPr>
              <w:t>Fund Term</w:t>
            </w:r>
          </w:p>
        </w:tc>
        <w:tc>
          <w:tcPr>
            <w:tcW w:w="1562" w:type="pct"/>
            <w:tcBorders>
              <w:top w:val="single" w:sz="4" w:space="0" w:color="808080"/>
              <w:left w:val="nil"/>
              <w:bottom w:val="single" w:sz="4" w:space="0" w:color="808080"/>
              <w:right w:val="nil"/>
            </w:tcBorders>
            <w:vAlign w:val="center"/>
            <w:hideMark/>
          </w:tcPr>
          <w:p w14:paraId="6075FF94" w14:textId="702ACEFB" w:rsidR="0062041F" w:rsidRPr="003A0DB2" w:rsidRDefault="00562B5B">
            <w:pPr>
              <w:spacing w:before="40" w:line="200" w:lineRule="atLeast"/>
              <w:rPr>
                <w:rFonts w:ascii="Calibri" w:eastAsia="MS Mincho" w:hAnsi="Calibri" w:cs="Arial"/>
                <w:color w:val="404040" w:themeColor="text1" w:themeTint="BF"/>
                <w:sz w:val="18"/>
                <w:szCs w:val="18"/>
              </w:rPr>
            </w:pPr>
            <w:r>
              <w:rPr>
                <w:rFonts w:ascii="Calibri" w:eastAsia="MS Mincho" w:hAnsi="Calibri" w:cs="Arial"/>
                <w:color w:val="404040" w:themeColor="text1" w:themeTint="BF"/>
                <w:sz w:val="18"/>
                <w:szCs w:val="18"/>
              </w:rPr>
              <w:t>8 years</w:t>
            </w:r>
          </w:p>
        </w:tc>
      </w:tr>
      <w:tr w:rsidR="0062041F" w:rsidRPr="004D48E6" w14:paraId="572A3A26" w14:textId="77777777" w:rsidTr="00CB67CB">
        <w:trPr>
          <w:trHeight w:val="40"/>
        </w:trPr>
        <w:tc>
          <w:tcPr>
            <w:tcW w:w="980" w:type="pct"/>
            <w:tcBorders>
              <w:top w:val="single" w:sz="4" w:space="0" w:color="808080"/>
              <w:left w:val="nil"/>
              <w:bottom w:val="single" w:sz="4" w:space="0" w:color="808080"/>
              <w:right w:val="nil"/>
            </w:tcBorders>
            <w:vAlign w:val="center"/>
          </w:tcPr>
          <w:p w14:paraId="464B3CE9" w14:textId="103DC333" w:rsidR="0062041F" w:rsidRPr="007A20DD" w:rsidRDefault="003345FD">
            <w:pPr>
              <w:spacing w:before="40" w:line="200" w:lineRule="atLeast"/>
              <w:rPr>
                <w:rFonts w:ascii="Calibri" w:eastAsia="MS Mincho" w:hAnsi="Calibri" w:cs="Arial"/>
                <w:b/>
                <w:color w:val="404040" w:themeColor="text1" w:themeTint="BF"/>
                <w:sz w:val="18"/>
                <w:szCs w:val="18"/>
              </w:rPr>
            </w:pPr>
            <w:r w:rsidRPr="007A20DD">
              <w:rPr>
                <w:rFonts w:ascii="Calibri" w:eastAsia="MS Mincho" w:hAnsi="Calibri" w:cs="Arial"/>
                <w:b/>
                <w:color w:val="404040" w:themeColor="text1" w:themeTint="BF"/>
                <w:sz w:val="18"/>
                <w:szCs w:val="18"/>
              </w:rPr>
              <w:t>Avg. Investment Size</w:t>
            </w:r>
          </w:p>
        </w:tc>
        <w:tc>
          <w:tcPr>
            <w:tcW w:w="1578" w:type="pct"/>
            <w:tcBorders>
              <w:top w:val="single" w:sz="4" w:space="0" w:color="808080"/>
              <w:left w:val="nil"/>
              <w:bottom w:val="single" w:sz="4" w:space="0" w:color="808080"/>
              <w:right w:val="nil"/>
            </w:tcBorders>
            <w:vAlign w:val="center"/>
          </w:tcPr>
          <w:p w14:paraId="4F6C8924" w14:textId="20CC9513" w:rsidR="0062041F" w:rsidRPr="007A20DD" w:rsidRDefault="006D3AE7">
            <w:pPr>
              <w:spacing w:before="40" w:line="200" w:lineRule="atLeast"/>
              <w:rPr>
                <w:rFonts w:ascii="Calibri" w:eastAsia="MS Mincho" w:hAnsi="Calibri" w:cs="Arial"/>
                <w:color w:val="404040" w:themeColor="text1" w:themeTint="BF"/>
                <w:sz w:val="18"/>
                <w:szCs w:val="18"/>
              </w:rPr>
            </w:pPr>
            <w:r>
              <w:rPr>
                <w:rFonts w:ascii="Calibri" w:eastAsia="MS Mincho" w:hAnsi="Calibri" w:cs="Arial"/>
                <w:color w:val="404040" w:themeColor="text1" w:themeTint="BF"/>
                <w:sz w:val="18"/>
                <w:szCs w:val="18"/>
              </w:rPr>
              <w:t>$120 million total cost</w:t>
            </w:r>
          </w:p>
        </w:tc>
        <w:tc>
          <w:tcPr>
            <w:tcW w:w="880" w:type="pct"/>
            <w:tcBorders>
              <w:top w:val="single" w:sz="4" w:space="0" w:color="808080"/>
              <w:left w:val="nil"/>
              <w:bottom w:val="single" w:sz="4" w:space="0" w:color="808080"/>
              <w:right w:val="nil"/>
            </w:tcBorders>
            <w:vAlign w:val="center"/>
          </w:tcPr>
          <w:p w14:paraId="11D60365" w14:textId="67F22D23" w:rsidR="0062041F" w:rsidRPr="00DF5E38" w:rsidRDefault="0062041F">
            <w:pPr>
              <w:spacing w:before="40" w:line="200" w:lineRule="atLeast"/>
              <w:rPr>
                <w:rFonts w:ascii="Calibri" w:eastAsia="MS Mincho" w:hAnsi="Calibri" w:cs="Arial"/>
                <w:b/>
                <w:color w:val="404040" w:themeColor="text1" w:themeTint="BF"/>
                <w:sz w:val="18"/>
                <w:szCs w:val="18"/>
              </w:rPr>
            </w:pPr>
            <w:r w:rsidRPr="00DF5E38">
              <w:rPr>
                <w:rFonts w:ascii="Calibri" w:eastAsia="MS Mincho" w:hAnsi="Calibri" w:cs="Arial"/>
                <w:b/>
                <w:color w:val="404040" w:themeColor="text1" w:themeTint="BF"/>
                <w:sz w:val="18"/>
                <w:szCs w:val="18"/>
              </w:rPr>
              <w:t xml:space="preserve">Typical </w:t>
            </w:r>
            <w:r w:rsidR="005D7C37" w:rsidRPr="00DF5E38">
              <w:rPr>
                <w:rFonts w:ascii="Calibri" w:eastAsia="MS Mincho" w:hAnsi="Calibri" w:cs="Arial"/>
                <w:b/>
                <w:color w:val="404040" w:themeColor="text1" w:themeTint="BF"/>
                <w:sz w:val="18"/>
                <w:szCs w:val="18"/>
              </w:rPr>
              <w:t>Business Plan</w:t>
            </w:r>
          </w:p>
        </w:tc>
        <w:tc>
          <w:tcPr>
            <w:tcW w:w="1562" w:type="pct"/>
            <w:tcBorders>
              <w:top w:val="single" w:sz="4" w:space="0" w:color="808080"/>
              <w:left w:val="nil"/>
              <w:bottom w:val="single" w:sz="4" w:space="0" w:color="808080"/>
              <w:right w:val="nil"/>
            </w:tcBorders>
            <w:vAlign w:val="center"/>
          </w:tcPr>
          <w:p w14:paraId="5A4D00F2" w14:textId="349F2A2D" w:rsidR="0062041F" w:rsidRPr="00DF5E38" w:rsidRDefault="007D5125">
            <w:pPr>
              <w:spacing w:before="40" w:line="200" w:lineRule="atLeast"/>
              <w:rPr>
                <w:rFonts w:ascii="Calibri" w:eastAsia="MS Mincho" w:hAnsi="Calibri" w:cs="Arial"/>
                <w:color w:val="404040" w:themeColor="text1" w:themeTint="BF"/>
                <w:sz w:val="18"/>
                <w:szCs w:val="18"/>
              </w:rPr>
            </w:pPr>
            <w:r w:rsidRPr="00DF5E38">
              <w:rPr>
                <w:rFonts w:ascii="Calibri" w:eastAsia="MS Mincho" w:hAnsi="Calibri" w:cs="Arial"/>
                <w:color w:val="404040" w:themeColor="text1" w:themeTint="BF"/>
                <w:sz w:val="18"/>
                <w:szCs w:val="18"/>
              </w:rPr>
              <w:t>3-</w:t>
            </w:r>
            <w:r w:rsidR="000404C1" w:rsidRPr="00DF5E38">
              <w:rPr>
                <w:rFonts w:ascii="Calibri" w:eastAsia="MS Mincho" w:hAnsi="Calibri" w:cs="Arial"/>
                <w:color w:val="404040" w:themeColor="text1" w:themeTint="BF"/>
                <w:sz w:val="18"/>
                <w:szCs w:val="18"/>
              </w:rPr>
              <w:t>5 years</w:t>
            </w:r>
          </w:p>
        </w:tc>
      </w:tr>
      <w:tr w:rsidR="005A18AA" w:rsidRPr="004910CA" w14:paraId="41C47753" w14:textId="77777777" w:rsidTr="00F3779A">
        <w:trPr>
          <w:trHeight w:val="762"/>
        </w:trPr>
        <w:tc>
          <w:tcPr>
            <w:tcW w:w="980" w:type="pct"/>
            <w:tcBorders>
              <w:top w:val="single" w:sz="4" w:space="0" w:color="808080"/>
              <w:left w:val="nil"/>
              <w:bottom w:val="single" w:sz="4" w:space="0" w:color="808080"/>
              <w:right w:val="nil"/>
            </w:tcBorders>
            <w:vAlign w:val="center"/>
          </w:tcPr>
          <w:p w14:paraId="0A05B5C6" w14:textId="77777777" w:rsidR="00402DAB" w:rsidRPr="00620491" w:rsidRDefault="00402DAB" w:rsidP="00282562">
            <w:pPr>
              <w:spacing w:before="40" w:line="200" w:lineRule="atLeast"/>
              <w:rPr>
                <w:rFonts w:ascii="Calibri" w:eastAsia="MS Mincho" w:hAnsi="Calibri" w:cs="Arial"/>
                <w:i/>
                <w:color w:val="404040" w:themeColor="text1" w:themeTint="BF"/>
                <w:sz w:val="20"/>
                <w:szCs w:val="20"/>
              </w:rPr>
            </w:pPr>
            <w:r w:rsidRPr="00620491">
              <w:rPr>
                <w:rFonts w:ascii="Calibri" w:eastAsia="MS Mincho" w:hAnsi="Calibri" w:cs="Arial"/>
                <w:i/>
                <w:color w:val="404040" w:themeColor="text1" w:themeTint="BF"/>
                <w:sz w:val="20"/>
                <w:szCs w:val="20"/>
              </w:rPr>
              <w:t>Fees:</w:t>
            </w:r>
          </w:p>
          <w:p w14:paraId="181B2AF9" w14:textId="572D3DAF" w:rsidR="005A18AA" w:rsidRPr="00E347A1" w:rsidRDefault="00402DAB" w:rsidP="00282562">
            <w:pPr>
              <w:spacing w:before="40" w:line="200" w:lineRule="atLeast"/>
              <w:rPr>
                <w:rFonts w:ascii="Calibri" w:eastAsia="MS Mincho" w:hAnsi="Calibri" w:cs="Arial"/>
                <w:i/>
                <w:color w:val="404040" w:themeColor="text1" w:themeTint="BF"/>
                <w:sz w:val="20"/>
                <w:szCs w:val="20"/>
                <w:highlight w:val="yellow"/>
              </w:rPr>
            </w:pPr>
            <w:r w:rsidRPr="00620491">
              <w:rPr>
                <w:rFonts w:ascii="Calibri" w:eastAsia="MS Mincho" w:hAnsi="Calibri" w:cs="Arial"/>
                <w:b/>
                <w:color w:val="404040" w:themeColor="text1" w:themeTint="BF"/>
                <w:sz w:val="18"/>
                <w:szCs w:val="18"/>
              </w:rPr>
              <w:t>Management Fee</w:t>
            </w:r>
          </w:p>
        </w:tc>
        <w:tc>
          <w:tcPr>
            <w:tcW w:w="1578" w:type="pct"/>
            <w:tcBorders>
              <w:top w:val="single" w:sz="4" w:space="0" w:color="808080"/>
              <w:left w:val="nil"/>
              <w:bottom w:val="single" w:sz="4" w:space="0" w:color="808080"/>
              <w:right w:val="nil"/>
            </w:tcBorders>
            <w:vAlign w:val="center"/>
          </w:tcPr>
          <w:p w14:paraId="3C6E191D" w14:textId="6B31693D" w:rsidR="007845DB" w:rsidRPr="00682216" w:rsidRDefault="00353AE1" w:rsidP="00480CBC">
            <w:pPr>
              <w:rPr>
                <w:rFonts w:ascii="Calibri" w:eastAsia="MS Mincho" w:hAnsi="Calibri" w:cs="Arial"/>
                <w:color w:val="404040" w:themeColor="text1" w:themeTint="BF"/>
                <w:sz w:val="18"/>
                <w:szCs w:val="18"/>
              </w:rPr>
            </w:pPr>
            <w:r>
              <w:rPr>
                <w:rFonts w:ascii="Calibri" w:eastAsia="MS Mincho" w:hAnsi="Calibri" w:cs="Arial"/>
                <w:color w:val="404040" w:themeColor="text1" w:themeTint="BF"/>
                <w:sz w:val="18"/>
                <w:szCs w:val="18"/>
              </w:rPr>
              <w:t>.35% on GAV</w:t>
            </w:r>
          </w:p>
        </w:tc>
        <w:tc>
          <w:tcPr>
            <w:tcW w:w="880" w:type="pct"/>
            <w:tcBorders>
              <w:top w:val="single" w:sz="4" w:space="0" w:color="808080"/>
              <w:left w:val="nil"/>
              <w:bottom w:val="single" w:sz="4" w:space="0" w:color="808080"/>
              <w:right w:val="nil"/>
            </w:tcBorders>
            <w:vAlign w:val="center"/>
          </w:tcPr>
          <w:p w14:paraId="601A3AA1" w14:textId="77777777" w:rsidR="005A18AA" w:rsidRPr="00620491" w:rsidRDefault="005A18AA" w:rsidP="00282562">
            <w:pPr>
              <w:spacing w:before="40" w:line="200" w:lineRule="atLeast"/>
              <w:rPr>
                <w:rFonts w:ascii="Calibri" w:eastAsia="MS Mincho" w:hAnsi="Calibri" w:cs="Arial"/>
                <w:b/>
                <w:color w:val="404040" w:themeColor="text1" w:themeTint="BF"/>
                <w:sz w:val="18"/>
                <w:szCs w:val="18"/>
              </w:rPr>
            </w:pPr>
            <w:r w:rsidRPr="00620491">
              <w:rPr>
                <w:rFonts w:ascii="Calibri" w:eastAsia="MS Mincho" w:hAnsi="Calibri" w:cs="Arial"/>
                <w:b/>
                <w:color w:val="404040" w:themeColor="text1" w:themeTint="BF"/>
                <w:sz w:val="18"/>
                <w:szCs w:val="18"/>
              </w:rPr>
              <w:t>Incentive Fee Waterfall</w:t>
            </w:r>
          </w:p>
        </w:tc>
        <w:tc>
          <w:tcPr>
            <w:tcW w:w="1562" w:type="pct"/>
            <w:tcBorders>
              <w:top w:val="single" w:sz="4" w:space="0" w:color="808080"/>
              <w:left w:val="nil"/>
              <w:bottom w:val="single" w:sz="4" w:space="0" w:color="808080"/>
              <w:right w:val="nil"/>
            </w:tcBorders>
            <w:vAlign w:val="center"/>
          </w:tcPr>
          <w:p w14:paraId="7585D105" w14:textId="77777777" w:rsidR="00353AE1" w:rsidRDefault="00353AE1" w:rsidP="00F3779A">
            <w:pPr>
              <w:rPr>
                <w:rFonts w:ascii="Calibri" w:hAnsi="Calibri" w:cs="Calibri"/>
                <w:color w:val="404040" w:themeColor="text1" w:themeTint="BF"/>
                <w:sz w:val="18"/>
                <w:szCs w:val="18"/>
              </w:rPr>
            </w:pPr>
            <w:r>
              <w:rPr>
                <w:rFonts w:ascii="Calibri" w:hAnsi="Calibri" w:cs="Calibri"/>
                <w:color w:val="404040" w:themeColor="text1" w:themeTint="BF"/>
                <w:sz w:val="18"/>
                <w:szCs w:val="18"/>
              </w:rPr>
              <w:t>9% preferred return</w:t>
            </w:r>
          </w:p>
          <w:p w14:paraId="29B0B497" w14:textId="36BB446D" w:rsidR="00353AE1" w:rsidRDefault="00353AE1" w:rsidP="00F3779A">
            <w:pPr>
              <w:rPr>
                <w:rFonts w:ascii="Calibri" w:hAnsi="Calibri" w:cs="Calibri"/>
                <w:color w:val="404040" w:themeColor="text1" w:themeTint="BF"/>
                <w:sz w:val="18"/>
                <w:szCs w:val="18"/>
              </w:rPr>
            </w:pPr>
            <w:r>
              <w:rPr>
                <w:rFonts w:ascii="Calibri" w:hAnsi="Calibri" w:cs="Calibri"/>
                <w:color w:val="404040" w:themeColor="text1" w:themeTint="BF"/>
                <w:sz w:val="18"/>
                <w:szCs w:val="18"/>
              </w:rPr>
              <w:t xml:space="preserve">80% LP / 20% GP until 13% </w:t>
            </w:r>
            <w:r w:rsidR="003A5CE8">
              <w:rPr>
                <w:rFonts w:ascii="Calibri" w:hAnsi="Calibri" w:cs="Calibri"/>
                <w:color w:val="404040" w:themeColor="text1" w:themeTint="BF"/>
                <w:sz w:val="18"/>
                <w:szCs w:val="18"/>
              </w:rPr>
              <w:t>2</w:t>
            </w:r>
            <w:r w:rsidR="003A5CE8" w:rsidRPr="003A5CE8">
              <w:rPr>
                <w:rFonts w:ascii="Calibri" w:hAnsi="Calibri" w:cs="Calibri"/>
                <w:color w:val="404040" w:themeColor="text1" w:themeTint="BF"/>
                <w:sz w:val="18"/>
                <w:szCs w:val="18"/>
                <w:vertAlign w:val="superscript"/>
              </w:rPr>
              <w:t>nd</w:t>
            </w:r>
            <w:r w:rsidR="003A5CE8">
              <w:rPr>
                <w:rFonts w:ascii="Calibri" w:hAnsi="Calibri" w:cs="Calibri"/>
                <w:color w:val="404040" w:themeColor="text1" w:themeTint="BF"/>
                <w:sz w:val="18"/>
                <w:szCs w:val="18"/>
              </w:rPr>
              <w:t xml:space="preserve"> </w:t>
            </w:r>
            <w:proofErr w:type="spellStart"/>
            <w:r w:rsidR="003A5CE8">
              <w:rPr>
                <w:rFonts w:ascii="Calibri" w:hAnsi="Calibri" w:cs="Calibri"/>
                <w:color w:val="404040" w:themeColor="text1" w:themeTint="BF"/>
                <w:sz w:val="18"/>
                <w:szCs w:val="18"/>
              </w:rPr>
              <w:t>pref</w:t>
            </w:r>
            <w:proofErr w:type="spellEnd"/>
          </w:p>
          <w:p w14:paraId="66CC2C18" w14:textId="4381EB06" w:rsidR="007D5125" w:rsidRPr="007156E7" w:rsidRDefault="00353AE1" w:rsidP="00F3779A">
            <w:pPr>
              <w:rPr>
                <w:rFonts w:ascii="Calibri" w:hAnsi="Calibri"/>
                <w:i/>
                <w:iCs/>
                <w:color w:val="404040" w:themeColor="text1" w:themeTint="BF"/>
                <w:sz w:val="18"/>
                <w:szCs w:val="18"/>
              </w:rPr>
            </w:pPr>
            <w:r>
              <w:rPr>
                <w:rFonts w:ascii="Calibri" w:hAnsi="Calibri" w:cs="Calibri"/>
                <w:color w:val="404040" w:themeColor="text1" w:themeTint="BF"/>
                <w:sz w:val="18"/>
                <w:szCs w:val="18"/>
              </w:rPr>
              <w:t>70% LP / 30% GP thereafter</w:t>
            </w:r>
          </w:p>
        </w:tc>
      </w:tr>
    </w:tbl>
    <w:p w14:paraId="4AEA801D" w14:textId="5D4E28BA" w:rsidR="00A056A8" w:rsidRDefault="0096005E" w:rsidP="0005515D">
      <w:pPr>
        <w:spacing w:before="120"/>
        <w:jc w:val="both"/>
        <w:rPr>
          <w:iCs/>
          <w:color w:val="404040" w:themeColor="text1" w:themeTint="BF"/>
          <w:sz w:val="18"/>
          <w:szCs w:val="18"/>
        </w:rPr>
      </w:pPr>
      <w:r w:rsidRPr="00791890">
        <w:rPr>
          <w:i/>
          <w:color w:val="404040" w:themeColor="text1" w:themeTint="BF"/>
          <w:sz w:val="18"/>
          <w:szCs w:val="18"/>
        </w:rPr>
        <w:t>Status:</w:t>
      </w:r>
      <w:bookmarkStart w:id="6" w:name="_Toc413830788"/>
      <w:bookmarkEnd w:id="5"/>
      <w:r w:rsidR="00B45D98" w:rsidRPr="00544928">
        <w:rPr>
          <w:iCs/>
          <w:color w:val="404040" w:themeColor="text1" w:themeTint="BF"/>
          <w:sz w:val="18"/>
          <w:szCs w:val="18"/>
        </w:rPr>
        <w:t xml:space="preserve"> </w:t>
      </w:r>
      <w:r w:rsidR="00BC163E">
        <w:rPr>
          <w:iCs/>
          <w:color w:val="404040" w:themeColor="text1" w:themeTint="BF"/>
          <w:sz w:val="18"/>
          <w:szCs w:val="18"/>
        </w:rPr>
        <w:t xml:space="preserve">The Fund </w:t>
      </w:r>
      <w:r w:rsidR="00F55AFB">
        <w:rPr>
          <w:iCs/>
          <w:color w:val="404040" w:themeColor="text1" w:themeTint="BF"/>
          <w:sz w:val="18"/>
          <w:szCs w:val="18"/>
        </w:rPr>
        <w:t xml:space="preserve">will be reviewed at the November NYSRCF REAC and </w:t>
      </w:r>
      <w:r w:rsidR="00942409">
        <w:rPr>
          <w:iCs/>
          <w:color w:val="404040" w:themeColor="text1" w:themeTint="BF"/>
          <w:sz w:val="18"/>
          <w:szCs w:val="18"/>
        </w:rPr>
        <w:t xml:space="preserve">begin investing based on NYSCRF’s closing timeline. </w:t>
      </w:r>
    </w:p>
    <w:p w14:paraId="279B4AF7" w14:textId="28B92054" w:rsidR="00321A26" w:rsidRDefault="00321A26" w:rsidP="0005515D">
      <w:pPr>
        <w:spacing w:before="120"/>
        <w:jc w:val="both"/>
        <w:rPr>
          <w:rFonts w:ascii="Calibri"/>
          <w:iCs/>
          <w:color w:val="404040"/>
          <w:spacing w:val="-1"/>
          <w:sz w:val="18"/>
        </w:rPr>
      </w:pPr>
      <w:r w:rsidRPr="00321A26">
        <w:rPr>
          <w:iCs/>
          <w:color w:val="404040" w:themeColor="text1" w:themeTint="BF"/>
          <w:sz w:val="18"/>
          <w:szCs w:val="18"/>
          <w:highlight w:val="red"/>
        </w:rPr>
        <w:t>DISCLOSURE</w:t>
      </w:r>
    </w:p>
    <w:p w14:paraId="32DE88B1" w14:textId="77777777" w:rsidR="005E7DBA" w:rsidRDefault="005E7DBA" w:rsidP="0005515D">
      <w:pPr>
        <w:spacing w:before="120"/>
        <w:jc w:val="both"/>
        <w:rPr>
          <w:rFonts w:ascii="Calibri"/>
          <w:iCs/>
          <w:color w:val="404040"/>
          <w:spacing w:val="-1"/>
          <w:sz w:val="18"/>
        </w:rPr>
      </w:pPr>
    </w:p>
    <w:p w14:paraId="270EA05A" w14:textId="77777777" w:rsidR="00337BAF" w:rsidRDefault="00337BAF" w:rsidP="00385AF6">
      <w:pPr>
        <w:jc w:val="both"/>
        <w:rPr>
          <w:rFonts w:ascii="Calibri"/>
          <w:color w:val="404040"/>
          <w:spacing w:val="-1"/>
          <w:sz w:val="18"/>
        </w:rPr>
      </w:pPr>
      <w:bookmarkStart w:id="7" w:name="_Hlk190177624"/>
    </w:p>
    <w:p w14:paraId="688B44C2" w14:textId="364E791D" w:rsidR="00E21A4B" w:rsidRDefault="00E21A4B" w:rsidP="00E21A4B">
      <w:pPr>
        <w:pStyle w:val="NoSpacing"/>
        <w:autoSpaceDE w:val="0"/>
        <w:autoSpaceDN w:val="0"/>
        <w:adjustRightInd w:val="0"/>
        <w:jc w:val="both"/>
        <w:rPr>
          <w:rFonts w:ascii="Calibri" w:hAnsi="Calibri" w:cs="Calibri"/>
          <w:color w:val="404040" w:themeColor="text1" w:themeTint="BF"/>
        </w:rPr>
      </w:pPr>
      <w:r>
        <w:rPr>
          <w:rFonts w:ascii="Calibri" w:hAnsi="Calibri" w:cs="Calibri"/>
          <w:color w:val="404040" w:themeColor="text1" w:themeTint="BF"/>
        </w:rPr>
        <w:t>Open-Items</w:t>
      </w:r>
    </w:p>
    <w:p w14:paraId="1FDBBE01" w14:textId="397D1BD9" w:rsidR="00E21A4B" w:rsidRDefault="00E21A4B" w:rsidP="00385AF6">
      <w:pPr>
        <w:pStyle w:val="NoSpacing"/>
        <w:numPr>
          <w:ilvl w:val="0"/>
          <w:numId w:val="18"/>
        </w:numPr>
        <w:autoSpaceDE w:val="0"/>
        <w:autoSpaceDN w:val="0"/>
        <w:adjustRightInd w:val="0"/>
        <w:jc w:val="both"/>
        <w:rPr>
          <w:rFonts w:ascii="Calibri" w:hAnsi="Calibri" w:cs="Calibri"/>
          <w:color w:val="404040" w:themeColor="text1" w:themeTint="BF"/>
        </w:rPr>
      </w:pPr>
      <w:r>
        <w:rPr>
          <w:rFonts w:ascii="Calibri" w:hAnsi="Calibri" w:cs="Calibri"/>
          <w:color w:val="404040" w:themeColor="text1" w:themeTint="BF"/>
        </w:rPr>
        <w:t>Disclosure</w:t>
      </w:r>
    </w:p>
    <w:p w14:paraId="5CD281A5" w14:textId="5EC75383" w:rsidR="00E21A4B" w:rsidRDefault="00E21A4B" w:rsidP="00385AF6">
      <w:pPr>
        <w:pStyle w:val="NoSpacing"/>
        <w:numPr>
          <w:ilvl w:val="0"/>
          <w:numId w:val="18"/>
        </w:numPr>
        <w:autoSpaceDE w:val="0"/>
        <w:autoSpaceDN w:val="0"/>
        <w:adjustRightInd w:val="0"/>
        <w:jc w:val="both"/>
        <w:rPr>
          <w:rFonts w:ascii="Calibri" w:hAnsi="Calibri" w:cs="Calibri"/>
          <w:color w:val="404040" w:themeColor="text1" w:themeTint="BF"/>
        </w:rPr>
      </w:pPr>
      <w:r>
        <w:rPr>
          <w:rFonts w:ascii="Calibri" w:hAnsi="Calibri" w:cs="Calibri"/>
          <w:color w:val="404040" w:themeColor="text1" w:themeTint="BF"/>
        </w:rPr>
        <w:t>Comparative Advantages</w:t>
      </w:r>
    </w:p>
    <w:p w14:paraId="7923ABEA" w14:textId="2D0BF54C" w:rsidR="00E21A4B" w:rsidRDefault="00E21A4B" w:rsidP="00E21A4B">
      <w:pPr>
        <w:pStyle w:val="NoSpacing"/>
        <w:numPr>
          <w:ilvl w:val="1"/>
          <w:numId w:val="18"/>
        </w:numPr>
        <w:autoSpaceDE w:val="0"/>
        <w:autoSpaceDN w:val="0"/>
        <w:adjustRightInd w:val="0"/>
        <w:jc w:val="both"/>
        <w:rPr>
          <w:rFonts w:ascii="Calibri" w:hAnsi="Calibri" w:cs="Calibri"/>
          <w:color w:val="404040" w:themeColor="text1" w:themeTint="BF"/>
        </w:rPr>
      </w:pPr>
      <w:r>
        <w:rPr>
          <w:rFonts w:ascii="Calibri" w:hAnsi="Calibri" w:cs="Calibri"/>
          <w:color w:val="404040" w:themeColor="text1" w:themeTint="BF"/>
        </w:rPr>
        <w:t xml:space="preserve">Portfolio Summary, embedded </w:t>
      </w:r>
      <w:proofErr w:type="gramStart"/>
      <w:r>
        <w:rPr>
          <w:rFonts w:ascii="Calibri" w:hAnsi="Calibri" w:cs="Calibri"/>
          <w:color w:val="404040" w:themeColor="text1" w:themeTint="BF"/>
        </w:rPr>
        <w:t>Value?,</w:t>
      </w:r>
      <w:proofErr w:type="gramEnd"/>
      <w:r>
        <w:rPr>
          <w:rFonts w:ascii="Calibri" w:hAnsi="Calibri" w:cs="Calibri"/>
          <w:color w:val="404040" w:themeColor="text1" w:themeTint="BF"/>
        </w:rPr>
        <w:t xml:space="preserve"> fund projections</w:t>
      </w:r>
    </w:p>
    <w:p w14:paraId="01C733E7" w14:textId="688CC354" w:rsidR="00E21A4B" w:rsidRDefault="00E21A4B" w:rsidP="00E21A4B">
      <w:pPr>
        <w:pStyle w:val="NoSpacing"/>
        <w:numPr>
          <w:ilvl w:val="1"/>
          <w:numId w:val="18"/>
        </w:numPr>
        <w:autoSpaceDE w:val="0"/>
        <w:autoSpaceDN w:val="0"/>
        <w:adjustRightInd w:val="0"/>
        <w:jc w:val="both"/>
        <w:rPr>
          <w:rFonts w:ascii="Calibri" w:hAnsi="Calibri" w:cs="Calibri"/>
          <w:color w:val="404040" w:themeColor="text1" w:themeTint="BF"/>
        </w:rPr>
      </w:pPr>
      <w:r>
        <w:rPr>
          <w:rFonts w:ascii="Calibri" w:hAnsi="Calibri" w:cs="Calibri"/>
          <w:color w:val="404040" w:themeColor="text1" w:themeTint="BF"/>
        </w:rPr>
        <w:t>Market Commentary / Entry Point / Advantages of the Focus Segment</w:t>
      </w:r>
    </w:p>
    <w:p w14:paraId="457E688E" w14:textId="73BA09DF" w:rsidR="00E21A4B" w:rsidRPr="00E21A4B" w:rsidRDefault="00E21A4B" w:rsidP="00E21A4B">
      <w:pPr>
        <w:pStyle w:val="NoSpacing"/>
        <w:numPr>
          <w:ilvl w:val="1"/>
          <w:numId w:val="18"/>
        </w:numPr>
        <w:autoSpaceDE w:val="0"/>
        <w:autoSpaceDN w:val="0"/>
        <w:adjustRightInd w:val="0"/>
        <w:jc w:val="both"/>
        <w:rPr>
          <w:rFonts w:ascii="Calibri" w:hAnsi="Calibri" w:cs="Calibri"/>
          <w:color w:val="404040" w:themeColor="text1" w:themeTint="BF"/>
        </w:rPr>
      </w:pPr>
      <w:r>
        <w:rPr>
          <w:rFonts w:ascii="Calibri" w:hAnsi="Calibri" w:cs="Calibri"/>
          <w:color w:val="404040" w:themeColor="text1" w:themeTint="BF"/>
        </w:rPr>
        <w:t>What else would we highlight?</w:t>
      </w:r>
    </w:p>
    <w:bookmarkEnd w:id="7"/>
    <w:p w14:paraId="014EBDEB" w14:textId="77777777" w:rsidR="00E21A4B" w:rsidRPr="00E21A4B" w:rsidRDefault="00E21A4B" w:rsidP="00E21A4B">
      <w:pPr>
        <w:pStyle w:val="NoSpacing"/>
        <w:numPr>
          <w:ilvl w:val="0"/>
          <w:numId w:val="18"/>
        </w:numPr>
        <w:autoSpaceDE w:val="0"/>
        <w:autoSpaceDN w:val="0"/>
        <w:adjustRightInd w:val="0"/>
        <w:jc w:val="both"/>
        <w:rPr>
          <w:rFonts w:ascii="Calibri" w:hAnsi="Calibri" w:cs="Calibri"/>
          <w:color w:val="404040" w:themeColor="text1" w:themeTint="BF"/>
        </w:rPr>
      </w:pPr>
    </w:p>
    <w:p w14:paraId="15DF720E" w14:textId="77777777" w:rsidR="00E21A4B" w:rsidRPr="0005515D" w:rsidRDefault="00E21A4B" w:rsidP="00385AF6">
      <w:pPr>
        <w:jc w:val="both"/>
        <w:rPr>
          <w:rFonts w:ascii="Calibri"/>
          <w:color w:val="404040"/>
          <w:spacing w:val="-1"/>
          <w:sz w:val="18"/>
        </w:rPr>
      </w:pPr>
    </w:p>
    <w:bookmarkStart w:id="8" w:name="_Toc179797278"/>
    <w:p w14:paraId="37F40C0F" w14:textId="312189F9" w:rsidR="002B3315" w:rsidRPr="00B402D6" w:rsidRDefault="00F15CEB" w:rsidP="00B402D6">
      <w:pPr>
        <w:pStyle w:val="Heading2"/>
        <w:rPr>
          <w:color w:val="8CA4A4" w:themeColor="accent5"/>
          <w:sz w:val="22"/>
          <w:szCs w:val="22"/>
        </w:rPr>
      </w:pPr>
      <w:r w:rsidRPr="0036796C">
        <w:rPr>
          <w:noProof/>
          <w:szCs w:val="22"/>
        </w:rPr>
        <mc:AlternateContent>
          <mc:Choice Requires="wps">
            <w:drawing>
              <wp:anchor distT="0" distB="0" distL="114300" distR="114300" simplePos="0" relativeHeight="251658240" behindDoc="0" locked="0" layoutInCell="1" allowOverlap="1" wp14:anchorId="67A19DFF" wp14:editId="3E37282A">
                <wp:simplePos x="0" y="0"/>
                <wp:positionH relativeFrom="margin">
                  <wp:posOffset>-12700</wp:posOffset>
                </wp:positionH>
                <wp:positionV relativeFrom="paragraph">
                  <wp:posOffset>163407</wp:posOffset>
                </wp:positionV>
                <wp:extent cx="6492240" cy="0"/>
                <wp:effectExtent l="0" t="0" r="0" b="0"/>
                <wp:wrapNone/>
                <wp:docPr id="6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2240" cy="0"/>
                        </a:xfrm>
                        <a:prstGeom prst="straightConnector1">
                          <a:avLst/>
                        </a:prstGeom>
                        <a:noFill/>
                        <a:ln w="9525">
                          <a:solidFill>
                            <a:schemeClr val="tx1">
                              <a:lumMod val="75000"/>
                              <a:lumOff val="2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40D098" id="_x0000_t32" coordsize="21600,21600" o:spt="32" o:oned="t" path="m,l21600,21600e" filled="f">
                <v:path arrowok="t" fillok="f" o:connecttype="none"/>
                <o:lock v:ext="edit" shapetype="t"/>
              </v:shapetype>
              <v:shape id="AutoShape 5" o:spid="_x0000_s1026" type="#_x0000_t32" style="position:absolute;margin-left:-1pt;margin-top:12.85pt;width:511.2pt;height:0;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0M10AEAAJADAAAOAAAAZHJzL2Uyb0RvYy54bWysU01v2zAMvQ/YfxB0X+wYTbcacXpI1126&#10;LUC7H8DIsi1MFgVJiZ1/P0qOva9b0Ysgkebj4+Pz9n7sNTtL5xWaiq9XOWfSCKyVaSv+4+XxwyfO&#10;fABTg0YjK36Rnt/v3r/bDraUBXaoa+kYgRhfDrbiXQi2zDIvOtmDX6GVhpINuh4CPV2b1Q4GQu91&#10;VuT5bTagq61DIb2n6MOU5LuE3zRShO9N42VguuLELaTTpfMYz2y3hbJ1YDslrjTgFSx6UIaaLlAP&#10;EICdnPoPqlfCoccmrAT2GTaNEjLNQNOs83+mee7AyjQLiePtIpN/O1jx7bw3Bxepi9E82ycUPz0z&#10;uO/AtDIReLlYWtw6SpUN1pdLSXx4e3DsOHzFmr6BU8Ckwti4PkLSfGxMYl8WseUYmKDg7c1dUdzQ&#10;TsScy6CcC63z4YvEnsVLxX1woNou7NEYWim6dWoD5ycfIi0o54LY1eCj0jptVhs2VPxuU2xSgUet&#10;6piMnyWPyb127AzkjjBOoPrU0zRT7OMmz68eoTA5aQoXc5gaLyiJxl8NHJ5MnWh0EurP13sApac7&#10;VWtzFTXqGE3ryyPWl4Obxaa1J+CrRaOv/nyn6t8/0u4XAAAA//8DAFBLAwQUAAYACAAAACEAvPB3&#10;SN4AAAAJAQAADwAAAGRycy9kb3ducmV2LnhtbEyPwU7DMBBE70j9B2uRuKDWbkRpG+JUCAnRE1Jb&#10;RK9OvCQR9jqy3TT8Pa56gOPsrGbeFJvRGjagD50jCfOZAIZUO91RI+Hj8DpdAQtRkVbGEUr4wQCb&#10;cnJTqFy7M+1w2MeGpRAKuZLQxtjnnIe6RavCzPVIyfty3qqYpG+49uqcwq3hmRCP3KqOUkOrenxp&#10;sf7en6yE+5UfzbZaHj4rH4UdFsf3tzVJeXc7Pj8BizjGv2e44Cd0KBNT5U6kAzMSplmaEiVkiyWw&#10;iy8y8QCsul54WfD/C8pfAAAA//8DAFBLAQItABQABgAIAAAAIQC2gziS/gAAAOEBAAATAAAAAAAA&#10;AAAAAAAAAAAAAABbQ29udGVudF9UeXBlc10ueG1sUEsBAi0AFAAGAAgAAAAhADj9If/WAAAAlAEA&#10;AAsAAAAAAAAAAAAAAAAALwEAAF9yZWxzLy5yZWxzUEsBAi0AFAAGAAgAAAAhAGP3QzXQAQAAkAMA&#10;AA4AAAAAAAAAAAAAAAAALgIAAGRycy9lMm9Eb2MueG1sUEsBAi0AFAAGAAgAAAAhALzwd0jeAAAA&#10;CQEAAA8AAAAAAAAAAAAAAAAAKgQAAGRycy9kb3ducmV2LnhtbFBLBQYAAAAABAAEAPMAAAA1BQAA&#10;AAA=&#10;" strokecolor="#404040 [2429]">
                <w10:wrap anchorx="margin"/>
              </v:shape>
            </w:pict>
          </mc:Fallback>
        </mc:AlternateContent>
      </w:r>
      <w:r w:rsidRPr="0036796C">
        <w:rPr>
          <w:color w:val="8CA4A4" w:themeColor="accent5"/>
          <w:sz w:val="22"/>
          <w:szCs w:val="22"/>
        </w:rPr>
        <w:t>Comparative Advantages</w:t>
      </w:r>
      <w:bookmarkEnd w:id="8"/>
    </w:p>
    <w:p w14:paraId="0553F8B6" w14:textId="0AF1922E" w:rsidR="005C228E" w:rsidRPr="00E21A4B" w:rsidRDefault="00631D4D" w:rsidP="00A91DCC">
      <w:pPr>
        <w:pStyle w:val="NoSpacing"/>
        <w:numPr>
          <w:ilvl w:val="0"/>
          <w:numId w:val="10"/>
        </w:numPr>
        <w:autoSpaceDE w:val="0"/>
        <w:autoSpaceDN w:val="0"/>
        <w:adjustRightInd w:val="0"/>
        <w:jc w:val="both"/>
        <w:rPr>
          <w:color w:val="404040" w:themeColor="text1" w:themeTint="BF"/>
          <w:highlight w:val="red"/>
        </w:rPr>
      </w:pPr>
      <w:r w:rsidRPr="00E21A4B">
        <w:rPr>
          <w:color w:val="404040" w:themeColor="text1" w:themeTint="BF"/>
          <w:highlight w:val="red"/>
        </w:rPr>
        <w:t>Enhanced Governance</w:t>
      </w:r>
    </w:p>
    <w:p w14:paraId="3175F0BD" w14:textId="77777777" w:rsidR="00F03591" w:rsidRDefault="00F03591" w:rsidP="00F03591">
      <w:pPr>
        <w:pStyle w:val="NoSpacing"/>
        <w:autoSpaceDE w:val="0"/>
        <w:autoSpaceDN w:val="0"/>
        <w:adjustRightInd w:val="0"/>
        <w:jc w:val="both"/>
        <w:rPr>
          <w:rFonts w:ascii="Calibri" w:hAnsi="Calibri" w:cs="Calibri"/>
          <w:color w:val="404040" w:themeColor="text1" w:themeTint="BF"/>
        </w:rPr>
      </w:pPr>
    </w:p>
    <w:p w14:paraId="4D9438D7" w14:textId="4C23AFFD" w:rsidR="0018328A" w:rsidRDefault="00133C3B" w:rsidP="00F03591">
      <w:pPr>
        <w:pStyle w:val="NoSpacing"/>
        <w:autoSpaceDE w:val="0"/>
        <w:autoSpaceDN w:val="0"/>
        <w:adjustRightInd w:val="0"/>
        <w:jc w:val="both"/>
        <w:rPr>
          <w:rFonts w:ascii="Calibri" w:hAnsi="Calibri" w:cs="Calibri"/>
          <w:color w:val="404040" w:themeColor="text1" w:themeTint="BF"/>
        </w:rPr>
      </w:pPr>
      <w:r>
        <w:rPr>
          <w:rFonts w:ascii="Calibri" w:hAnsi="Calibri" w:cs="Calibri"/>
          <w:color w:val="404040" w:themeColor="text1" w:themeTint="BF"/>
        </w:rPr>
        <w:t xml:space="preserve">The vehicle offers NYSCRF enhanced discretion </w:t>
      </w:r>
      <w:r w:rsidR="0054759B">
        <w:rPr>
          <w:rFonts w:ascii="Calibri" w:hAnsi="Calibri" w:cs="Calibri"/>
          <w:color w:val="404040" w:themeColor="text1" w:themeTint="BF"/>
        </w:rPr>
        <w:t xml:space="preserve">and unique approval rights not </w:t>
      </w:r>
      <w:r w:rsidR="00F56563">
        <w:rPr>
          <w:rFonts w:ascii="Calibri" w:hAnsi="Calibri" w:cs="Calibri"/>
          <w:color w:val="404040" w:themeColor="text1" w:themeTint="BF"/>
        </w:rPr>
        <w:t>available</w:t>
      </w:r>
      <w:r w:rsidR="0054759B">
        <w:rPr>
          <w:rFonts w:ascii="Calibri" w:hAnsi="Calibri" w:cs="Calibri"/>
          <w:color w:val="404040" w:themeColor="text1" w:themeTint="BF"/>
        </w:rPr>
        <w:t xml:space="preserve"> </w:t>
      </w:r>
      <w:r w:rsidR="000F3B21">
        <w:rPr>
          <w:rFonts w:ascii="Calibri" w:hAnsi="Calibri" w:cs="Calibri"/>
          <w:color w:val="404040" w:themeColor="text1" w:themeTint="BF"/>
        </w:rPr>
        <w:t>in commingled funds:</w:t>
      </w:r>
    </w:p>
    <w:p w14:paraId="0F61AB20" w14:textId="203C6129" w:rsidR="00741F48" w:rsidRPr="004576D1" w:rsidRDefault="005517EF" w:rsidP="00A91DCC">
      <w:pPr>
        <w:pStyle w:val="NoSpacing"/>
        <w:numPr>
          <w:ilvl w:val="0"/>
          <w:numId w:val="18"/>
        </w:numPr>
        <w:autoSpaceDE w:val="0"/>
        <w:autoSpaceDN w:val="0"/>
        <w:adjustRightInd w:val="0"/>
        <w:jc w:val="both"/>
        <w:rPr>
          <w:rFonts w:ascii="Calibri" w:hAnsi="Calibri" w:cs="Calibri"/>
          <w:color w:val="404040" w:themeColor="text1" w:themeTint="BF"/>
        </w:rPr>
      </w:pPr>
      <w:r>
        <w:rPr>
          <w:rFonts w:ascii="Calibri" w:hAnsi="Calibri" w:cs="Calibri"/>
          <w:color w:val="404040" w:themeColor="text1" w:themeTint="BF"/>
        </w:rPr>
        <w:t xml:space="preserve">Investment Approvals: </w:t>
      </w:r>
      <w:r w:rsidR="00741F48">
        <w:rPr>
          <w:rFonts w:ascii="Calibri" w:hAnsi="Calibri" w:cs="Calibri"/>
          <w:color w:val="404040" w:themeColor="text1" w:themeTint="BF"/>
        </w:rPr>
        <w:t xml:space="preserve">Project </w:t>
      </w:r>
      <w:r w:rsidR="00E5634B">
        <w:rPr>
          <w:rFonts w:ascii="Calibri" w:hAnsi="Calibri" w:cs="Calibri"/>
          <w:color w:val="404040" w:themeColor="text1" w:themeTint="BF"/>
        </w:rPr>
        <w:t>a</w:t>
      </w:r>
      <w:r w:rsidR="00741F48">
        <w:rPr>
          <w:rFonts w:ascii="Calibri" w:hAnsi="Calibri" w:cs="Calibri"/>
          <w:color w:val="404040" w:themeColor="text1" w:themeTint="BF"/>
        </w:rPr>
        <w:t>pproval</w:t>
      </w:r>
      <w:r>
        <w:rPr>
          <w:rFonts w:ascii="Calibri" w:hAnsi="Calibri" w:cs="Calibri"/>
          <w:color w:val="404040" w:themeColor="text1" w:themeTint="BF"/>
        </w:rPr>
        <w:t xml:space="preserve"> (</w:t>
      </w:r>
      <w:r w:rsidR="00E5634B">
        <w:rPr>
          <w:rFonts w:ascii="Calibri" w:hAnsi="Calibri" w:cs="Calibri"/>
          <w:color w:val="404040" w:themeColor="text1" w:themeTint="BF"/>
        </w:rPr>
        <w:t xml:space="preserve">including </w:t>
      </w:r>
      <w:r w:rsidR="004576D1">
        <w:rPr>
          <w:rFonts w:ascii="Calibri" w:hAnsi="Calibri" w:cs="Calibri"/>
          <w:color w:val="404040" w:themeColor="text1" w:themeTint="BF"/>
        </w:rPr>
        <w:t>three</w:t>
      </w:r>
      <w:r w:rsidR="00E5634B">
        <w:rPr>
          <w:rFonts w:ascii="Calibri" w:hAnsi="Calibri" w:cs="Calibri"/>
          <w:color w:val="404040" w:themeColor="text1" w:themeTint="BF"/>
        </w:rPr>
        <w:t xml:space="preserve"> approval stages prior to pursuit, land closing, and vertical construction</w:t>
      </w:r>
      <w:r w:rsidR="009F34A4">
        <w:rPr>
          <w:rFonts w:ascii="Calibri" w:hAnsi="Calibri" w:cs="Calibri"/>
          <w:color w:val="404040" w:themeColor="text1" w:themeTint="BF"/>
        </w:rPr>
        <w:t xml:space="preserve">) and </w:t>
      </w:r>
      <w:r w:rsidR="00C9507F">
        <w:rPr>
          <w:rFonts w:ascii="Calibri" w:hAnsi="Calibri" w:cs="Calibri"/>
          <w:color w:val="404040" w:themeColor="text1" w:themeTint="BF"/>
        </w:rPr>
        <w:t>sale or disposition of projects</w:t>
      </w:r>
      <w:r w:rsidR="00B5715B">
        <w:rPr>
          <w:rFonts w:ascii="Calibri" w:hAnsi="Calibri" w:cs="Calibri"/>
          <w:color w:val="404040" w:themeColor="text1" w:themeTint="BF"/>
        </w:rPr>
        <w:t xml:space="preserve"> </w:t>
      </w:r>
      <w:r w:rsidR="004E16AF">
        <w:rPr>
          <w:rFonts w:ascii="Calibri" w:hAnsi="Calibri" w:cs="Calibri"/>
          <w:color w:val="404040" w:themeColor="text1" w:themeTint="BF"/>
        </w:rPr>
        <w:t xml:space="preserve">after stabilization or 24 months from the issuance of certificate of occupancy. </w:t>
      </w:r>
    </w:p>
    <w:p w14:paraId="43AF29B1" w14:textId="2ADE6EA0" w:rsidR="00D76D36" w:rsidRDefault="00D508CC" w:rsidP="00A91DCC">
      <w:pPr>
        <w:pStyle w:val="NoSpacing"/>
        <w:numPr>
          <w:ilvl w:val="0"/>
          <w:numId w:val="18"/>
        </w:numPr>
        <w:autoSpaceDE w:val="0"/>
        <w:autoSpaceDN w:val="0"/>
        <w:adjustRightInd w:val="0"/>
        <w:jc w:val="both"/>
        <w:rPr>
          <w:rFonts w:ascii="Calibri" w:hAnsi="Calibri" w:cs="Calibri"/>
          <w:color w:val="404040" w:themeColor="text1" w:themeTint="BF"/>
        </w:rPr>
      </w:pPr>
      <w:r>
        <w:rPr>
          <w:rFonts w:ascii="Calibri" w:hAnsi="Calibri" w:cs="Calibri"/>
          <w:color w:val="404040" w:themeColor="text1" w:themeTint="BF"/>
        </w:rPr>
        <w:t xml:space="preserve">Asset Management Items: </w:t>
      </w:r>
      <w:r w:rsidR="003574B6">
        <w:rPr>
          <w:rFonts w:ascii="Calibri" w:hAnsi="Calibri" w:cs="Calibri"/>
          <w:color w:val="404040" w:themeColor="text1" w:themeTint="BF"/>
        </w:rPr>
        <w:t>Approval of annual operating budgets, c</w:t>
      </w:r>
      <w:r w:rsidR="00D76D36">
        <w:rPr>
          <w:rFonts w:ascii="Calibri" w:hAnsi="Calibri" w:cs="Calibri"/>
          <w:color w:val="404040" w:themeColor="text1" w:themeTint="BF"/>
        </w:rPr>
        <w:t>apital contributions over amounts in approved budgets</w:t>
      </w:r>
      <w:r w:rsidR="003574B6">
        <w:rPr>
          <w:rFonts w:ascii="Calibri" w:hAnsi="Calibri" w:cs="Calibri"/>
          <w:color w:val="404040" w:themeColor="text1" w:themeTint="BF"/>
        </w:rPr>
        <w:t>, financing and material modifications to financing structures</w:t>
      </w:r>
      <w:r w:rsidR="00C43C36">
        <w:rPr>
          <w:rFonts w:ascii="Calibri" w:hAnsi="Calibri" w:cs="Calibri"/>
          <w:color w:val="404040" w:themeColor="text1" w:themeTint="BF"/>
        </w:rPr>
        <w:t xml:space="preserve"> outside of pre-defined limits</w:t>
      </w:r>
      <w:r w:rsidR="003574B6">
        <w:rPr>
          <w:rFonts w:ascii="Calibri" w:hAnsi="Calibri" w:cs="Calibri"/>
          <w:color w:val="404040" w:themeColor="text1" w:themeTint="BF"/>
        </w:rPr>
        <w:t xml:space="preserve">, </w:t>
      </w:r>
      <w:r w:rsidR="001A16D5">
        <w:rPr>
          <w:rFonts w:ascii="Calibri" w:hAnsi="Calibri" w:cs="Calibri"/>
          <w:color w:val="404040" w:themeColor="text1" w:themeTint="BF"/>
        </w:rPr>
        <w:t xml:space="preserve">rezoning or subdivision of approved projects, institution or settlement of material litigation, </w:t>
      </w:r>
      <w:r w:rsidR="005F15DD">
        <w:rPr>
          <w:rFonts w:ascii="Calibri" w:hAnsi="Calibri" w:cs="Calibri"/>
          <w:color w:val="404040" w:themeColor="text1" w:themeTint="BF"/>
        </w:rPr>
        <w:t xml:space="preserve">selection and </w:t>
      </w:r>
      <w:r w:rsidR="00A307C1">
        <w:rPr>
          <w:rFonts w:ascii="Calibri" w:hAnsi="Calibri" w:cs="Calibri"/>
          <w:color w:val="404040" w:themeColor="text1" w:themeTint="BF"/>
        </w:rPr>
        <w:t xml:space="preserve">contracts </w:t>
      </w:r>
      <w:r w:rsidR="0083472D">
        <w:rPr>
          <w:rFonts w:ascii="Calibri" w:hAnsi="Calibri" w:cs="Calibri"/>
          <w:color w:val="404040" w:themeColor="text1" w:themeTint="BF"/>
        </w:rPr>
        <w:t xml:space="preserve">of initial and future leasing agents and property managers, approval of related party agreements and other items subject to potential conflict of interest. </w:t>
      </w:r>
    </w:p>
    <w:p w14:paraId="7AC46536" w14:textId="5982CDFB" w:rsidR="00D76D36" w:rsidRPr="0083472D" w:rsidRDefault="002434B0" w:rsidP="00A91DCC">
      <w:pPr>
        <w:pStyle w:val="NoSpacing"/>
        <w:numPr>
          <w:ilvl w:val="0"/>
          <w:numId w:val="18"/>
        </w:numPr>
        <w:autoSpaceDE w:val="0"/>
        <w:autoSpaceDN w:val="0"/>
        <w:adjustRightInd w:val="0"/>
        <w:jc w:val="both"/>
        <w:rPr>
          <w:rFonts w:ascii="Calibri" w:hAnsi="Calibri" w:cs="Calibri"/>
          <w:color w:val="404040" w:themeColor="text1" w:themeTint="BF"/>
        </w:rPr>
      </w:pPr>
      <w:r>
        <w:rPr>
          <w:rFonts w:ascii="Calibri" w:hAnsi="Calibri" w:cs="Calibri"/>
          <w:color w:val="404040" w:themeColor="text1" w:themeTint="BF"/>
        </w:rPr>
        <w:t xml:space="preserve">Fund Structure Items: Merger of the Fund with </w:t>
      </w:r>
      <w:r w:rsidR="00043B8D">
        <w:rPr>
          <w:rFonts w:ascii="Calibri" w:hAnsi="Calibri" w:cs="Calibri"/>
          <w:color w:val="404040" w:themeColor="text1" w:themeTint="BF"/>
        </w:rPr>
        <w:t>another entity, admis</w:t>
      </w:r>
      <w:r w:rsidR="00645F57">
        <w:rPr>
          <w:rFonts w:ascii="Calibri" w:hAnsi="Calibri" w:cs="Calibri"/>
          <w:color w:val="404040" w:themeColor="text1" w:themeTint="BF"/>
        </w:rPr>
        <w:t xml:space="preserve">sion of additional partners, </w:t>
      </w:r>
      <w:r w:rsidR="00F20A7C">
        <w:rPr>
          <w:rFonts w:ascii="Calibri" w:hAnsi="Calibri" w:cs="Calibri"/>
          <w:color w:val="404040" w:themeColor="text1" w:themeTint="BF"/>
        </w:rPr>
        <w:t>approval of changing tax items and s</w:t>
      </w:r>
      <w:r w:rsidR="00E177BA">
        <w:rPr>
          <w:rFonts w:ascii="Calibri" w:hAnsi="Calibri" w:cs="Calibri"/>
          <w:color w:val="404040" w:themeColor="text1" w:themeTint="BF"/>
        </w:rPr>
        <w:t xml:space="preserve">tatus, fund insurance items, </w:t>
      </w:r>
      <w:proofErr w:type="gramStart"/>
      <w:r w:rsidR="00AD1213">
        <w:rPr>
          <w:rFonts w:ascii="Calibri" w:hAnsi="Calibri" w:cs="Calibri"/>
          <w:color w:val="404040" w:themeColor="text1" w:themeTint="BF"/>
        </w:rPr>
        <w:t>liquidation</w:t>
      </w:r>
      <w:proofErr w:type="gramEnd"/>
      <w:r w:rsidR="00AD1213">
        <w:rPr>
          <w:rFonts w:ascii="Calibri" w:hAnsi="Calibri" w:cs="Calibri"/>
          <w:color w:val="404040" w:themeColor="text1" w:themeTint="BF"/>
        </w:rPr>
        <w:t xml:space="preserve"> or bankruptcy of the partnership.</w:t>
      </w:r>
      <w:r w:rsidR="002C3DCE">
        <w:rPr>
          <w:rFonts w:ascii="Calibri" w:hAnsi="Calibri" w:cs="Calibri"/>
          <w:color w:val="404040" w:themeColor="text1" w:themeTint="BF"/>
        </w:rPr>
        <w:t xml:space="preserve"> </w:t>
      </w:r>
    </w:p>
    <w:p w14:paraId="6E1C57C5" w14:textId="77777777" w:rsidR="00116472" w:rsidRDefault="00116472" w:rsidP="00F03591">
      <w:pPr>
        <w:pStyle w:val="NoSpacing"/>
        <w:autoSpaceDE w:val="0"/>
        <w:autoSpaceDN w:val="0"/>
        <w:adjustRightInd w:val="0"/>
        <w:jc w:val="both"/>
        <w:rPr>
          <w:rFonts w:ascii="Calibri" w:hAnsi="Calibri" w:cs="Calibri"/>
          <w:color w:val="404040" w:themeColor="text1" w:themeTint="BF"/>
        </w:rPr>
      </w:pPr>
    </w:p>
    <w:p w14:paraId="535D27FB" w14:textId="1B7729D4" w:rsidR="00F03591" w:rsidRPr="00395803" w:rsidRDefault="0049713C" w:rsidP="00A91DCC">
      <w:pPr>
        <w:pStyle w:val="NoSpacing"/>
        <w:numPr>
          <w:ilvl w:val="0"/>
          <w:numId w:val="10"/>
        </w:numPr>
        <w:autoSpaceDE w:val="0"/>
        <w:autoSpaceDN w:val="0"/>
        <w:adjustRightInd w:val="0"/>
        <w:jc w:val="both"/>
        <w:rPr>
          <w:rFonts w:ascii="Calibri" w:hAnsi="Calibri" w:cs="Calibri"/>
          <w:color w:val="404040" w:themeColor="text1" w:themeTint="BF"/>
        </w:rPr>
      </w:pPr>
      <w:r>
        <w:rPr>
          <w:rFonts w:ascii="Calibri" w:hAnsi="Calibri" w:cs="Calibri"/>
          <w:color w:val="404040" w:themeColor="text1" w:themeTint="BF"/>
        </w:rPr>
        <w:t>Total Expense Load</w:t>
      </w:r>
    </w:p>
    <w:p w14:paraId="0C2D4E19" w14:textId="77777777" w:rsidR="005C228E" w:rsidRDefault="005C228E" w:rsidP="005C228E">
      <w:pPr>
        <w:pStyle w:val="NoSpacing"/>
        <w:autoSpaceDE w:val="0"/>
        <w:autoSpaceDN w:val="0"/>
        <w:adjustRightInd w:val="0"/>
        <w:jc w:val="both"/>
        <w:rPr>
          <w:color w:val="404040" w:themeColor="text1" w:themeTint="BF"/>
        </w:rPr>
      </w:pPr>
    </w:p>
    <w:p w14:paraId="2CE0D6FD" w14:textId="73F77AE0" w:rsidR="0076714E" w:rsidRDefault="0076714E" w:rsidP="005C228E">
      <w:pPr>
        <w:pStyle w:val="NoSpacing"/>
        <w:autoSpaceDE w:val="0"/>
        <w:autoSpaceDN w:val="0"/>
        <w:adjustRightInd w:val="0"/>
        <w:jc w:val="both"/>
        <w:rPr>
          <w:color w:val="404040" w:themeColor="text1" w:themeTint="BF"/>
        </w:rPr>
      </w:pPr>
      <w:r>
        <w:rPr>
          <w:color w:val="404040" w:themeColor="text1" w:themeTint="BF"/>
        </w:rPr>
        <w:t>The f</w:t>
      </w:r>
      <w:r w:rsidR="005E6E45">
        <w:rPr>
          <w:color w:val="404040" w:themeColor="text1" w:themeTint="BF"/>
        </w:rPr>
        <w:t>ee structure for the offering is favorable relative to alternatives in the closed-end fund space</w:t>
      </w:r>
      <w:r w:rsidR="001239FD">
        <w:rPr>
          <w:color w:val="404040" w:themeColor="text1" w:themeTint="BF"/>
        </w:rPr>
        <w:t xml:space="preserve">, which would be the primary alternative structure for pursuing a pureplay development strategy. There is effectively no asset management fee during the </w:t>
      </w:r>
      <w:r w:rsidR="00AD5C33">
        <w:rPr>
          <w:color w:val="404040" w:themeColor="text1" w:themeTint="BF"/>
        </w:rPr>
        <w:t>development phase</w:t>
      </w:r>
      <w:r w:rsidR="00F40440">
        <w:rPr>
          <w:color w:val="404040" w:themeColor="text1" w:themeTint="BF"/>
        </w:rPr>
        <w:t xml:space="preserve">; </w:t>
      </w:r>
      <w:r w:rsidR="009B74B7">
        <w:rPr>
          <w:color w:val="404040" w:themeColor="text1" w:themeTint="BF"/>
        </w:rPr>
        <w:t xml:space="preserve">Bridge will </w:t>
      </w:r>
      <w:r w:rsidR="002B50FB">
        <w:rPr>
          <w:color w:val="404040" w:themeColor="text1" w:themeTint="BF"/>
        </w:rPr>
        <w:t xml:space="preserve">only </w:t>
      </w:r>
      <w:r w:rsidR="009B74B7">
        <w:rPr>
          <w:color w:val="404040" w:themeColor="text1" w:themeTint="BF"/>
        </w:rPr>
        <w:t>collect a development management fee</w:t>
      </w:r>
      <w:r w:rsidR="00907445">
        <w:rPr>
          <w:color w:val="404040" w:themeColor="text1" w:themeTint="BF"/>
        </w:rPr>
        <w:t>,</w:t>
      </w:r>
      <w:r w:rsidR="009B74B7">
        <w:rPr>
          <w:color w:val="404040" w:themeColor="text1" w:themeTint="BF"/>
        </w:rPr>
        <w:t xml:space="preserve"> which would otherwise be payable to a third party</w:t>
      </w:r>
      <w:r w:rsidR="002B3602">
        <w:rPr>
          <w:color w:val="404040" w:themeColor="text1" w:themeTint="BF"/>
        </w:rPr>
        <w:t xml:space="preserve">. </w:t>
      </w:r>
      <w:r w:rsidR="00CD0AAC">
        <w:rPr>
          <w:color w:val="404040" w:themeColor="text1" w:themeTint="BF"/>
        </w:rPr>
        <w:t>During the stabilized hold phase, the asset management fee of .35% on GAV (</w:t>
      </w:r>
      <w:r w:rsidR="008246E4">
        <w:rPr>
          <w:color w:val="404040" w:themeColor="text1" w:themeTint="BF"/>
        </w:rPr>
        <w:t xml:space="preserve">roughly 70 bps on NAV at the Fund’s 50% refinance assumption) is favorable relative to core OECF alternatives. </w:t>
      </w:r>
      <w:r w:rsidR="00252B3C">
        <w:rPr>
          <w:color w:val="404040" w:themeColor="text1" w:themeTint="BF"/>
        </w:rPr>
        <w:t xml:space="preserve">The incentive structure (mostly by way </w:t>
      </w:r>
      <w:r w:rsidR="009C23FA">
        <w:rPr>
          <w:color w:val="404040" w:themeColor="text1" w:themeTint="BF"/>
        </w:rPr>
        <w:t xml:space="preserve">having no </w:t>
      </w:r>
      <w:r w:rsidR="00AD5E6A">
        <w:rPr>
          <w:color w:val="404040" w:themeColor="text1" w:themeTint="BF"/>
        </w:rPr>
        <w:t xml:space="preserve">GP </w:t>
      </w:r>
      <w:r w:rsidR="009C23FA">
        <w:rPr>
          <w:color w:val="404040" w:themeColor="text1" w:themeTint="BF"/>
        </w:rPr>
        <w:t>catch-up</w:t>
      </w:r>
      <w:r w:rsidR="005B1881">
        <w:rPr>
          <w:color w:val="404040" w:themeColor="text1" w:themeTint="BF"/>
        </w:rPr>
        <w:t xml:space="preserve"> provision</w:t>
      </w:r>
      <w:r w:rsidR="009C23FA">
        <w:rPr>
          <w:color w:val="404040" w:themeColor="text1" w:themeTint="BF"/>
        </w:rPr>
        <w:t>) is favorable relative to closed-end commingled fund standards</w:t>
      </w:r>
      <w:r w:rsidR="005B1881">
        <w:rPr>
          <w:color w:val="404040" w:themeColor="text1" w:themeTint="BF"/>
        </w:rPr>
        <w:t xml:space="preserve"> until the Fund achieves material outperformance.</w:t>
      </w:r>
      <w:r w:rsidR="009C23FA">
        <w:rPr>
          <w:color w:val="404040" w:themeColor="text1" w:themeTint="BF"/>
        </w:rPr>
        <w:t xml:space="preserve"> </w:t>
      </w:r>
      <w:r w:rsidR="004D3AEC">
        <w:rPr>
          <w:color w:val="404040" w:themeColor="text1" w:themeTint="BF"/>
        </w:rPr>
        <w:t xml:space="preserve">Comparative analysis is detailed in the </w:t>
      </w:r>
      <w:r w:rsidR="004D3AEC" w:rsidRPr="004D3AEC">
        <w:rPr>
          <w:i/>
          <w:iCs/>
          <w:color w:val="404040" w:themeColor="text1" w:themeTint="BF"/>
        </w:rPr>
        <w:t>Fund Structure</w:t>
      </w:r>
      <w:r w:rsidR="004D3AEC">
        <w:rPr>
          <w:color w:val="404040" w:themeColor="text1" w:themeTint="BF"/>
        </w:rPr>
        <w:t xml:space="preserve"> section of this report. It is also worth noting that the </w:t>
      </w:r>
      <w:r w:rsidR="003673AB">
        <w:rPr>
          <w:color w:val="404040" w:themeColor="text1" w:themeTint="BF"/>
        </w:rPr>
        <w:t>Sponsor’s vertically integrated business model eliminates the need for a double promote associated with executing through a JV</w:t>
      </w:r>
      <w:r w:rsidR="00781F53">
        <w:rPr>
          <w:color w:val="404040" w:themeColor="text1" w:themeTint="BF"/>
        </w:rPr>
        <w:t xml:space="preserve"> development partner, saving</w:t>
      </w:r>
      <w:r w:rsidR="00545619">
        <w:rPr>
          <w:color w:val="404040" w:themeColor="text1" w:themeTint="BF"/>
        </w:rPr>
        <w:t>, as a broad estimate,</w:t>
      </w:r>
      <w:r w:rsidR="00781F53">
        <w:rPr>
          <w:color w:val="404040" w:themeColor="text1" w:themeTint="BF"/>
        </w:rPr>
        <w:t xml:space="preserve"> </w:t>
      </w:r>
      <w:r w:rsidR="00351241">
        <w:rPr>
          <w:color w:val="404040" w:themeColor="text1" w:themeTint="BF"/>
        </w:rPr>
        <w:t xml:space="preserve">200 </w:t>
      </w:r>
      <w:r w:rsidR="00676CC9">
        <w:rPr>
          <w:color w:val="404040" w:themeColor="text1" w:themeTint="BF"/>
        </w:rPr>
        <w:t>bps from property level to gross IRR</w:t>
      </w:r>
      <w:r w:rsidR="00FD502A">
        <w:rPr>
          <w:color w:val="404040" w:themeColor="text1" w:themeTint="BF"/>
        </w:rPr>
        <w:t xml:space="preserve"> with potentially much greater savings on successful deals.</w:t>
      </w:r>
      <w:r w:rsidR="00351241">
        <w:rPr>
          <w:color w:val="404040" w:themeColor="text1" w:themeTint="BF"/>
        </w:rPr>
        <w:t xml:space="preserve"> </w:t>
      </w:r>
      <w:r w:rsidR="00FD502A">
        <w:rPr>
          <w:color w:val="404040" w:themeColor="text1" w:themeTint="BF"/>
        </w:rPr>
        <w:t>JV structures</w:t>
      </w:r>
      <w:r w:rsidR="00351241">
        <w:rPr>
          <w:color w:val="404040" w:themeColor="text1" w:themeTint="BF"/>
        </w:rPr>
        <w:t xml:space="preserve"> would be a common execution for development exposure through diversified opportunistic </w:t>
      </w:r>
      <w:r w:rsidR="005A560B">
        <w:rPr>
          <w:color w:val="404040" w:themeColor="text1" w:themeTint="BF"/>
        </w:rPr>
        <w:t xml:space="preserve">commingled funds </w:t>
      </w:r>
      <w:r w:rsidR="00351241">
        <w:rPr>
          <w:color w:val="404040" w:themeColor="text1" w:themeTint="BF"/>
        </w:rPr>
        <w:t xml:space="preserve">or </w:t>
      </w:r>
      <w:r w:rsidR="00061B07">
        <w:rPr>
          <w:color w:val="404040" w:themeColor="text1" w:themeTint="BF"/>
        </w:rPr>
        <w:t xml:space="preserve">a minority allocation within core/core-plus commingled funds. </w:t>
      </w:r>
    </w:p>
    <w:p w14:paraId="66C4ABD0" w14:textId="77777777" w:rsidR="00A41490" w:rsidRPr="00AA3434" w:rsidRDefault="00A41490" w:rsidP="00AA3434">
      <w:pPr>
        <w:rPr>
          <w:color w:val="404040" w:themeColor="text1" w:themeTint="BF"/>
        </w:rPr>
      </w:pPr>
    </w:p>
    <w:p w14:paraId="36C3021D" w14:textId="66EDA72C" w:rsidR="007A105F" w:rsidRPr="00525121" w:rsidRDefault="00952355" w:rsidP="00A91DCC">
      <w:pPr>
        <w:pStyle w:val="NoSpacing"/>
        <w:numPr>
          <w:ilvl w:val="0"/>
          <w:numId w:val="10"/>
        </w:numPr>
        <w:autoSpaceDE w:val="0"/>
        <w:autoSpaceDN w:val="0"/>
        <w:adjustRightInd w:val="0"/>
        <w:jc w:val="both"/>
        <w:rPr>
          <w:color w:val="404040" w:themeColor="text1" w:themeTint="BF"/>
          <w:highlight w:val="green"/>
        </w:rPr>
      </w:pPr>
      <w:r w:rsidRPr="00525121">
        <w:rPr>
          <w:color w:val="404040" w:themeColor="text1" w:themeTint="BF"/>
          <w:highlight w:val="green"/>
        </w:rPr>
        <w:t>Experience and Proven Execution</w:t>
      </w:r>
    </w:p>
    <w:p w14:paraId="336F78FE" w14:textId="77777777" w:rsidR="00C25C0C" w:rsidRDefault="00C25C0C" w:rsidP="00C25C0C">
      <w:pPr>
        <w:pStyle w:val="NoSpacing"/>
        <w:autoSpaceDE w:val="0"/>
        <w:autoSpaceDN w:val="0"/>
        <w:adjustRightInd w:val="0"/>
        <w:jc w:val="both"/>
        <w:rPr>
          <w:color w:val="404040" w:themeColor="text1" w:themeTint="BF"/>
        </w:rPr>
      </w:pPr>
    </w:p>
    <w:p w14:paraId="2A37CFA2" w14:textId="2B58AFEA" w:rsidR="00AB4DBE" w:rsidRDefault="00AB4DBE" w:rsidP="00C25C0C">
      <w:pPr>
        <w:pStyle w:val="NoSpacing"/>
        <w:autoSpaceDE w:val="0"/>
        <w:autoSpaceDN w:val="0"/>
        <w:adjustRightInd w:val="0"/>
        <w:jc w:val="both"/>
        <w:rPr>
          <w:color w:val="404040" w:themeColor="text1" w:themeTint="BF"/>
        </w:rPr>
      </w:pPr>
      <w:r>
        <w:rPr>
          <w:color w:val="404040" w:themeColor="text1" w:themeTint="BF"/>
        </w:rPr>
        <w:t xml:space="preserve">Although the platform is relatively new, Townsend has direct </w:t>
      </w:r>
      <w:r w:rsidR="001E5526">
        <w:rPr>
          <w:color w:val="404040" w:themeColor="text1" w:themeTint="BF"/>
        </w:rPr>
        <w:t>first-hand experience into the quality of the platform build-out as a foundational investor in the firm’s first two flagship value-add funds</w:t>
      </w:r>
      <w:r w:rsidR="009E5A38">
        <w:rPr>
          <w:color w:val="404040" w:themeColor="text1" w:themeTint="BF"/>
        </w:rPr>
        <w:t xml:space="preserve"> (“BLV I” and “BLV II”).</w:t>
      </w:r>
    </w:p>
    <w:p w14:paraId="7F8E77E7" w14:textId="77777777" w:rsidR="00AB4DBE" w:rsidRPr="00C25C0C" w:rsidRDefault="00AB4DBE" w:rsidP="00C25C0C">
      <w:pPr>
        <w:pStyle w:val="NoSpacing"/>
        <w:autoSpaceDE w:val="0"/>
        <w:autoSpaceDN w:val="0"/>
        <w:adjustRightInd w:val="0"/>
        <w:jc w:val="both"/>
        <w:rPr>
          <w:color w:val="404040" w:themeColor="text1" w:themeTint="BF"/>
        </w:rPr>
      </w:pPr>
    </w:p>
    <w:p w14:paraId="71A24476" w14:textId="4C2F1AF4" w:rsidR="007A105F" w:rsidRDefault="00AD3492" w:rsidP="00952355">
      <w:pPr>
        <w:pStyle w:val="NoSpacing"/>
        <w:autoSpaceDE w:val="0"/>
        <w:autoSpaceDN w:val="0"/>
        <w:adjustRightInd w:val="0"/>
        <w:jc w:val="both"/>
        <w:rPr>
          <w:color w:val="404040" w:themeColor="text1" w:themeTint="BF"/>
        </w:rPr>
      </w:pPr>
      <w:r w:rsidRPr="00AD3492">
        <w:rPr>
          <w:color w:val="404040" w:themeColor="text1" w:themeTint="BF"/>
        </w:rPr>
        <w:lastRenderedPageBreak/>
        <w:t>The Bridge team is comprised of well-known industry participants with strong relationships to key owners, developers, brokers, and tenants across a global network.</w:t>
      </w:r>
      <w:r w:rsidR="00793446">
        <w:rPr>
          <w:color w:val="404040" w:themeColor="text1" w:themeTint="BF"/>
        </w:rPr>
        <w:t xml:space="preserve"> </w:t>
      </w:r>
      <w:r w:rsidR="00474F16">
        <w:rPr>
          <w:color w:val="404040" w:themeColor="text1" w:themeTint="BF"/>
        </w:rPr>
        <w:t>Its</w:t>
      </w:r>
      <w:r w:rsidR="00793446">
        <w:rPr>
          <w:color w:val="404040" w:themeColor="text1" w:themeTint="BF"/>
        </w:rPr>
        <w:t xml:space="preserve"> senior leade</w:t>
      </w:r>
      <w:r w:rsidR="00592837">
        <w:rPr>
          <w:color w:val="404040" w:themeColor="text1" w:themeTint="BF"/>
        </w:rPr>
        <w:t xml:space="preserve">rship consists of highly experienced professionals with deep logistics expertise and </w:t>
      </w:r>
      <w:r w:rsidR="00FA6EDD">
        <w:rPr>
          <w:color w:val="404040" w:themeColor="text1" w:themeTint="BF"/>
        </w:rPr>
        <w:t>experience</w:t>
      </w:r>
      <w:r w:rsidR="003B4CAB">
        <w:rPr>
          <w:color w:val="404040" w:themeColor="text1" w:themeTint="BF"/>
        </w:rPr>
        <w:t xml:space="preserve"> with platform build outs.</w:t>
      </w:r>
    </w:p>
    <w:p w14:paraId="10E40CF2" w14:textId="18C1697D" w:rsidR="00AD3492" w:rsidRDefault="009C54B5" w:rsidP="00A91DCC">
      <w:pPr>
        <w:pStyle w:val="NoSpacing"/>
        <w:numPr>
          <w:ilvl w:val="0"/>
          <w:numId w:val="29"/>
        </w:numPr>
        <w:autoSpaceDE w:val="0"/>
        <w:autoSpaceDN w:val="0"/>
        <w:adjustRightInd w:val="0"/>
        <w:jc w:val="both"/>
        <w:rPr>
          <w:color w:val="404040" w:themeColor="text1" w:themeTint="BF"/>
        </w:rPr>
      </w:pPr>
      <w:r>
        <w:rPr>
          <w:color w:val="404040" w:themeColor="text1" w:themeTint="BF"/>
        </w:rPr>
        <w:t>Jay Cornforth – CEO and Co-CIO of Bridge Logistics Properties with 27 years of experience</w:t>
      </w:r>
    </w:p>
    <w:p w14:paraId="3065679D" w14:textId="3E9DEA54" w:rsidR="009C54B5" w:rsidRDefault="008E1343" w:rsidP="00A91DCC">
      <w:pPr>
        <w:pStyle w:val="NoSpacing"/>
        <w:numPr>
          <w:ilvl w:val="1"/>
          <w:numId w:val="29"/>
        </w:numPr>
        <w:autoSpaceDE w:val="0"/>
        <w:autoSpaceDN w:val="0"/>
        <w:adjustRightInd w:val="0"/>
        <w:jc w:val="both"/>
        <w:rPr>
          <w:color w:val="404040" w:themeColor="text1" w:themeTint="BF"/>
        </w:rPr>
      </w:pPr>
      <w:r w:rsidRPr="008E1343">
        <w:rPr>
          <w:color w:val="404040" w:themeColor="text1" w:themeTint="BF"/>
        </w:rPr>
        <w:t>Brookfield (2013</w:t>
      </w:r>
      <w:r w:rsidR="00A20050">
        <w:rPr>
          <w:color w:val="404040" w:themeColor="text1" w:themeTint="BF"/>
        </w:rPr>
        <w:t>-</w:t>
      </w:r>
      <w:r w:rsidRPr="008E1343">
        <w:rPr>
          <w:color w:val="404040" w:themeColor="text1" w:themeTint="BF"/>
        </w:rPr>
        <w:t>2020): Managing Partner and Global Head of Logistics</w:t>
      </w:r>
    </w:p>
    <w:p w14:paraId="2A763933" w14:textId="09ED4BE9" w:rsidR="008E1343" w:rsidRDefault="008E1343" w:rsidP="00A91DCC">
      <w:pPr>
        <w:pStyle w:val="NoSpacing"/>
        <w:numPr>
          <w:ilvl w:val="1"/>
          <w:numId w:val="29"/>
        </w:numPr>
        <w:autoSpaceDE w:val="0"/>
        <w:autoSpaceDN w:val="0"/>
        <w:adjustRightInd w:val="0"/>
        <w:jc w:val="both"/>
        <w:rPr>
          <w:color w:val="404040" w:themeColor="text1" w:themeTint="BF"/>
        </w:rPr>
      </w:pPr>
      <w:r w:rsidRPr="008E1343">
        <w:rPr>
          <w:color w:val="404040" w:themeColor="text1" w:themeTint="BF"/>
        </w:rPr>
        <w:t>IDI Logistics (2013</w:t>
      </w:r>
      <w:r w:rsidR="009142D6">
        <w:rPr>
          <w:color w:val="404040" w:themeColor="text1" w:themeTint="BF"/>
        </w:rPr>
        <w:t>-</w:t>
      </w:r>
      <w:r w:rsidRPr="008E1343">
        <w:rPr>
          <w:color w:val="404040" w:themeColor="text1" w:themeTint="BF"/>
        </w:rPr>
        <w:t xml:space="preserve">2016): CEO overseeing and leading the acquisition and rebranding of IDI </w:t>
      </w:r>
      <w:proofErr w:type="spellStart"/>
      <w:r w:rsidRPr="008E1343">
        <w:rPr>
          <w:color w:val="404040" w:themeColor="text1" w:themeTint="BF"/>
        </w:rPr>
        <w:t>Gazeley</w:t>
      </w:r>
      <w:proofErr w:type="spellEnd"/>
    </w:p>
    <w:p w14:paraId="1D638879" w14:textId="6931D6E1" w:rsidR="008E1343" w:rsidRDefault="008E1343" w:rsidP="00A91DCC">
      <w:pPr>
        <w:pStyle w:val="NoSpacing"/>
        <w:numPr>
          <w:ilvl w:val="1"/>
          <w:numId w:val="29"/>
        </w:numPr>
        <w:autoSpaceDE w:val="0"/>
        <w:autoSpaceDN w:val="0"/>
        <w:adjustRightInd w:val="0"/>
        <w:jc w:val="both"/>
        <w:rPr>
          <w:color w:val="404040" w:themeColor="text1" w:themeTint="BF"/>
        </w:rPr>
      </w:pPr>
      <w:r w:rsidRPr="008E1343">
        <w:rPr>
          <w:color w:val="404040" w:themeColor="text1" w:themeTint="BF"/>
        </w:rPr>
        <w:t>Prologis (2011</w:t>
      </w:r>
      <w:r w:rsidR="00A20050">
        <w:rPr>
          <w:color w:val="404040" w:themeColor="text1" w:themeTint="BF"/>
        </w:rPr>
        <w:t>-</w:t>
      </w:r>
      <w:r w:rsidRPr="008E1343">
        <w:rPr>
          <w:color w:val="404040" w:themeColor="text1" w:themeTint="BF"/>
        </w:rPr>
        <w:t xml:space="preserve">2013): President, East Region overseeing 91 million square </w:t>
      </w:r>
      <w:proofErr w:type="gramStart"/>
      <w:r w:rsidRPr="008E1343">
        <w:rPr>
          <w:color w:val="404040" w:themeColor="text1" w:themeTint="BF"/>
        </w:rPr>
        <w:t>feet</w:t>
      </w:r>
      <w:proofErr w:type="gramEnd"/>
    </w:p>
    <w:p w14:paraId="4EAE3630" w14:textId="64850D24" w:rsidR="008E1343" w:rsidRDefault="008E1343" w:rsidP="00A91DCC">
      <w:pPr>
        <w:pStyle w:val="NoSpacing"/>
        <w:numPr>
          <w:ilvl w:val="1"/>
          <w:numId w:val="29"/>
        </w:numPr>
        <w:autoSpaceDE w:val="0"/>
        <w:autoSpaceDN w:val="0"/>
        <w:adjustRightInd w:val="0"/>
        <w:jc w:val="both"/>
        <w:rPr>
          <w:color w:val="404040" w:themeColor="text1" w:themeTint="BF"/>
        </w:rPr>
      </w:pPr>
      <w:r w:rsidRPr="008E1343">
        <w:rPr>
          <w:color w:val="404040" w:themeColor="text1" w:themeTint="BF"/>
        </w:rPr>
        <w:t>AMB (200</w:t>
      </w:r>
      <w:r w:rsidR="00A20050">
        <w:rPr>
          <w:color w:val="404040" w:themeColor="text1" w:themeTint="BF"/>
        </w:rPr>
        <w:t>3-</w:t>
      </w:r>
      <w:r w:rsidRPr="008E1343">
        <w:rPr>
          <w:color w:val="404040" w:themeColor="text1" w:themeTint="BF"/>
        </w:rPr>
        <w:t>2011): President through merger of AMB and Prologis in 2011</w:t>
      </w:r>
    </w:p>
    <w:p w14:paraId="6AF4CFA8" w14:textId="592EE50F" w:rsidR="008E1343" w:rsidRDefault="004A3046" w:rsidP="00A91DCC">
      <w:pPr>
        <w:pStyle w:val="NoSpacing"/>
        <w:numPr>
          <w:ilvl w:val="1"/>
          <w:numId w:val="29"/>
        </w:numPr>
        <w:autoSpaceDE w:val="0"/>
        <w:autoSpaceDN w:val="0"/>
        <w:adjustRightInd w:val="0"/>
        <w:jc w:val="both"/>
        <w:rPr>
          <w:color w:val="404040" w:themeColor="text1" w:themeTint="BF"/>
        </w:rPr>
      </w:pPr>
      <w:r w:rsidRPr="004A3046">
        <w:rPr>
          <w:color w:val="404040" w:themeColor="text1" w:themeTint="BF"/>
        </w:rPr>
        <w:t>Cabot (1998</w:t>
      </w:r>
      <w:r w:rsidR="00A20050">
        <w:rPr>
          <w:color w:val="404040" w:themeColor="text1" w:themeTint="BF"/>
        </w:rPr>
        <w:t>-</w:t>
      </w:r>
      <w:r w:rsidRPr="004A3046">
        <w:rPr>
          <w:color w:val="404040" w:themeColor="text1" w:themeTint="BF"/>
        </w:rPr>
        <w:t xml:space="preserve">2003): SVP overseeing development </w:t>
      </w:r>
      <w:proofErr w:type="gramStart"/>
      <w:r w:rsidRPr="004A3046">
        <w:rPr>
          <w:color w:val="404040" w:themeColor="text1" w:themeTint="BF"/>
        </w:rPr>
        <w:t>nationally</w:t>
      </w:r>
      <w:proofErr w:type="gramEnd"/>
    </w:p>
    <w:p w14:paraId="76BF0CBE" w14:textId="7764DB85" w:rsidR="004A3046" w:rsidRDefault="004A3046" w:rsidP="00A91DCC">
      <w:pPr>
        <w:pStyle w:val="NoSpacing"/>
        <w:numPr>
          <w:ilvl w:val="0"/>
          <w:numId w:val="29"/>
        </w:numPr>
        <w:autoSpaceDE w:val="0"/>
        <w:autoSpaceDN w:val="0"/>
        <w:adjustRightInd w:val="0"/>
        <w:jc w:val="both"/>
        <w:rPr>
          <w:color w:val="404040" w:themeColor="text1" w:themeTint="BF"/>
        </w:rPr>
      </w:pPr>
      <w:r w:rsidRPr="004A3046">
        <w:rPr>
          <w:color w:val="404040" w:themeColor="text1" w:themeTint="BF"/>
        </w:rPr>
        <w:t>Brian Gagne – Co-CIO of Bridge Logistics Properties with 18 years of experience</w:t>
      </w:r>
    </w:p>
    <w:p w14:paraId="7089BD3C" w14:textId="32934CE4" w:rsidR="004A3046" w:rsidRDefault="004A3046" w:rsidP="00A91DCC">
      <w:pPr>
        <w:pStyle w:val="NoSpacing"/>
        <w:numPr>
          <w:ilvl w:val="1"/>
          <w:numId w:val="29"/>
        </w:numPr>
        <w:autoSpaceDE w:val="0"/>
        <w:autoSpaceDN w:val="0"/>
        <w:adjustRightInd w:val="0"/>
        <w:jc w:val="both"/>
        <w:rPr>
          <w:color w:val="404040" w:themeColor="text1" w:themeTint="BF"/>
        </w:rPr>
      </w:pPr>
      <w:r w:rsidRPr="004A3046">
        <w:rPr>
          <w:color w:val="404040" w:themeColor="text1" w:themeTint="BF"/>
        </w:rPr>
        <w:t>Brookfield (2017</w:t>
      </w:r>
      <w:r w:rsidR="00A20050">
        <w:rPr>
          <w:color w:val="404040" w:themeColor="text1" w:themeTint="BF"/>
        </w:rPr>
        <w:t>-</w:t>
      </w:r>
      <w:r w:rsidRPr="004A3046">
        <w:rPr>
          <w:color w:val="404040" w:themeColor="text1" w:themeTint="BF"/>
        </w:rPr>
        <w:t>2020): Head of U.S. Industrial; acquisition/development lead</w:t>
      </w:r>
    </w:p>
    <w:p w14:paraId="482F9430" w14:textId="250CB5BF" w:rsidR="004A3046" w:rsidRDefault="004A3046" w:rsidP="00A91DCC">
      <w:pPr>
        <w:pStyle w:val="NoSpacing"/>
        <w:numPr>
          <w:ilvl w:val="1"/>
          <w:numId w:val="29"/>
        </w:numPr>
        <w:autoSpaceDE w:val="0"/>
        <w:autoSpaceDN w:val="0"/>
        <w:adjustRightInd w:val="0"/>
        <w:jc w:val="both"/>
        <w:rPr>
          <w:color w:val="404040" w:themeColor="text1" w:themeTint="BF"/>
        </w:rPr>
      </w:pPr>
      <w:r w:rsidRPr="004A3046">
        <w:rPr>
          <w:color w:val="404040" w:themeColor="text1" w:themeTint="BF"/>
        </w:rPr>
        <w:t xml:space="preserve">IDI </w:t>
      </w:r>
      <w:proofErr w:type="spellStart"/>
      <w:r w:rsidRPr="004A3046">
        <w:rPr>
          <w:color w:val="404040" w:themeColor="text1" w:themeTint="BF"/>
        </w:rPr>
        <w:t>Gazeley</w:t>
      </w:r>
      <w:proofErr w:type="spellEnd"/>
      <w:r w:rsidRPr="004A3046">
        <w:rPr>
          <w:color w:val="404040" w:themeColor="text1" w:themeTint="BF"/>
        </w:rPr>
        <w:t xml:space="preserve"> (2015</w:t>
      </w:r>
      <w:r w:rsidR="00A20050">
        <w:rPr>
          <w:color w:val="404040" w:themeColor="text1" w:themeTint="BF"/>
        </w:rPr>
        <w:t>-</w:t>
      </w:r>
      <w:r w:rsidRPr="004A3046">
        <w:rPr>
          <w:color w:val="404040" w:themeColor="text1" w:themeTint="BF"/>
        </w:rPr>
        <w:t>2017): Head of Western U.S. Industrial</w:t>
      </w:r>
    </w:p>
    <w:p w14:paraId="35EF1DB7" w14:textId="1DADFAD8" w:rsidR="004A3046" w:rsidRDefault="00667483" w:rsidP="00A91DCC">
      <w:pPr>
        <w:pStyle w:val="NoSpacing"/>
        <w:numPr>
          <w:ilvl w:val="1"/>
          <w:numId w:val="29"/>
        </w:numPr>
        <w:autoSpaceDE w:val="0"/>
        <w:autoSpaceDN w:val="0"/>
        <w:adjustRightInd w:val="0"/>
        <w:jc w:val="both"/>
        <w:rPr>
          <w:color w:val="404040" w:themeColor="text1" w:themeTint="BF"/>
        </w:rPr>
      </w:pPr>
      <w:r w:rsidRPr="00667483">
        <w:rPr>
          <w:color w:val="404040" w:themeColor="text1" w:themeTint="BF"/>
        </w:rPr>
        <w:t>KTR (2005</w:t>
      </w:r>
      <w:r w:rsidR="00A20050">
        <w:rPr>
          <w:color w:val="404040" w:themeColor="text1" w:themeTint="BF"/>
        </w:rPr>
        <w:t>-</w:t>
      </w:r>
      <w:r w:rsidRPr="00667483">
        <w:rPr>
          <w:color w:val="404040" w:themeColor="text1" w:themeTint="BF"/>
        </w:rPr>
        <w:t xml:space="preserve">2015): Partner and Acquisition Team Leader; opened company’s West Coast office in </w:t>
      </w:r>
      <w:proofErr w:type="gramStart"/>
      <w:r w:rsidRPr="00667483">
        <w:rPr>
          <w:color w:val="404040" w:themeColor="text1" w:themeTint="BF"/>
        </w:rPr>
        <w:t>2007</w:t>
      </w:r>
      <w:proofErr w:type="gramEnd"/>
    </w:p>
    <w:p w14:paraId="28BEA303" w14:textId="5FB7D246" w:rsidR="00667483" w:rsidRDefault="00667483" w:rsidP="00A91DCC">
      <w:pPr>
        <w:pStyle w:val="NoSpacing"/>
        <w:numPr>
          <w:ilvl w:val="0"/>
          <w:numId w:val="29"/>
        </w:numPr>
        <w:autoSpaceDE w:val="0"/>
        <w:autoSpaceDN w:val="0"/>
        <w:adjustRightInd w:val="0"/>
        <w:jc w:val="both"/>
        <w:rPr>
          <w:color w:val="404040" w:themeColor="text1" w:themeTint="BF"/>
        </w:rPr>
      </w:pPr>
      <w:r w:rsidRPr="00667483">
        <w:rPr>
          <w:color w:val="404040" w:themeColor="text1" w:themeTint="BF"/>
        </w:rPr>
        <w:t>Jay and Brian have served in critical capacities establishing new brands and platforms (including building the Brookfield industrial team twice) while successfully executing on a wide range of industrial investment strategies.</w:t>
      </w:r>
      <w:r w:rsidR="00C25C0C">
        <w:rPr>
          <w:color w:val="404040" w:themeColor="text1" w:themeTint="BF"/>
        </w:rPr>
        <w:t xml:space="preserve"> </w:t>
      </w:r>
      <w:r w:rsidR="00C25C0C" w:rsidRPr="00C25C0C">
        <w:rPr>
          <w:color w:val="404040" w:themeColor="text1" w:themeTint="BF"/>
        </w:rPr>
        <w:t>Townsend conducted numerous reference checks on both Jay and Brian with current and former employees of Brookfield. All reference checks came back extremely positive.</w:t>
      </w:r>
    </w:p>
    <w:p w14:paraId="55EEA430" w14:textId="77777777" w:rsidR="00AD3492" w:rsidRDefault="00AD3492" w:rsidP="00952355">
      <w:pPr>
        <w:pStyle w:val="NoSpacing"/>
        <w:autoSpaceDE w:val="0"/>
        <w:autoSpaceDN w:val="0"/>
        <w:adjustRightInd w:val="0"/>
        <w:jc w:val="both"/>
        <w:rPr>
          <w:color w:val="404040" w:themeColor="text1" w:themeTint="BF"/>
        </w:rPr>
      </w:pPr>
    </w:p>
    <w:p w14:paraId="3E8F67C3" w14:textId="6C839203" w:rsidR="00952355" w:rsidRPr="00395803" w:rsidRDefault="00F738EB" w:rsidP="00952355">
      <w:pPr>
        <w:pStyle w:val="NoSpacing"/>
        <w:autoSpaceDE w:val="0"/>
        <w:autoSpaceDN w:val="0"/>
        <w:adjustRightInd w:val="0"/>
        <w:jc w:val="both"/>
        <w:rPr>
          <w:color w:val="404040" w:themeColor="text1" w:themeTint="BF"/>
        </w:rPr>
      </w:pPr>
      <w:r w:rsidRPr="002B1028">
        <w:rPr>
          <w:color w:val="404040" w:themeColor="text1" w:themeTint="BF"/>
        </w:rPr>
        <w:t xml:space="preserve">Bridge has </w:t>
      </w:r>
      <w:r w:rsidRPr="00F13547">
        <w:rPr>
          <w:color w:val="404040" w:themeColor="text1" w:themeTint="BF"/>
        </w:rPr>
        <w:t>fully built out the platform, which now totals 3</w:t>
      </w:r>
      <w:r w:rsidR="002B1028" w:rsidRPr="00F13547">
        <w:rPr>
          <w:color w:val="404040" w:themeColor="text1" w:themeTint="BF"/>
        </w:rPr>
        <w:t>4</w:t>
      </w:r>
      <w:r w:rsidRPr="00F13547">
        <w:rPr>
          <w:color w:val="404040" w:themeColor="text1" w:themeTint="BF"/>
        </w:rPr>
        <w:t xml:space="preserve"> employees, successfully assembling a highly skilled and experienced cohesive roster of talent. The team has displayed impressive execution capabilities </w:t>
      </w:r>
      <w:r w:rsidR="00F72D7E" w:rsidRPr="00F13547">
        <w:rPr>
          <w:color w:val="404040" w:themeColor="text1" w:themeTint="BF"/>
        </w:rPr>
        <w:t xml:space="preserve">over a </w:t>
      </w:r>
      <w:r w:rsidR="0052323A" w:rsidRPr="00F13547">
        <w:rPr>
          <w:color w:val="404040" w:themeColor="text1" w:themeTint="BF"/>
        </w:rPr>
        <w:t>three-year</w:t>
      </w:r>
      <w:r w:rsidR="00F72D7E" w:rsidRPr="00F13547">
        <w:rPr>
          <w:color w:val="404040" w:themeColor="text1" w:themeTint="BF"/>
        </w:rPr>
        <w:t xml:space="preserve"> period as an active investor</w:t>
      </w:r>
      <w:r w:rsidRPr="00F13547">
        <w:rPr>
          <w:color w:val="404040" w:themeColor="text1" w:themeTint="BF"/>
        </w:rPr>
        <w:t>, deploying a high-tempo transaction strategy that leverages its strong relationships across its</w:t>
      </w:r>
      <w:r w:rsidR="00BA1FA4" w:rsidRPr="00F13547">
        <w:rPr>
          <w:color w:val="404040" w:themeColor="text1" w:themeTint="BF"/>
        </w:rPr>
        <w:t xml:space="preserve"> t</w:t>
      </w:r>
      <w:r w:rsidRPr="00F13547">
        <w:rPr>
          <w:color w:val="404040" w:themeColor="text1" w:themeTint="BF"/>
        </w:rPr>
        <w:t>arget Markets to source ~85-90% of deals via off-market channels and selectively marketed situations, thereby mitigating pricing competition and benefiting the acquisition basis</w:t>
      </w:r>
      <w:r w:rsidR="00BA1FA4" w:rsidRPr="00F13547">
        <w:rPr>
          <w:color w:val="404040" w:themeColor="text1" w:themeTint="BF"/>
        </w:rPr>
        <w:t xml:space="preserve"> of the initial BLP Fund ventures</w:t>
      </w:r>
      <w:r w:rsidRPr="00F13547">
        <w:rPr>
          <w:color w:val="404040" w:themeColor="text1" w:themeTint="BF"/>
        </w:rPr>
        <w:t>.</w:t>
      </w:r>
      <w:r w:rsidR="002304A4" w:rsidRPr="00F13547">
        <w:rPr>
          <w:color w:val="404040" w:themeColor="text1" w:themeTint="BF"/>
        </w:rPr>
        <w:t xml:space="preserve"> </w:t>
      </w:r>
      <w:proofErr w:type="gramStart"/>
      <w:r w:rsidRPr="00F13547">
        <w:rPr>
          <w:color w:val="404040" w:themeColor="text1" w:themeTint="BF"/>
        </w:rPr>
        <w:t>Venture</w:t>
      </w:r>
      <w:proofErr w:type="gramEnd"/>
      <w:r w:rsidRPr="00F13547">
        <w:rPr>
          <w:color w:val="404040" w:themeColor="text1" w:themeTint="BF"/>
        </w:rPr>
        <w:t xml:space="preserve"> I has accumulated a portfolio of </w:t>
      </w:r>
      <w:r w:rsidR="00C7028E" w:rsidRPr="00F13547">
        <w:rPr>
          <w:color w:val="404040" w:themeColor="text1" w:themeTint="BF"/>
        </w:rPr>
        <w:t>32</w:t>
      </w:r>
      <w:r w:rsidRPr="00F13547">
        <w:rPr>
          <w:color w:val="404040" w:themeColor="text1" w:themeTint="BF"/>
        </w:rPr>
        <w:t xml:space="preserve"> functional</w:t>
      </w:r>
      <w:r w:rsidRPr="00472A9C">
        <w:rPr>
          <w:color w:val="404040" w:themeColor="text1" w:themeTint="BF"/>
        </w:rPr>
        <w:t xml:space="preserve"> infill logistics assets</w:t>
      </w:r>
      <w:r w:rsidR="00472A9C">
        <w:rPr>
          <w:color w:val="404040" w:themeColor="text1" w:themeTint="BF"/>
        </w:rPr>
        <w:t xml:space="preserve"> and sites</w:t>
      </w:r>
      <w:r w:rsidRPr="00472A9C">
        <w:rPr>
          <w:color w:val="404040" w:themeColor="text1" w:themeTint="BF"/>
        </w:rPr>
        <w:t xml:space="preserve"> totaling ~2.</w:t>
      </w:r>
      <w:r w:rsidR="00C7028E" w:rsidRPr="00472A9C">
        <w:rPr>
          <w:color w:val="404040" w:themeColor="text1" w:themeTint="BF"/>
        </w:rPr>
        <w:t>9M</w:t>
      </w:r>
      <w:r w:rsidR="00135BC5" w:rsidRPr="00472A9C">
        <w:rPr>
          <w:color w:val="404040" w:themeColor="text1" w:themeTint="BF"/>
        </w:rPr>
        <w:t xml:space="preserve"> sf (~3.2M sf </w:t>
      </w:r>
      <w:r w:rsidR="006F4D7C" w:rsidRPr="00472A9C">
        <w:rPr>
          <w:color w:val="404040" w:themeColor="text1" w:themeTint="BF"/>
        </w:rPr>
        <w:t>inclusive</w:t>
      </w:r>
      <w:r w:rsidR="00135BC5" w:rsidRPr="00472A9C">
        <w:rPr>
          <w:color w:val="404040" w:themeColor="text1" w:themeTint="BF"/>
        </w:rPr>
        <w:t xml:space="preserve"> of planned development) </w:t>
      </w:r>
      <w:r w:rsidRPr="00472A9C">
        <w:rPr>
          <w:color w:val="404040" w:themeColor="text1" w:themeTint="BF"/>
        </w:rPr>
        <w:t>in a short period of time.</w:t>
      </w:r>
      <w:r w:rsidR="00135BC5" w:rsidRPr="00472A9C">
        <w:rPr>
          <w:color w:val="404040" w:themeColor="text1" w:themeTint="BF"/>
        </w:rPr>
        <w:t xml:space="preserve"> </w:t>
      </w:r>
      <w:r w:rsidR="00DD6B70" w:rsidRPr="00472A9C">
        <w:rPr>
          <w:color w:val="404040" w:themeColor="text1" w:themeTint="BF"/>
        </w:rPr>
        <w:t>Bridge</w:t>
      </w:r>
      <w:r w:rsidR="000452B2" w:rsidRPr="00472A9C">
        <w:rPr>
          <w:color w:val="404040" w:themeColor="text1" w:themeTint="BF"/>
        </w:rPr>
        <w:t xml:space="preserve"> has successfully completed </w:t>
      </w:r>
      <w:r w:rsidR="00782580" w:rsidRPr="00472A9C">
        <w:rPr>
          <w:color w:val="404040" w:themeColor="text1" w:themeTint="BF"/>
        </w:rPr>
        <w:t xml:space="preserve">over 1.3M sf of leasing since </w:t>
      </w:r>
      <w:r w:rsidR="00DD6B70" w:rsidRPr="00472A9C">
        <w:rPr>
          <w:color w:val="404040" w:themeColor="text1" w:themeTint="BF"/>
        </w:rPr>
        <w:t xml:space="preserve">the fund’s inception at </w:t>
      </w:r>
      <w:r w:rsidR="00472A9C" w:rsidRPr="00472A9C">
        <w:rPr>
          <w:color w:val="404040" w:themeColor="text1" w:themeTint="BF"/>
        </w:rPr>
        <w:t>a premium to underwritten rent levels.</w:t>
      </w:r>
      <w:r w:rsidRPr="00472A9C">
        <w:rPr>
          <w:color w:val="404040" w:themeColor="text1" w:themeTint="BF"/>
        </w:rPr>
        <w:t xml:space="preserve"> </w:t>
      </w:r>
      <w:r w:rsidR="00612E20">
        <w:rPr>
          <w:color w:val="404040" w:themeColor="text1" w:themeTint="BF"/>
        </w:rPr>
        <w:t xml:space="preserve">Townsend’s points of contact </w:t>
      </w:r>
      <w:r w:rsidR="00B70436">
        <w:rPr>
          <w:color w:val="404040" w:themeColor="text1" w:themeTint="BF"/>
        </w:rPr>
        <w:t>have noted</w:t>
      </w:r>
      <w:r w:rsidRPr="00472A9C">
        <w:rPr>
          <w:color w:val="404040" w:themeColor="text1" w:themeTint="BF"/>
        </w:rPr>
        <w:t xml:space="preserve"> Bridge’s ability to adapt to rapidly changing economic conditions, applying a more discerning</w:t>
      </w:r>
      <w:r w:rsidRPr="00F738EB">
        <w:rPr>
          <w:color w:val="404040" w:themeColor="text1" w:themeTint="BF"/>
        </w:rPr>
        <w:t xml:space="preserve"> lens to new investments, and only pursuing opportunities that prove to be very durable when sensitizing for more conservative leasing and exit assumptions. </w:t>
      </w:r>
      <w:r w:rsidR="00871BFB">
        <w:rPr>
          <w:color w:val="404040" w:themeColor="text1" w:themeTint="BF"/>
        </w:rPr>
        <w:t xml:space="preserve">Townsend would note that </w:t>
      </w:r>
      <w:r w:rsidRPr="00F738EB">
        <w:rPr>
          <w:color w:val="404040" w:themeColor="text1" w:themeTint="BF"/>
        </w:rPr>
        <w:t xml:space="preserve">BLP </w:t>
      </w:r>
      <w:r w:rsidR="00871BFB">
        <w:rPr>
          <w:color w:val="404040" w:themeColor="text1" w:themeTint="BF"/>
        </w:rPr>
        <w:t>has been</w:t>
      </w:r>
      <w:r w:rsidRPr="00F738EB">
        <w:rPr>
          <w:color w:val="404040" w:themeColor="text1" w:themeTint="BF"/>
        </w:rPr>
        <w:t xml:space="preserve"> consistently responsive to</w:t>
      </w:r>
      <w:r w:rsidR="00871BFB">
        <w:rPr>
          <w:color w:val="404040" w:themeColor="text1" w:themeTint="BF"/>
        </w:rPr>
        <w:t xml:space="preserve"> investor</w:t>
      </w:r>
      <w:r w:rsidRPr="00F738EB">
        <w:rPr>
          <w:color w:val="404040" w:themeColor="text1" w:themeTint="BF"/>
        </w:rPr>
        <w:t xml:space="preserve"> </w:t>
      </w:r>
      <w:r w:rsidR="006A7BBD" w:rsidRPr="00F738EB">
        <w:rPr>
          <w:color w:val="404040" w:themeColor="text1" w:themeTint="BF"/>
        </w:rPr>
        <w:t>needs and</w:t>
      </w:r>
      <w:r w:rsidRPr="00F738EB">
        <w:rPr>
          <w:color w:val="404040" w:themeColor="text1" w:themeTint="BF"/>
        </w:rPr>
        <w:t xml:space="preserve"> </w:t>
      </w:r>
      <w:r w:rsidR="008834DC">
        <w:rPr>
          <w:color w:val="404040" w:themeColor="text1" w:themeTint="BF"/>
        </w:rPr>
        <w:t>continues to foster</w:t>
      </w:r>
      <w:r w:rsidRPr="00F738EB">
        <w:rPr>
          <w:color w:val="404040" w:themeColor="text1" w:themeTint="BF"/>
        </w:rPr>
        <w:t xml:space="preserve"> a highly collaborative and communicative relationship.</w:t>
      </w:r>
    </w:p>
    <w:p w14:paraId="5F70D405" w14:textId="77777777" w:rsidR="005A560B" w:rsidRDefault="005A560B" w:rsidP="005C228E">
      <w:pPr>
        <w:pStyle w:val="NoSpacing"/>
        <w:autoSpaceDE w:val="0"/>
        <w:autoSpaceDN w:val="0"/>
        <w:adjustRightInd w:val="0"/>
        <w:jc w:val="both"/>
        <w:rPr>
          <w:color w:val="404040" w:themeColor="text1" w:themeTint="BF"/>
        </w:rPr>
      </w:pPr>
    </w:p>
    <w:p w14:paraId="58AB0A06" w14:textId="75B1BAED" w:rsidR="00520230" w:rsidRPr="00525121" w:rsidRDefault="00CA0ED0" w:rsidP="00A91DCC">
      <w:pPr>
        <w:pStyle w:val="NoSpacing"/>
        <w:numPr>
          <w:ilvl w:val="0"/>
          <w:numId w:val="10"/>
        </w:numPr>
        <w:autoSpaceDE w:val="0"/>
        <w:autoSpaceDN w:val="0"/>
        <w:adjustRightInd w:val="0"/>
        <w:jc w:val="both"/>
        <w:rPr>
          <w:color w:val="404040" w:themeColor="text1" w:themeTint="BF"/>
          <w:highlight w:val="green"/>
        </w:rPr>
      </w:pPr>
      <w:r w:rsidRPr="00525121">
        <w:rPr>
          <w:color w:val="404040" w:themeColor="text1" w:themeTint="BF"/>
          <w:highlight w:val="green"/>
        </w:rPr>
        <w:t>Potentially Attractive Entry Point</w:t>
      </w:r>
    </w:p>
    <w:p w14:paraId="40EA7C8B" w14:textId="77777777" w:rsidR="00F3719F" w:rsidRDefault="00F3719F" w:rsidP="00F3719F">
      <w:pPr>
        <w:pStyle w:val="NoSpacing"/>
        <w:autoSpaceDE w:val="0"/>
        <w:autoSpaceDN w:val="0"/>
        <w:adjustRightInd w:val="0"/>
        <w:jc w:val="both"/>
        <w:rPr>
          <w:color w:val="404040" w:themeColor="text1" w:themeTint="BF"/>
        </w:rPr>
      </w:pPr>
    </w:p>
    <w:p w14:paraId="48140378" w14:textId="0477B78C" w:rsidR="005F4827" w:rsidRPr="00FC1EBC" w:rsidRDefault="005F4827" w:rsidP="005F4827">
      <w:pPr>
        <w:pStyle w:val="NoSpacing"/>
        <w:numPr>
          <w:ilvl w:val="0"/>
          <w:numId w:val="30"/>
        </w:numPr>
        <w:autoSpaceDE w:val="0"/>
        <w:autoSpaceDN w:val="0"/>
        <w:adjustRightInd w:val="0"/>
        <w:jc w:val="both"/>
        <w:rPr>
          <w:color w:val="404040" w:themeColor="text1" w:themeTint="BF"/>
        </w:rPr>
      </w:pPr>
      <w:r>
        <w:rPr>
          <w:color w:val="404040" w:themeColor="text1" w:themeTint="BF"/>
        </w:rPr>
        <w:t xml:space="preserve">Diminished Supply: </w:t>
      </w:r>
      <w:r w:rsidRPr="00FC1EBC">
        <w:rPr>
          <w:color w:val="404040" w:themeColor="text1" w:themeTint="BF"/>
        </w:rPr>
        <w:t xml:space="preserve">Per Green Street, supply completions remain elevated but should begin to trend lower due to declining development starts since late 2022. Completions, particularly in higher barrier coastal markets, are expected to dip below long-term pre-pandemic trend in 2025 and 2026, providing a potentially more attractive delivery window for development starts early in the </w:t>
      </w:r>
      <w:r w:rsidR="00347D98">
        <w:rPr>
          <w:color w:val="404040" w:themeColor="text1" w:themeTint="BF"/>
        </w:rPr>
        <w:t>F</w:t>
      </w:r>
      <w:r w:rsidRPr="00FC1EBC">
        <w:rPr>
          <w:color w:val="404040" w:themeColor="text1" w:themeTint="BF"/>
        </w:rPr>
        <w:t xml:space="preserve">und’s life. </w:t>
      </w:r>
    </w:p>
    <w:p w14:paraId="15CF6C07" w14:textId="5D359F61" w:rsidR="00A934FD" w:rsidRDefault="00A934FD" w:rsidP="00A91DCC">
      <w:pPr>
        <w:pStyle w:val="NoSpacing"/>
        <w:numPr>
          <w:ilvl w:val="0"/>
          <w:numId w:val="30"/>
        </w:numPr>
        <w:autoSpaceDE w:val="0"/>
        <w:autoSpaceDN w:val="0"/>
        <w:adjustRightInd w:val="0"/>
        <w:jc w:val="both"/>
        <w:rPr>
          <w:color w:val="404040" w:themeColor="text1" w:themeTint="BF"/>
        </w:rPr>
      </w:pPr>
      <w:r>
        <w:rPr>
          <w:color w:val="404040" w:themeColor="text1" w:themeTint="BF"/>
        </w:rPr>
        <w:t xml:space="preserve">Financing Availability: </w:t>
      </w:r>
      <w:r w:rsidR="000D7ECF">
        <w:rPr>
          <w:color w:val="404040" w:themeColor="text1" w:themeTint="BF"/>
        </w:rPr>
        <w:t xml:space="preserve">Debt capital markets have contributed to a </w:t>
      </w:r>
      <w:r w:rsidR="00707258">
        <w:rPr>
          <w:color w:val="404040" w:themeColor="text1" w:themeTint="BF"/>
        </w:rPr>
        <w:t>decline in competitive supply</w:t>
      </w:r>
      <w:r w:rsidR="002D167B">
        <w:rPr>
          <w:color w:val="404040" w:themeColor="text1" w:themeTint="BF"/>
        </w:rPr>
        <w:t xml:space="preserve">. Traditional construction lending sources, particularly banks, have </w:t>
      </w:r>
      <w:r w:rsidR="00777830">
        <w:rPr>
          <w:color w:val="404040" w:themeColor="text1" w:themeTint="BF"/>
        </w:rPr>
        <w:t xml:space="preserve">limited financing to a smaller list of trusted relationships and reduced </w:t>
      </w:r>
      <w:r w:rsidR="00DD77DD">
        <w:rPr>
          <w:color w:val="404040" w:themeColor="text1" w:themeTint="BF"/>
        </w:rPr>
        <w:t xml:space="preserve">proceeds to lower LTC levels. This limits supply from more marginal </w:t>
      </w:r>
      <w:r w:rsidR="00A65112">
        <w:rPr>
          <w:color w:val="404040" w:themeColor="text1" w:themeTint="BF"/>
        </w:rPr>
        <w:t xml:space="preserve">private </w:t>
      </w:r>
      <w:r w:rsidR="00B94296">
        <w:rPr>
          <w:color w:val="404040" w:themeColor="text1" w:themeTint="BF"/>
        </w:rPr>
        <w:t xml:space="preserve">merchant developers </w:t>
      </w:r>
      <w:r w:rsidR="00A65112">
        <w:rPr>
          <w:color w:val="404040" w:themeColor="text1" w:themeTint="BF"/>
        </w:rPr>
        <w:t xml:space="preserve">and benefits </w:t>
      </w:r>
      <w:r w:rsidR="001238A3">
        <w:rPr>
          <w:color w:val="404040" w:themeColor="text1" w:themeTint="BF"/>
        </w:rPr>
        <w:t>institutional sponsors with strong lender connections</w:t>
      </w:r>
      <w:r w:rsidR="00162746">
        <w:rPr>
          <w:color w:val="404040" w:themeColor="text1" w:themeTint="BF"/>
        </w:rPr>
        <w:t>. It is a</w:t>
      </w:r>
      <w:r w:rsidR="005F4827">
        <w:rPr>
          <w:color w:val="404040" w:themeColor="text1" w:themeTint="BF"/>
        </w:rPr>
        <w:t xml:space="preserve"> structural change to </w:t>
      </w:r>
      <w:r w:rsidR="00EC4B8C">
        <w:rPr>
          <w:color w:val="404040" w:themeColor="text1" w:themeTint="BF"/>
        </w:rPr>
        <w:t xml:space="preserve">the lending environment that potentially extends the window described above. </w:t>
      </w:r>
      <w:r w:rsidR="001238A3">
        <w:rPr>
          <w:color w:val="404040" w:themeColor="text1" w:themeTint="BF"/>
        </w:rPr>
        <w:t xml:space="preserve"> </w:t>
      </w:r>
      <w:r w:rsidR="00A65112">
        <w:rPr>
          <w:color w:val="404040" w:themeColor="text1" w:themeTint="BF"/>
        </w:rPr>
        <w:t xml:space="preserve"> </w:t>
      </w:r>
    </w:p>
    <w:p w14:paraId="1FBCFF62" w14:textId="6AC24087" w:rsidR="00651954" w:rsidRDefault="00651954" w:rsidP="00A91DCC">
      <w:pPr>
        <w:pStyle w:val="NoSpacing"/>
        <w:numPr>
          <w:ilvl w:val="0"/>
          <w:numId w:val="30"/>
        </w:numPr>
        <w:autoSpaceDE w:val="0"/>
        <w:autoSpaceDN w:val="0"/>
        <w:adjustRightInd w:val="0"/>
        <w:jc w:val="both"/>
        <w:rPr>
          <w:color w:val="404040" w:themeColor="text1" w:themeTint="BF"/>
        </w:rPr>
      </w:pPr>
      <w:r w:rsidRPr="00525121">
        <w:rPr>
          <w:color w:val="404040" w:themeColor="text1" w:themeTint="BF"/>
          <w:highlight w:val="red"/>
        </w:rPr>
        <w:t xml:space="preserve">Land </w:t>
      </w:r>
      <w:r w:rsidR="00077C96" w:rsidRPr="00525121">
        <w:rPr>
          <w:color w:val="404040" w:themeColor="text1" w:themeTint="BF"/>
          <w:highlight w:val="red"/>
        </w:rPr>
        <w:t>Repricing:</w:t>
      </w:r>
      <w:r w:rsidR="00077C96">
        <w:rPr>
          <w:color w:val="404040" w:themeColor="text1" w:themeTint="BF"/>
        </w:rPr>
        <w:t xml:space="preserve"> </w:t>
      </w:r>
      <w:r w:rsidR="00CE0B56">
        <w:rPr>
          <w:color w:val="404040" w:themeColor="text1" w:themeTint="BF"/>
        </w:rPr>
        <w:t>Townend’s</w:t>
      </w:r>
      <w:r w:rsidR="00EA0D08">
        <w:rPr>
          <w:color w:val="404040" w:themeColor="text1" w:themeTint="BF"/>
        </w:rPr>
        <w:t xml:space="preserve"> </w:t>
      </w:r>
      <w:r w:rsidR="00CE0B56">
        <w:rPr>
          <w:color w:val="404040" w:themeColor="text1" w:themeTint="BF"/>
        </w:rPr>
        <w:t xml:space="preserve">discussions with developers and other industry participants </w:t>
      </w:r>
      <w:r w:rsidR="00EA0D08">
        <w:rPr>
          <w:color w:val="404040" w:themeColor="text1" w:themeTint="BF"/>
        </w:rPr>
        <w:t>anecdotally confirm</w:t>
      </w:r>
      <w:r w:rsidR="00CE0B56">
        <w:rPr>
          <w:color w:val="404040" w:themeColor="text1" w:themeTint="BF"/>
        </w:rPr>
        <w:t xml:space="preserve"> </w:t>
      </w:r>
      <w:r w:rsidR="00892C56">
        <w:rPr>
          <w:color w:val="404040" w:themeColor="text1" w:themeTint="BF"/>
        </w:rPr>
        <w:t xml:space="preserve">Bridge’s </w:t>
      </w:r>
      <w:r w:rsidR="00C2050F">
        <w:rPr>
          <w:color w:val="404040" w:themeColor="text1" w:themeTint="BF"/>
        </w:rPr>
        <w:t>view</w:t>
      </w:r>
      <w:r w:rsidR="00892C56">
        <w:rPr>
          <w:color w:val="404040" w:themeColor="text1" w:themeTint="BF"/>
        </w:rPr>
        <w:t xml:space="preserve"> that land pricing has declined </w:t>
      </w:r>
      <w:r w:rsidR="00176CA0">
        <w:rPr>
          <w:color w:val="404040" w:themeColor="text1" w:themeTint="BF"/>
        </w:rPr>
        <w:t xml:space="preserve">in the range of </w:t>
      </w:r>
      <w:r w:rsidR="006E4386">
        <w:rPr>
          <w:color w:val="404040" w:themeColor="text1" w:themeTint="BF"/>
        </w:rPr>
        <w:t xml:space="preserve">30-50% </w:t>
      </w:r>
      <w:r w:rsidR="002B1E44">
        <w:rPr>
          <w:color w:val="404040" w:themeColor="text1" w:themeTint="BF"/>
        </w:rPr>
        <w:t xml:space="preserve">relative to </w:t>
      </w:r>
      <w:r w:rsidR="0090057A">
        <w:rPr>
          <w:color w:val="404040" w:themeColor="text1" w:themeTint="BF"/>
        </w:rPr>
        <w:t xml:space="preserve">2022 peaks. </w:t>
      </w:r>
      <w:r w:rsidR="001F678A">
        <w:rPr>
          <w:color w:val="404040" w:themeColor="text1" w:themeTint="BF"/>
        </w:rPr>
        <w:t xml:space="preserve">Although volume of trades </w:t>
      </w:r>
      <w:proofErr w:type="gramStart"/>
      <w:r w:rsidR="001F678A">
        <w:rPr>
          <w:color w:val="404040" w:themeColor="text1" w:themeTint="BF"/>
        </w:rPr>
        <w:t>have</w:t>
      </w:r>
      <w:proofErr w:type="gramEnd"/>
      <w:r w:rsidR="001F678A">
        <w:rPr>
          <w:color w:val="404040" w:themeColor="text1" w:themeTint="BF"/>
        </w:rPr>
        <w:t xml:space="preserve"> declined (</w:t>
      </w:r>
      <w:r w:rsidR="009D4CFD">
        <w:rPr>
          <w:color w:val="404040" w:themeColor="text1" w:themeTint="BF"/>
        </w:rPr>
        <w:t xml:space="preserve">holders of potential development sites are </w:t>
      </w:r>
      <w:r w:rsidR="00212582">
        <w:rPr>
          <w:color w:val="404040" w:themeColor="text1" w:themeTint="BF"/>
        </w:rPr>
        <w:t>typically</w:t>
      </w:r>
      <w:r w:rsidR="009D4CFD">
        <w:rPr>
          <w:color w:val="404040" w:themeColor="text1" w:themeTint="BF"/>
        </w:rPr>
        <w:t xml:space="preserve"> unlevered and therefore able </w:t>
      </w:r>
      <w:r w:rsidR="009D4CFD">
        <w:rPr>
          <w:color w:val="404040" w:themeColor="text1" w:themeTint="BF"/>
        </w:rPr>
        <w:lastRenderedPageBreak/>
        <w:t xml:space="preserve">to wait out </w:t>
      </w:r>
      <w:r w:rsidR="00212582">
        <w:rPr>
          <w:color w:val="404040" w:themeColor="text1" w:themeTint="BF"/>
        </w:rPr>
        <w:t xml:space="preserve">periods of pricing </w:t>
      </w:r>
      <w:r w:rsidR="00365D4B">
        <w:rPr>
          <w:color w:val="404040" w:themeColor="text1" w:themeTint="BF"/>
        </w:rPr>
        <w:t>softness) the</w:t>
      </w:r>
      <w:r w:rsidR="00B73E76">
        <w:rPr>
          <w:color w:val="404040" w:themeColor="text1" w:themeTint="BF"/>
        </w:rPr>
        <w:t xml:space="preserve"> pricing on active trades has</w:t>
      </w:r>
      <w:r w:rsidR="00F84E71">
        <w:rPr>
          <w:color w:val="404040" w:themeColor="text1" w:themeTint="BF"/>
        </w:rPr>
        <w:t xml:space="preserve"> helped maintain appropriate yields </w:t>
      </w:r>
      <w:r w:rsidR="009B0A61">
        <w:rPr>
          <w:color w:val="404040" w:themeColor="text1" w:themeTint="BF"/>
        </w:rPr>
        <w:t>in</w:t>
      </w:r>
      <w:r w:rsidR="00F84E71">
        <w:rPr>
          <w:color w:val="404040" w:themeColor="text1" w:themeTint="BF"/>
        </w:rPr>
        <w:t xml:space="preserve"> the face of increased construction costs</w:t>
      </w:r>
      <w:r w:rsidR="000454C5">
        <w:rPr>
          <w:color w:val="404040" w:themeColor="text1" w:themeTint="BF"/>
        </w:rPr>
        <w:t>, higher cost of debt, and higher required buyer yields at exit.</w:t>
      </w:r>
    </w:p>
    <w:p w14:paraId="57F8C85E" w14:textId="77777777" w:rsidR="00D474CB" w:rsidRPr="00012C34" w:rsidRDefault="00D474CB" w:rsidP="00E87CEB">
      <w:pPr>
        <w:pStyle w:val="NoSpacing"/>
        <w:autoSpaceDE w:val="0"/>
        <w:autoSpaceDN w:val="0"/>
        <w:adjustRightInd w:val="0"/>
        <w:jc w:val="both"/>
        <w:rPr>
          <w:color w:val="404040" w:themeColor="text1" w:themeTint="BF"/>
        </w:rPr>
      </w:pPr>
    </w:p>
    <w:bookmarkStart w:id="9" w:name="_Toc179797279"/>
    <w:p w14:paraId="17B169D7" w14:textId="5545E621" w:rsidR="005C228E" w:rsidRPr="00ED2098" w:rsidRDefault="00F15CEB" w:rsidP="00ED2098">
      <w:pPr>
        <w:pStyle w:val="Heading2"/>
        <w:jc w:val="both"/>
        <w:rPr>
          <w:rFonts w:cstheme="minorHAnsi"/>
          <w:color w:val="8CA4A4" w:themeColor="accent5"/>
          <w:sz w:val="22"/>
          <w:szCs w:val="22"/>
        </w:rPr>
      </w:pPr>
      <w:r w:rsidRPr="007B2D8B">
        <w:rPr>
          <w:rFonts w:cstheme="minorHAnsi"/>
          <w:noProof/>
          <w:sz w:val="22"/>
          <w:szCs w:val="22"/>
        </w:rPr>
        <mc:AlternateContent>
          <mc:Choice Requires="wps">
            <w:drawing>
              <wp:anchor distT="0" distB="0" distL="114300" distR="114300" simplePos="0" relativeHeight="251652096" behindDoc="0" locked="0" layoutInCell="1" allowOverlap="1" wp14:anchorId="03BBD8AB" wp14:editId="5873C41A">
                <wp:simplePos x="0" y="0"/>
                <wp:positionH relativeFrom="margin">
                  <wp:posOffset>-12700</wp:posOffset>
                </wp:positionH>
                <wp:positionV relativeFrom="paragraph">
                  <wp:posOffset>163407</wp:posOffset>
                </wp:positionV>
                <wp:extent cx="6492240" cy="0"/>
                <wp:effectExtent l="0" t="0" r="0" b="0"/>
                <wp:wrapNone/>
                <wp:docPr id="60"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2240" cy="0"/>
                        </a:xfrm>
                        <a:prstGeom prst="straightConnector1">
                          <a:avLst/>
                        </a:prstGeom>
                        <a:noFill/>
                        <a:ln w="9525">
                          <a:solidFill>
                            <a:schemeClr val="tx1">
                              <a:lumMod val="75000"/>
                              <a:lumOff val="2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F9554F" id="AutoShape 5" o:spid="_x0000_s1026" type="#_x0000_t32" style="position:absolute;margin-left:-1pt;margin-top:12.85pt;width:511.2pt;height:0;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0M10AEAAJADAAAOAAAAZHJzL2Uyb0RvYy54bWysU01v2zAMvQ/YfxB0X+wYTbcacXpI1126&#10;LUC7H8DIsi1MFgVJiZ1/P0qOva9b0Ysgkebj4+Pz9n7sNTtL5xWaiq9XOWfSCKyVaSv+4+XxwyfO&#10;fABTg0YjK36Rnt/v3r/bDraUBXaoa+kYgRhfDrbiXQi2zDIvOtmDX6GVhpINuh4CPV2b1Q4GQu91&#10;VuT5bTagq61DIb2n6MOU5LuE3zRShO9N42VguuLELaTTpfMYz2y3hbJ1YDslrjTgFSx6UIaaLlAP&#10;EICdnPoPqlfCoccmrAT2GTaNEjLNQNOs83+mee7AyjQLiePtIpN/O1jx7bw3Bxepi9E82ycUPz0z&#10;uO/AtDIReLlYWtw6SpUN1pdLSXx4e3DsOHzFmr6BU8Ckwti4PkLSfGxMYl8WseUYmKDg7c1dUdzQ&#10;TsScy6CcC63z4YvEnsVLxX1woNou7NEYWim6dWoD5ycfIi0o54LY1eCj0jptVhs2VPxuU2xSgUet&#10;6piMnyWPyb127AzkjjBOoPrU0zRT7OMmz68eoTA5aQoXc5gaLyiJxl8NHJ5MnWh0EurP13sApac7&#10;VWtzFTXqGE3ryyPWl4Obxaa1J+CrRaOv/nyn6t8/0u4XAAAA//8DAFBLAwQUAAYACAAAACEAvPB3&#10;SN4AAAAJAQAADwAAAGRycy9kb3ducmV2LnhtbEyPwU7DMBBE70j9B2uRuKDWbkRpG+JUCAnRE1Jb&#10;RK9OvCQR9jqy3TT8Pa56gOPsrGbeFJvRGjagD50jCfOZAIZUO91RI+Hj8DpdAQtRkVbGEUr4wQCb&#10;cnJTqFy7M+1w2MeGpRAKuZLQxtjnnIe6RavCzPVIyfty3qqYpG+49uqcwq3hmRCP3KqOUkOrenxp&#10;sf7en6yE+5UfzbZaHj4rH4UdFsf3tzVJeXc7Pj8BizjGv2e44Cd0KBNT5U6kAzMSplmaEiVkiyWw&#10;iy8y8QCsul54WfD/C8pfAAAA//8DAFBLAQItABQABgAIAAAAIQC2gziS/gAAAOEBAAATAAAAAAAA&#10;AAAAAAAAAAAAAABbQ29udGVudF9UeXBlc10ueG1sUEsBAi0AFAAGAAgAAAAhADj9If/WAAAAlAEA&#10;AAsAAAAAAAAAAAAAAAAALwEAAF9yZWxzLy5yZWxzUEsBAi0AFAAGAAgAAAAhAGP3QzXQAQAAkAMA&#10;AA4AAAAAAAAAAAAAAAAALgIAAGRycy9lMm9Eb2MueG1sUEsBAi0AFAAGAAgAAAAhALzwd0jeAAAA&#10;CQEAAA8AAAAAAAAAAAAAAAAAKgQAAGRycy9kb3ducmV2LnhtbFBLBQYAAAAABAAEAPMAAAA1BQAA&#10;AAA=&#10;" strokecolor="#404040 [2429]">
                <w10:wrap anchorx="margin"/>
              </v:shape>
            </w:pict>
          </mc:Fallback>
        </mc:AlternateContent>
      </w:r>
      <w:r w:rsidRPr="007B2D8B">
        <w:rPr>
          <w:rFonts w:cstheme="minorHAnsi"/>
          <w:color w:val="8CA4A4" w:themeColor="accent5"/>
          <w:sz w:val="22"/>
          <w:szCs w:val="22"/>
        </w:rPr>
        <w:t>Potential Issues and Concerns</w:t>
      </w:r>
      <w:bookmarkEnd w:id="6"/>
      <w:bookmarkEnd w:id="9"/>
    </w:p>
    <w:p w14:paraId="0C3621D1" w14:textId="52C75F8F" w:rsidR="005C228E" w:rsidRPr="00FB682D" w:rsidRDefault="001C3FE7" w:rsidP="00A91DCC">
      <w:pPr>
        <w:pStyle w:val="ListParagraph"/>
        <w:numPr>
          <w:ilvl w:val="0"/>
          <w:numId w:val="11"/>
        </w:numPr>
        <w:jc w:val="both"/>
        <w:rPr>
          <w:rFonts w:cstheme="minorHAnsi"/>
          <w:color w:val="404040" w:themeColor="text1" w:themeTint="BF"/>
          <w:szCs w:val="22"/>
          <w:highlight w:val="green"/>
        </w:rPr>
      </w:pPr>
      <w:r w:rsidRPr="00FB682D">
        <w:rPr>
          <w:rFonts w:cstheme="minorHAnsi"/>
          <w:color w:val="404040" w:themeColor="text1" w:themeTint="BF"/>
          <w:szCs w:val="22"/>
          <w:highlight w:val="green"/>
        </w:rPr>
        <w:t>Lack of</w:t>
      </w:r>
      <w:r w:rsidR="0055049B" w:rsidRPr="00FB682D">
        <w:rPr>
          <w:rFonts w:cstheme="minorHAnsi"/>
          <w:color w:val="404040" w:themeColor="text1" w:themeTint="BF"/>
          <w:szCs w:val="22"/>
          <w:highlight w:val="green"/>
        </w:rPr>
        <w:t xml:space="preserve"> Realized Track Record</w:t>
      </w:r>
    </w:p>
    <w:p w14:paraId="05BCD782" w14:textId="77777777" w:rsidR="005C228E" w:rsidRDefault="005C228E" w:rsidP="005C228E">
      <w:pPr>
        <w:jc w:val="both"/>
        <w:rPr>
          <w:rFonts w:cstheme="minorHAnsi"/>
          <w:color w:val="404040" w:themeColor="text1" w:themeTint="BF"/>
          <w:szCs w:val="22"/>
        </w:rPr>
      </w:pPr>
    </w:p>
    <w:p w14:paraId="1D61FA63" w14:textId="34F28B89" w:rsidR="0012504F" w:rsidRDefault="002208A4" w:rsidP="005C228E">
      <w:pPr>
        <w:jc w:val="both"/>
        <w:rPr>
          <w:rFonts w:cstheme="minorHAnsi"/>
          <w:color w:val="404040" w:themeColor="text1" w:themeTint="BF"/>
          <w:szCs w:val="22"/>
        </w:rPr>
      </w:pPr>
      <w:r>
        <w:rPr>
          <w:rFonts w:cstheme="minorHAnsi"/>
          <w:color w:val="404040" w:themeColor="text1" w:themeTint="BF"/>
          <w:szCs w:val="22"/>
        </w:rPr>
        <w:t>Although the senior Princ</w:t>
      </w:r>
      <w:r w:rsidR="00AC7962">
        <w:rPr>
          <w:rFonts w:cstheme="minorHAnsi"/>
          <w:color w:val="404040" w:themeColor="text1" w:themeTint="BF"/>
          <w:szCs w:val="22"/>
        </w:rPr>
        <w:t xml:space="preserve">ipals have a high level of experience, the </w:t>
      </w:r>
      <w:r w:rsidR="003D2C69">
        <w:rPr>
          <w:rFonts w:cstheme="minorHAnsi"/>
          <w:color w:val="404040" w:themeColor="text1" w:themeTint="BF"/>
          <w:szCs w:val="22"/>
        </w:rPr>
        <w:t xml:space="preserve">platform as currently constituted has yet to produce meaningful realizations. </w:t>
      </w:r>
      <w:r w:rsidR="00B17633">
        <w:rPr>
          <w:rFonts w:cstheme="minorHAnsi"/>
          <w:color w:val="404040" w:themeColor="text1" w:themeTint="BF"/>
          <w:szCs w:val="22"/>
        </w:rPr>
        <w:t xml:space="preserve">Bridge Logistics Venture I </w:t>
      </w:r>
      <w:r w:rsidR="00891893">
        <w:rPr>
          <w:rFonts w:cstheme="minorHAnsi"/>
          <w:color w:val="404040" w:themeColor="text1" w:themeTint="BF"/>
          <w:szCs w:val="22"/>
        </w:rPr>
        <w:t xml:space="preserve">is the platform’s first fund </w:t>
      </w:r>
      <w:r w:rsidR="00D323E6">
        <w:rPr>
          <w:rFonts w:cstheme="minorHAnsi"/>
          <w:color w:val="404040" w:themeColor="text1" w:themeTint="BF"/>
          <w:szCs w:val="22"/>
        </w:rPr>
        <w:t>product and has a portfolio of 32 assets</w:t>
      </w:r>
      <w:r w:rsidR="005B668C">
        <w:rPr>
          <w:rFonts w:cstheme="minorHAnsi"/>
          <w:color w:val="404040" w:themeColor="text1" w:themeTint="BF"/>
          <w:szCs w:val="22"/>
        </w:rPr>
        <w:t xml:space="preserve"> acquired from late 2021 through 2023 and has</w:t>
      </w:r>
      <w:r w:rsidR="001B6805">
        <w:rPr>
          <w:rFonts w:cstheme="minorHAnsi"/>
          <w:color w:val="404040" w:themeColor="text1" w:themeTint="BF"/>
          <w:szCs w:val="22"/>
        </w:rPr>
        <w:t xml:space="preserve"> no</w:t>
      </w:r>
      <w:r w:rsidR="00440B8F">
        <w:rPr>
          <w:rFonts w:cstheme="minorHAnsi"/>
          <w:color w:val="404040" w:themeColor="text1" w:themeTint="BF"/>
          <w:szCs w:val="22"/>
        </w:rPr>
        <w:t xml:space="preserve">t produced any realizations. </w:t>
      </w:r>
      <w:proofErr w:type="gramStart"/>
      <w:r w:rsidR="00494994">
        <w:rPr>
          <w:rFonts w:cstheme="minorHAnsi"/>
          <w:color w:val="404040" w:themeColor="text1" w:themeTint="BF"/>
          <w:szCs w:val="22"/>
        </w:rPr>
        <w:t xml:space="preserve">Generally </w:t>
      </w:r>
      <w:r w:rsidR="00C01A0B">
        <w:rPr>
          <w:rFonts w:cstheme="minorHAnsi"/>
          <w:color w:val="404040" w:themeColor="text1" w:themeTint="BF"/>
          <w:szCs w:val="22"/>
        </w:rPr>
        <w:t>speaking,</w:t>
      </w:r>
      <w:r w:rsidR="00494994">
        <w:rPr>
          <w:rFonts w:cstheme="minorHAnsi"/>
          <w:color w:val="404040" w:themeColor="text1" w:themeTint="BF"/>
          <w:szCs w:val="22"/>
        </w:rPr>
        <w:t xml:space="preserve"> the</w:t>
      </w:r>
      <w:proofErr w:type="gramEnd"/>
      <w:r w:rsidR="00494994">
        <w:rPr>
          <w:rFonts w:cstheme="minorHAnsi"/>
          <w:color w:val="404040" w:themeColor="text1" w:themeTint="BF"/>
          <w:szCs w:val="22"/>
        </w:rPr>
        <w:t xml:space="preserve"> industrial sector </w:t>
      </w:r>
      <w:r w:rsidR="00461063">
        <w:rPr>
          <w:rFonts w:cstheme="minorHAnsi"/>
          <w:color w:val="404040" w:themeColor="text1" w:themeTint="BF"/>
          <w:szCs w:val="22"/>
        </w:rPr>
        <w:t>has many options to invest through sponsors with more substantial performance histor</w:t>
      </w:r>
      <w:r w:rsidR="00E27F95">
        <w:rPr>
          <w:rFonts w:cstheme="minorHAnsi"/>
          <w:color w:val="404040" w:themeColor="text1" w:themeTint="BF"/>
          <w:szCs w:val="22"/>
        </w:rPr>
        <w:t>y.</w:t>
      </w:r>
    </w:p>
    <w:p w14:paraId="3EF82FFB" w14:textId="77777777" w:rsidR="00321A26" w:rsidRDefault="00321A26" w:rsidP="005C228E">
      <w:pPr>
        <w:jc w:val="both"/>
        <w:rPr>
          <w:rFonts w:cstheme="minorHAnsi"/>
          <w:b/>
          <w:bCs/>
          <w:color w:val="404040" w:themeColor="text1" w:themeTint="BF"/>
          <w:szCs w:val="22"/>
        </w:rPr>
      </w:pPr>
    </w:p>
    <w:p w14:paraId="1BF8E5DB" w14:textId="611A09D6" w:rsidR="009C5F09" w:rsidRDefault="005C228E" w:rsidP="005C228E">
      <w:pPr>
        <w:jc w:val="both"/>
        <w:rPr>
          <w:rFonts w:cstheme="minorHAnsi"/>
          <w:color w:val="404040" w:themeColor="text1" w:themeTint="BF"/>
          <w:szCs w:val="22"/>
        </w:rPr>
      </w:pPr>
      <w:r w:rsidRPr="002B158D">
        <w:rPr>
          <w:rFonts w:cstheme="minorHAnsi"/>
          <w:b/>
          <w:bCs/>
          <w:color w:val="404040" w:themeColor="text1" w:themeTint="BF"/>
          <w:szCs w:val="22"/>
        </w:rPr>
        <w:t>Discussion</w:t>
      </w:r>
      <w:r w:rsidR="00566950">
        <w:rPr>
          <w:rFonts w:cstheme="minorHAnsi"/>
          <w:b/>
          <w:bCs/>
          <w:color w:val="404040" w:themeColor="text1" w:themeTint="BF"/>
          <w:szCs w:val="22"/>
        </w:rPr>
        <w:t xml:space="preserve">: </w:t>
      </w:r>
      <w:r w:rsidR="00566950">
        <w:rPr>
          <w:rFonts w:cstheme="minorHAnsi"/>
          <w:color w:val="404040" w:themeColor="text1" w:themeTint="BF"/>
          <w:szCs w:val="22"/>
        </w:rPr>
        <w:t>At this stage</w:t>
      </w:r>
      <w:r w:rsidR="00594127">
        <w:rPr>
          <w:rFonts w:cstheme="minorHAnsi"/>
          <w:color w:val="404040" w:themeColor="text1" w:themeTint="BF"/>
          <w:szCs w:val="22"/>
        </w:rPr>
        <w:t xml:space="preserve"> in the platform’s life, the level of realizations is not </w:t>
      </w:r>
      <w:r w:rsidR="00103C64">
        <w:rPr>
          <w:rFonts w:cstheme="minorHAnsi"/>
          <w:color w:val="404040" w:themeColor="text1" w:themeTint="BF"/>
          <w:szCs w:val="22"/>
        </w:rPr>
        <w:t>unusual.</w:t>
      </w:r>
      <w:r w:rsidR="00594127">
        <w:rPr>
          <w:rFonts w:cstheme="minorHAnsi"/>
          <w:color w:val="404040" w:themeColor="text1" w:themeTint="BF"/>
          <w:szCs w:val="22"/>
        </w:rPr>
        <w:t xml:space="preserve"> </w:t>
      </w:r>
      <w:r w:rsidR="008C4D49">
        <w:rPr>
          <w:rFonts w:cstheme="minorHAnsi"/>
          <w:color w:val="404040" w:themeColor="text1" w:themeTint="BF"/>
          <w:szCs w:val="22"/>
        </w:rPr>
        <w:t xml:space="preserve">The </w:t>
      </w:r>
      <w:r w:rsidR="009E5A38">
        <w:rPr>
          <w:rFonts w:cstheme="minorHAnsi"/>
          <w:color w:val="404040" w:themeColor="text1" w:themeTint="BF"/>
          <w:szCs w:val="22"/>
        </w:rPr>
        <w:t>BLV</w:t>
      </w:r>
      <w:r w:rsidR="00E563EB">
        <w:rPr>
          <w:rFonts w:cstheme="minorHAnsi"/>
          <w:color w:val="404040" w:themeColor="text1" w:themeTint="BF"/>
          <w:szCs w:val="22"/>
        </w:rPr>
        <w:t xml:space="preserve"> I</w:t>
      </w:r>
      <w:r w:rsidR="008C4D49">
        <w:rPr>
          <w:rFonts w:cstheme="minorHAnsi"/>
          <w:color w:val="404040" w:themeColor="text1" w:themeTint="BF"/>
          <w:szCs w:val="22"/>
        </w:rPr>
        <w:t xml:space="preserve"> portfolio </w:t>
      </w:r>
      <w:r w:rsidR="00611E98">
        <w:rPr>
          <w:rFonts w:cstheme="minorHAnsi"/>
          <w:color w:val="404040" w:themeColor="text1" w:themeTint="BF"/>
          <w:szCs w:val="22"/>
        </w:rPr>
        <w:t xml:space="preserve">is still </w:t>
      </w:r>
      <w:r w:rsidR="00AF4D22">
        <w:rPr>
          <w:rFonts w:cstheme="minorHAnsi"/>
          <w:color w:val="404040" w:themeColor="text1" w:themeTint="BF"/>
          <w:szCs w:val="22"/>
        </w:rPr>
        <w:t xml:space="preserve">in </w:t>
      </w:r>
      <w:r w:rsidR="00611E98">
        <w:rPr>
          <w:rFonts w:cstheme="minorHAnsi"/>
          <w:color w:val="404040" w:themeColor="text1" w:themeTint="BF"/>
          <w:szCs w:val="22"/>
        </w:rPr>
        <w:t xml:space="preserve">the value creation phase and </w:t>
      </w:r>
      <w:r w:rsidR="003317C5">
        <w:rPr>
          <w:rFonts w:cstheme="minorHAnsi"/>
          <w:color w:val="404040" w:themeColor="text1" w:themeTint="BF"/>
          <w:szCs w:val="22"/>
        </w:rPr>
        <w:t>the asset size generally benefits from exit as a portfolio or through sub-portfolios</w:t>
      </w:r>
      <w:r w:rsidR="00ED7A0B">
        <w:rPr>
          <w:rFonts w:cstheme="minorHAnsi"/>
          <w:color w:val="404040" w:themeColor="text1" w:themeTint="BF"/>
          <w:szCs w:val="22"/>
        </w:rPr>
        <w:t xml:space="preserve">, limiting the </w:t>
      </w:r>
      <w:r w:rsidR="00AF4D22">
        <w:rPr>
          <w:rFonts w:cstheme="minorHAnsi"/>
          <w:color w:val="404040" w:themeColor="text1" w:themeTint="BF"/>
          <w:szCs w:val="22"/>
        </w:rPr>
        <w:t>relevance</w:t>
      </w:r>
      <w:r w:rsidR="00ED7A0B">
        <w:rPr>
          <w:rFonts w:cstheme="minorHAnsi"/>
          <w:color w:val="404040" w:themeColor="text1" w:themeTint="BF"/>
          <w:szCs w:val="22"/>
        </w:rPr>
        <w:t xml:space="preserve"> of early one-off sales. Given the vintage, the Manager did not benefit from the </w:t>
      </w:r>
      <w:r w:rsidR="00E9780C">
        <w:rPr>
          <w:rFonts w:cstheme="minorHAnsi"/>
          <w:color w:val="404040" w:themeColor="text1" w:themeTint="BF"/>
          <w:szCs w:val="22"/>
        </w:rPr>
        <w:t xml:space="preserve">period of </w:t>
      </w:r>
      <w:r w:rsidR="00F85AC5">
        <w:rPr>
          <w:rFonts w:cstheme="minorHAnsi"/>
          <w:color w:val="404040" w:themeColor="text1" w:themeTint="BF"/>
          <w:szCs w:val="22"/>
        </w:rPr>
        <w:t xml:space="preserve">abnormally high liquidity in the space during </w:t>
      </w:r>
      <w:r w:rsidR="00894BC8">
        <w:rPr>
          <w:rFonts w:cstheme="minorHAnsi"/>
          <w:color w:val="404040" w:themeColor="text1" w:themeTint="BF"/>
          <w:szCs w:val="22"/>
        </w:rPr>
        <w:t xml:space="preserve">late 2020 and 2021 that generated quick realizations for </w:t>
      </w:r>
      <w:r w:rsidR="005513B6">
        <w:rPr>
          <w:rFonts w:cstheme="minorHAnsi"/>
          <w:color w:val="404040" w:themeColor="text1" w:themeTint="BF"/>
          <w:szCs w:val="22"/>
        </w:rPr>
        <w:t>early-stage</w:t>
      </w:r>
      <w:r w:rsidR="00894BC8">
        <w:rPr>
          <w:rFonts w:cstheme="minorHAnsi"/>
          <w:color w:val="404040" w:themeColor="text1" w:themeTint="BF"/>
          <w:szCs w:val="22"/>
        </w:rPr>
        <w:t xml:space="preserve"> sponsors only slightly older than BLP. </w:t>
      </w:r>
      <w:r w:rsidR="00D403EF">
        <w:rPr>
          <w:rFonts w:cstheme="minorHAnsi"/>
          <w:color w:val="404040" w:themeColor="text1" w:themeTint="BF"/>
          <w:szCs w:val="22"/>
        </w:rPr>
        <w:t>The-mark-t</w:t>
      </w:r>
      <w:r w:rsidR="005E7AB7">
        <w:rPr>
          <w:rFonts w:cstheme="minorHAnsi"/>
          <w:color w:val="404040" w:themeColor="text1" w:themeTint="BF"/>
          <w:szCs w:val="22"/>
        </w:rPr>
        <w:t xml:space="preserve">o-market figures are a product of increased exit cap rate assumptions consistent </w:t>
      </w:r>
      <w:r w:rsidR="00762358">
        <w:rPr>
          <w:rFonts w:cstheme="minorHAnsi"/>
          <w:color w:val="404040" w:themeColor="text1" w:themeTint="BF"/>
          <w:szCs w:val="22"/>
        </w:rPr>
        <w:t xml:space="preserve">across the </w:t>
      </w:r>
      <w:r w:rsidR="00762358" w:rsidRPr="000D15EB">
        <w:rPr>
          <w:rFonts w:cstheme="minorHAnsi"/>
          <w:color w:val="404040" w:themeColor="text1" w:themeTint="BF"/>
          <w:szCs w:val="22"/>
        </w:rPr>
        <w:t>market in the wake of the rate hike in 2022</w:t>
      </w:r>
      <w:r w:rsidR="009D2456" w:rsidRPr="000D15EB">
        <w:rPr>
          <w:rFonts w:cstheme="minorHAnsi"/>
          <w:color w:val="404040" w:themeColor="text1" w:themeTint="BF"/>
          <w:szCs w:val="22"/>
        </w:rPr>
        <w:t xml:space="preserve">; </w:t>
      </w:r>
      <w:r w:rsidR="002421B2">
        <w:rPr>
          <w:rFonts w:cstheme="minorHAnsi"/>
          <w:color w:val="404040" w:themeColor="text1" w:themeTint="BF"/>
          <w:szCs w:val="22"/>
        </w:rPr>
        <w:t xml:space="preserve">BLV I </w:t>
      </w:r>
      <w:r w:rsidR="00336406">
        <w:rPr>
          <w:rFonts w:cstheme="minorHAnsi"/>
          <w:color w:val="404040" w:themeColor="text1" w:themeTint="BF"/>
          <w:szCs w:val="22"/>
        </w:rPr>
        <w:t xml:space="preserve">exit </w:t>
      </w:r>
      <w:r w:rsidR="009D2456" w:rsidRPr="000D15EB">
        <w:rPr>
          <w:rFonts w:cstheme="minorHAnsi"/>
          <w:color w:val="404040" w:themeColor="text1" w:themeTint="BF"/>
          <w:szCs w:val="22"/>
        </w:rPr>
        <w:t>cap rate</w:t>
      </w:r>
      <w:r w:rsidR="00F703E8" w:rsidRPr="000D15EB">
        <w:rPr>
          <w:rFonts w:cstheme="minorHAnsi"/>
          <w:color w:val="404040" w:themeColor="text1" w:themeTint="BF"/>
          <w:szCs w:val="22"/>
        </w:rPr>
        <w:t>s</w:t>
      </w:r>
      <w:r w:rsidR="009D2456" w:rsidRPr="000D15EB">
        <w:rPr>
          <w:rFonts w:cstheme="minorHAnsi"/>
          <w:color w:val="404040" w:themeColor="text1" w:themeTint="BF"/>
          <w:szCs w:val="22"/>
        </w:rPr>
        <w:t xml:space="preserve"> have been adjusted from an original </w:t>
      </w:r>
      <w:r w:rsidR="009D2456" w:rsidRPr="00764FB8">
        <w:rPr>
          <w:rFonts w:cstheme="minorHAnsi"/>
          <w:color w:val="404040" w:themeColor="text1" w:themeTint="BF"/>
          <w:szCs w:val="22"/>
        </w:rPr>
        <w:t xml:space="preserve">underwritten aggregate of </w:t>
      </w:r>
      <w:r w:rsidR="00427CF6" w:rsidRPr="00764FB8">
        <w:rPr>
          <w:rFonts w:cstheme="minorHAnsi"/>
          <w:color w:val="404040" w:themeColor="text1" w:themeTint="BF"/>
          <w:szCs w:val="22"/>
        </w:rPr>
        <w:t>4.5</w:t>
      </w:r>
      <w:r w:rsidR="009D2456" w:rsidRPr="00764FB8">
        <w:rPr>
          <w:rFonts w:cstheme="minorHAnsi"/>
          <w:color w:val="404040" w:themeColor="text1" w:themeTint="BF"/>
          <w:szCs w:val="22"/>
        </w:rPr>
        <w:t xml:space="preserve">% to a more conservative </w:t>
      </w:r>
      <w:r w:rsidR="00E338DF" w:rsidRPr="00764FB8">
        <w:rPr>
          <w:rFonts w:cstheme="minorHAnsi"/>
          <w:color w:val="404040" w:themeColor="text1" w:themeTint="BF"/>
          <w:szCs w:val="22"/>
        </w:rPr>
        <w:t>5.</w:t>
      </w:r>
      <w:r w:rsidR="00427CF6" w:rsidRPr="00764FB8">
        <w:rPr>
          <w:rFonts w:cstheme="minorHAnsi"/>
          <w:color w:val="404040" w:themeColor="text1" w:themeTint="BF"/>
          <w:szCs w:val="22"/>
        </w:rPr>
        <w:t>4</w:t>
      </w:r>
      <w:r w:rsidR="00E338DF" w:rsidRPr="00764FB8">
        <w:rPr>
          <w:rFonts w:cstheme="minorHAnsi"/>
          <w:color w:val="404040" w:themeColor="text1" w:themeTint="BF"/>
          <w:szCs w:val="22"/>
        </w:rPr>
        <w:t>%.</w:t>
      </w:r>
      <w:r w:rsidR="00762358" w:rsidRPr="00764FB8">
        <w:rPr>
          <w:rFonts w:cstheme="minorHAnsi"/>
          <w:color w:val="404040" w:themeColor="text1" w:themeTint="BF"/>
          <w:szCs w:val="22"/>
        </w:rPr>
        <w:t xml:space="preserve"> As mentioned previously, execution at the property level has been ahead of underwriting and the fund projects a life-of-fund IRR </w:t>
      </w:r>
      <w:r w:rsidR="00764FB8" w:rsidRPr="00764FB8">
        <w:rPr>
          <w:rFonts w:cstheme="minorHAnsi"/>
          <w:color w:val="404040" w:themeColor="text1" w:themeTint="BF"/>
          <w:szCs w:val="22"/>
        </w:rPr>
        <w:t>moderately below</w:t>
      </w:r>
      <w:r w:rsidR="00762358" w:rsidRPr="00764FB8">
        <w:rPr>
          <w:rFonts w:cstheme="minorHAnsi"/>
          <w:color w:val="404040" w:themeColor="text1" w:themeTint="BF"/>
          <w:szCs w:val="22"/>
        </w:rPr>
        <w:t xml:space="preserve"> original target at </w:t>
      </w:r>
      <w:r w:rsidR="000C5456" w:rsidRPr="00764FB8">
        <w:rPr>
          <w:rFonts w:cstheme="minorHAnsi"/>
          <w:color w:val="404040" w:themeColor="text1" w:themeTint="BF"/>
          <w:szCs w:val="22"/>
        </w:rPr>
        <w:t>10.3</w:t>
      </w:r>
      <w:r w:rsidR="00762358" w:rsidRPr="00764FB8">
        <w:rPr>
          <w:rFonts w:cstheme="minorHAnsi"/>
          <w:color w:val="404040" w:themeColor="text1" w:themeTint="BF"/>
          <w:szCs w:val="22"/>
        </w:rPr>
        <w:t>% net.</w:t>
      </w:r>
      <w:r w:rsidR="00F703E8" w:rsidRPr="00764FB8">
        <w:rPr>
          <w:rFonts w:cstheme="minorHAnsi"/>
          <w:color w:val="404040" w:themeColor="text1" w:themeTint="BF"/>
          <w:szCs w:val="22"/>
        </w:rPr>
        <w:t xml:space="preserve"> </w:t>
      </w:r>
      <w:r w:rsidR="009C5F09" w:rsidRPr="00764FB8">
        <w:rPr>
          <w:rFonts w:cstheme="minorHAnsi"/>
          <w:color w:val="404040" w:themeColor="text1" w:themeTint="BF"/>
          <w:szCs w:val="22"/>
        </w:rPr>
        <w:t xml:space="preserve">Bridge’s status as an </w:t>
      </w:r>
      <w:r w:rsidR="008E31D8" w:rsidRPr="00764FB8">
        <w:rPr>
          <w:rFonts w:cstheme="minorHAnsi"/>
          <w:color w:val="404040" w:themeColor="text1" w:themeTint="BF"/>
          <w:szCs w:val="22"/>
        </w:rPr>
        <w:t>early-stage</w:t>
      </w:r>
      <w:r w:rsidR="009C5F09" w:rsidRPr="00764FB8">
        <w:rPr>
          <w:rFonts w:cstheme="minorHAnsi"/>
          <w:color w:val="404040" w:themeColor="text1" w:themeTint="BF"/>
          <w:szCs w:val="22"/>
        </w:rPr>
        <w:t xml:space="preserve"> manager also contributes to their willingness </w:t>
      </w:r>
      <w:r w:rsidR="002C3A62" w:rsidRPr="00764FB8">
        <w:rPr>
          <w:rFonts w:cstheme="minorHAnsi"/>
          <w:color w:val="404040" w:themeColor="text1" w:themeTint="BF"/>
          <w:szCs w:val="22"/>
        </w:rPr>
        <w:t>to structure a custom product with</w:t>
      </w:r>
      <w:r w:rsidR="002C3A62">
        <w:rPr>
          <w:rFonts w:cstheme="minorHAnsi"/>
          <w:color w:val="404040" w:themeColor="text1" w:themeTint="BF"/>
          <w:szCs w:val="22"/>
        </w:rPr>
        <w:t xml:space="preserve"> NYSCRF rather than launch a more broadly marketed commingled fund or club and the lack of realizations should be weighed against the benefits </w:t>
      </w:r>
      <w:r w:rsidR="0099100C">
        <w:rPr>
          <w:rFonts w:cstheme="minorHAnsi"/>
          <w:color w:val="404040" w:themeColor="text1" w:themeTint="BF"/>
          <w:szCs w:val="22"/>
        </w:rPr>
        <w:t xml:space="preserve">provided by this custom vehicle. </w:t>
      </w:r>
    </w:p>
    <w:p w14:paraId="0F594AD6" w14:textId="77777777" w:rsidR="005C228E" w:rsidRDefault="005C228E" w:rsidP="005C228E">
      <w:pPr>
        <w:jc w:val="both"/>
        <w:rPr>
          <w:rFonts w:cstheme="minorHAnsi"/>
          <w:color w:val="404040" w:themeColor="text1" w:themeTint="BF"/>
          <w:szCs w:val="22"/>
        </w:rPr>
      </w:pPr>
    </w:p>
    <w:p w14:paraId="6F98AFD5" w14:textId="256D66C2" w:rsidR="005C228E" w:rsidRPr="00FB682D" w:rsidRDefault="00552B6F" w:rsidP="00A91DCC">
      <w:pPr>
        <w:pStyle w:val="ListParagraph"/>
        <w:numPr>
          <w:ilvl w:val="0"/>
          <w:numId w:val="11"/>
        </w:numPr>
        <w:jc w:val="both"/>
        <w:rPr>
          <w:rFonts w:cstheme="minorHAnsi"/>
          <w:color w:val="404040" w:themeColor="text1" w:themeTint="BF"/>
          <w:szCs w:val="22"/>
          <w:highlight w:val="red"/>
        </w:rPr>
      </w:pPr>
      <w:r w:rsidRPr="00FB682D">
        <w:rPr>
          <w:rFonts w:cstheme="minorHAnsi"/>
          <w:color w:val="404040" w:themeColor="text1" w:themeTint="BF"/>
          <w:szCs w:val="22"/>
          <w:highlight w:val="red"/>
        </w:rPr>
        <w:t xml:space="preserve">Higher Risk </w:t>
      </w:r>
      <w:r w:rsidR="00C40009" w:rsidRPr="00FB682D">
        <w:rPr>
          <w:rFonts w:cstheme="minorHAnsi"/>
          <w:color w:val="404040" w:themeColor="text1" w:themeTint="BF"/>
          <w:szCs w:val="22"/>
          <w:highlight w:val="red"/>
        </w:rPr>
        <w:t>Strategy</w:t>
      </w:r>
    </w:p>
    <w:p w14:paraId="695AE57D" w14:textId="77777777" w:rsidR="00C5128A" w:rsidRDefault="00C5128A" w:rsidP="00C5128A">
      <w:pPr>
        <w:jc w:val="both"/>
        <w:rPr>
          <w:rFonts w:cstheme="minorHAnsi"/>
          <w:color w:val="404040" w:themeColor="text1" w:themeTint="BF"/>
          <w:szCs w:val="22"/>
        </w:rPr>
      </w:pPr>
    </w:p>
    <w:p w14:paraId="66C7C082" w14:textId="542C75D1" w:rsidR="003E1BFF" w:rsidRDefault="00375A6E" w:rsidP="00C5128A">
      <w:pPr>
        <w:jc w:val="both"/>
        <w:rPr>
          <w:rFonts w:cstheme="minorHAnsi"/>
          <w:color w:val="404040" w:themeColor="text1" w:themeTint="BF"/>
          <w:szCs w:val="22"/>
        </w:rPr>
      </w:pPr>
      <w:r>
        <w:rPr>
          <w:rFonts w:cstheme="minorHAnsi"/>
          <w:color w:val="404040" w:themeColor="text1" w:themeTint="BF"/>
          <w:szCs w:val="22"/>
        </w:rPr>
        <w:t>The Fund will only pursue development</w:t>
      </w:r>
      <w:r w:rsidR="00B040D9">
        <w:rPr>
          <w:rFonts w:cstheme="minorHAnsi"/>
          <w:color w:val="404040" w:themeColor="text1" w:themeTint="BF"/>
          <w:szCs w:val="22"/>
        </w:rPr>
        <w:t xml:space="preserve">. When reviewing non-core commingled funds, </w:t>
      </w:r>
      <w:r w:rsidR="00900448">
        <w:rPr>
          <w:rFonts w:cstheme="minorHAnsi"/>
          <w:color w:val="404040" w:themeColor="text1" w:themeTint="BF"/>
          <w:szCs w:val="22"/>
        </w:rPr>
        <w:t>it</w:t>
      </w:r>
      <w:r w:rsidR="00A56A9C">
        <w:rPr>
          <w:rFonts w:cstheme="minorHAnsi"/>
          <w:color w:val="404040" w:themeColor="text1" w:themeTint="BF"/>
          <w:szCs w:val="22"/>
        </w:rPr>
        <w:t>’s</w:t>
      </w:r>
      <w:r w:rsidR="00900448">
        <w:rPr>
          <w:rFonts w:cstheme="minorHAnsi"/>
          <w:color w:val="404040" w:themeColor="text1" w:themeTint="BF"/>
          <w:szCs w:val="22"/>
        </w:rPr>
        <w:t xml:space="preserve"> rare to see vehicles with 100% </w:t>
      </w:r>
      <w:r w:rsidR="00A56A9C">
        <w:rPr>
          <w:rFonts w:cstheme="minorHAnsi"/>
          <w:color w:val="404040" w:themeColor="text1" w:themeTint="BF"/>
          <w:szCs w:val="22"/>
        </w:rPr>
        <w:t>development exp</w:t>
      </w:r>
      <w:r w:rsidR="002F5B5E">
        <w:rPr>
          <w:rFonts w:cstheme="minorHAnsi"/>
          <w:color w:val="404040" w:themeColor="text1" w:themeTint="BF"/>
          <w:szCs w:val="22"/>
        </w:rPr>
        <w:t xml:space="preserve">osure. This is generally considered a higher risk </w:t>
      </w:r>
      <w:r w:rsidR="00A003B5">
        <w:rPr>
          <w:rFonts w:cstheme="minorHAnsi"/>
          <w:color w:val="404040" w:themeColor="text1" w:themeTint="BF"/>
          <w:szCs w:val="22"/>
        </w:rPr>
        <w:t xml:space="preserve">strategy and limited to </w:t>
      </w:r>
      <w:r w:rsidR="0017019B">
        <w:rPr>
          <w:rFonts w:cstheme="minorHAnsi"/>
          <w:color w:val="404040" w:themeColor="text1" w:themeTint="BF"/>
          <w:szCs w:val="22"/>
        </w:rPr>
        <w:t xml:space="preserve">30-40% allocations within </w:t>
      </w:r>
      <w:r w:rsidR="00E252A7">
        <w:rPr>
          <w:rFonts w:cstheme="minorHAnsi"/>
          <w:color w:val="404040" w:themeColor="text1" w:themeTint="BF"/>
          <w:szCs w:val="22"/>
        </w:rPr>
        <w:t>most</w:t>
      </w:r>
      <w:r w:rsidR="0017019B">
        <w:rPr>
          <w:rFonts w:cstheme="minorHAnsi"/>
          <w:color w:val="404040" w:themeColor="text1" w:themeTint="BF"/>
          <w:szCs w:val="22"/>
        </w:rPr>
        <w:t xml:space="preserve"> closed-end </w:t>
      </w:r>
      <w:r w:rsidR="00E8660D">
        <w:rPr>
          <w:rFonts w:cstheme="minorHAnsi"/>
          <w:color w:val="404040" w:themeColor="text1" w:themeTint="BF"/>
          <w:szCs w:val="22"/>
        </w:rPr>
        <w:t xml:space="preserve">non-core </w:t>
      </w:r>
      <w:r w:rsidR="0017019B">
        <w:rPr>
          <w:rFonts w:cstheme="minorHAnsi"/>
          <w:color w:val="404040" w:themeColor="text1" w:themeTint="BF"/>
          <w:szCs w:val="22"/>
        </w:rPr>
        <w:t xml:space="preserve">vehicles. </w:t>
      </w:r>
      <w:r w:rsidR="001D42C2">
        <w:rPr>
          <w:rFonts w:cstheme="minorHAnsi"/>
          <w:color w:val="404040" w:themeColor="text1" w:themeTint="BF"/>
          <w:szCs w:val="22"/>
        </w:rPr>
        <w:t xml:space="preserve">Additionally, </w:t>
      </w:r>
      <w:r w:rsidR="00E03603">
        <w:rPr>
          <w:rFonts w:cstheme="minorHAnsi"/>
          <w:color w:val="404040" w:themeColor="text1" w:themeTint="BF"/>
          <w:szCs w:val="22"/>
        </w:rPr>
        <w:t xml:space="preserve">Bridge </w:t>
      </w:r>
      <w:r w:rsidR="00692C4D">
        <w:rPr>
          <w:rFonts w:cstheme="minorHAnsi"/>
          <w:color w:val="404040" w:themeColor="text1" w:themeTint="BF"/>
          <w:szCs w:val="22"/>
        </w:rPr>
        <w:t>is willing to take on entitlement risk in</w:t>
      </w:r>
      <w:r w:rsidR="00E8660D">
        <w:rPr>
          <w:rFonts w:cstheme="minorHAnsi"/>
          <w:color w:val="404040" w:themeColor="text1" w:themeTint="BF"/>
          <w:szCs w:val="22"/>
        </w:rPr>
        <w:t xml:space="preserve"> </w:t>
      </w:r>
      <w:r w:rsidR="00017233">
        <w:rPr>
          <w:rFonts w:cstheme="minorHAnsi"/>
          <w:color w:val="404040" w:themeColor="text1" w:themeTint="BF"/>
          <w:szCs w:val="22"/>
        </w:rPr>
        <w:t xml:space="preserve">some instances. </w:t>
      </w:r>
      <w:r w:rsidR="000234FB">
        <w:rPr>
          <w:rFonts w:cstheme="minorHAnsi"/>
          <w:color w:val="404040" w:themeColor="text1" w:themeTint="BF"/>
          <w:szCs w:val="22"/>
        </w:rPr>
        <w:t xml:space="preserve">Common practice for development in closed-end vehicles is to </w:t>
      </w:r>
      <w:r w:rsidR="0077007D">
        <w:rPr>
          <w:rFonts w:cstheme="minorHAnsi"/>
          <w:color w:val="404040" w:themeColor="text1" w:themeTint="BF"/>
          <w:szCs w:val="22"/>
        </w:rPr>
        <w:t xml:space="preserve">pursue development only on </w:t>
      </w:r>
      <w:r w:rsidR="00C23A83">
        <w:rPr>
          <w:rFonts w:cstheme="minorHAnsi"/>
          <w:color w:val="404040" w:themeColor="text1" w:themeTint="BF"/>
          <w:szCs w:val="22"/>
        </w:rPr>
        <w:t>pre-</w:t>
      </w:r>
      <w:r w:rsidR="0077007D">
        <w:rPr>
          <w:rFonts w:cstheme="minorHAnsi"/>
          <w:color w:val="404040" w:themeColor="text1" w:themeTint="BF"/>
          <w:szCs w:val="22"/>
        </w:rPr>
        <w:t xml:space="preserve">entitled sites. </w:t>
      </w:r>
      <w:r w:rsidR="007F7786">
        <w:rPr>
          <w:rFonts w:cstheme="minorHAnsi"/>
          <w:color w:val="404040" w:themeColor="text1" w:themeTint="BF"/>
          <w:szCs w:val="22"/>
        </w:rPr>
        <w:t xml:space="preserve">The entitlement process can lead to </w:t>
      </w:r>
      <w:r w:rsidR="001B23ED">
        <w:rPr>
          <w:rFonts w:cstheme="minorHAnsi"/>
          <w:color w:val="404040" w:themeColor="text1" w:themeTint="BF"/>
          <w:szCs w:val="22"/>
        </w:rPr>
        <w:t>project delays related to local approvals</w:t>
      </w:r>
      <w:r w:rsidR="000A07B2">
        <w:rPr>
          <w:rFonts w:cstheme="minorHAnsi"/>
          <w:color w:val="404040" w:themeColor="text1" w:themeTint="BF"/>
          <w:szCs w:val="22"/>
        </w:rPr>
        <w:t xml:space="preserve"> and</w:t>
      </w:r>
      <w:r w:rsidR="001B23ED">
        <w:rPr>
          <w:rFonts w:cstheme="minorHAnsi"/>
          <w:color w:val="404040" w:themeColor="text1" w:themeTint="BF"/>
          <w:szCs w:val="22"/>
        </w:rPr>
        <w:t xml:space="preserve"> unforeseen local infrastructure requirements</w:t>
      </w:r>
      <w:r w:rsidR="009C058C">
        <w:rPr>
          <w:rFonts w:cstheme="minorHAnsi"/>
          <w:color w:val="404040" w:themeColor="text1" w:themeTint="BF"/>
          <w:szCs w:val="22"/>
        </w:rPr>
        <w:t>,</w:t>
      </w:r>
      <w:r w:rsidR="000234FB">
        <w:rPr>
          <w:rFonts w:cstheme="minorHAnsi"/>
          <w:color w:val="404040" w:themeColor="text1" w:themeTint="BF"/>
          <w:szCs w:val="22"/>
        </w:rPr>
        <w:t xml:space="preserve"> </w:t>
      </w:r>
      <w:r w:rsidR="000A07B2">
        <w:rPr>
          <w:rFonts w:cstheme="minorHAnsi"/>
          <w:color w:val="404040" w:themeColor="text1" w:themeTint="BF"/>
          <w:szCs w:val="22"/>
        </w:rPr>
        <w:t>contribute to dead deal costs and/or IRR drag from initial capital outlays</w:t>
      </w:r>
      <w:r w:rsidR="00A015C2">
        <w:rPr>
          <w:rFonts w:cstheme="minorHAnsi"/>
          <w:color w:val="404040" w:themeColor="text1" w:themeTint="BF"/>
          <w:szCs w:val="22"/>
        </w:rPr>
        <w:t xml:space="preserve"> pre-construction</w:t>
      </w:r>
      <w:r w:rsidR="009C058C">
        <w:rPr>
          <w:rFonts w:cstheme="minorHAnsi"/>
          <w:color w:val="404040" w:themeColor="text1" w:themeTint="BF"/>
          <w:szCs w:val="22"/>
        </w:rPr>
        <w:t xml:space="preserve">, or have </w:t>
      </w:r>
      <w:r w:rsidR="00DF4EC0">
        <w:rPr>
          <w:rFonts w:cstheme="minorHAnsi"/>
          <w:color w:val="404040" w:themeColor="text1" w:themeTint="BF"/>
          <w:szCs w:val="22"/>
        </w:rPr>
        <w:t xml:space="preserve">negative effects on land value if expected entitlements are ultimately not achieved. </w:t>
      </w:r>
    </w:p>
    <w:p w14:paraId="420007D1" w14:textId="78BEC90C" w:rsidR="00ED0E25" w:rsidRPr="00F64F8A" w:rsidRDefault="00ED0E25" w:rsidP="00F64F8A">
      <w:pPr>
        <w:jc w:val="both"/>
        <w:rPr>
          <w:rFonts w:cstheme="minorHAnsi"/>
          <w:color w:val="404040" w:themeColor="text1" w:themeTint="BF"/>
          <w:szCs w:val="22"/>
        </w:rPr>
      </w:pPr>
    </w:p>
    <w:p w14:paraId="28E9743C" w14:textId="3D861744" w:rsidR="00E252A7" w:rsidRDefault="005C228E" w:rsidP="005C228E">
      <w:pPr>
        <w:jc w:val="both"/>
        <w:rPr>
          <w:rFonts w:cstheme="minorHAnsi"/>
          <w:color w:val="404040" w:themeColor="text1" w:themeTint="BF"/>
          <w:szCs w:val="22"/>
        </w:rPr>
      </w:pPr>
      <w:r w:rsidRPr="007975A1">
        <w:rPr>
          <w:rFonts w:cstheme="minorHAnsi"/>
          <w:b/>
          <w:bCs/>
          <w:color w:val="404040" w:themeColor="text1" w:themeTint="BF"/>
          <w:szCs w:val="22"/>
        </w:rPr>
        <w:t>Discussion:</w:t>
      </w:r>
      <w:r>
        <w:rPr>
          <w:rFonts w:cstheme="minorHAnsi"/>
          <w:b/>
          <w:bCs/>
          <w:color w:val="404040" w:themeColor="text1" w:themeTint="BF"/>
          <w:szCs w:val="22"/>
        </w:rPr>
        <w:t xml:space="preserve"> </w:t>
      </w:r>
      <w:r w:rsidR="0047553A">
        <w:rPr>
          <w:rFonts w:cstheme="minorHAnsi"/>
          <w:color w:val="404040" w:themeColor="text1" w:themeTint="BF"/>
          <w:szCs w:val="22"/>
        </w:rPr>
        <w:t>Consistent</w:t>
      </w:r>
      <w:r w:rsidR="001A469B">
        <w:rPr>
          <w:rFonts w:cstheme="minorHAnsi"/>
          <w:color w:val="404040" w:themeColor="text1" w:themeTint="BF"/>
          <w:szCs w:val="22"/>
        </w:rPr>
        <w:t xml:space="preserve"> with </w:t>
      </w:r>
      <w:r w:rsidR="0047553A">
        <w:rPr>
          <w:rFonts w:cstheme="minorHAnsi"/>
          <w:color w:val="404040" w:themeColor="text1" w:themeTint="BF"/>
          <w:szCs w:val="22"/>
        </w:rPr>
        <w:t xml:space="preserve">standard institutional practice, </w:t>
      </w:r>
      <w:r w:rsidR="00BF6573">
        <w:rPr>
          <w:rFonts w:cstheme="minorHAnsi"/>
          <w:color w:val="404040" w:themeColor="text1" w:themeTint="BF"/>
          <w:szCs w:val="22"/>
        </w:rPr>
        <w:t xml:space="preserve">development risks associated with cost </w:t>
      </w:r>
      <w:r w:rsidR="00A3755E">
        <w:rPr>
          <w:rFonts w:cstheme="minorHAnsi"/>
          <w:color w:val="404040" w:themeColor="text1" w:themeTint="BF"/>
          <w:szCs w:val="22"/>
        </w:rPr>
        <w:t xml:space="preserve">overruns are </w:t>
      </w:r>
      <w:r w:rsidR="00F6745C">
        <w:rPr>
          <w:rFonts w:cstheme="minorHAnsi"/>
          <w:color w:val="404040" w:themeColor="text1" w:themeTint="BF"/>
          <w:szCs w:val="22"/>
        </w:rPr>
        <w:t>controlled with GMAX contracts</w:t>
      </w:r>
      <w:r w:rsidR="00AD5B82">
        <w:rPr>
          <w:rFonts w:cstheme="minorHAnsi"/>
          <w:color w:val="404040" w:themeColor="text1" w:themeTint="BF"/>
          <w:szCs w:val="22"/>
        </w:rPr>
        <w:t xml:space="preserve"> and </w:t>
      </w:r>
      <w:r w:rsidR="00780600">
        <w:rPr>
          <w:rFonts w:cstheme="minorHAnsi"/>
          <w:color w:val="404040" w:themeColor="text1" w:themeTint="BF"/>
          <w:szCs w:val="22"/>
        </w:rPr>
        <w:t xml:space="preserve">BLP will </w:t>
      </w:r>
      <w:r w:rsidR="00D54BFE">
        <w:rPr>
          <w:rFonts w:cstheme="minorHAnsi"/>
          <w:color w:val="404040" w:themeColor="text1" w:themeTint="BF"/>
          <w:szCs w:val="22"/>
        </w:rPr>
        <w:t xml:space="preserve">further </w:t>
      </w:r>
      <w:r w:rsidR="00780600">
        <w:rPr>
          <w:rFonts w:cstheme="minorHAnsi"/>
          <w:color w:val="404040" w:themeColor="text1" w:themeTint="BF"/>
          <w:szCs w:val="22"/>
        </w:rPr>
        <w:t xml:space="preserve">fund </w:t>
      </w:r>
      <w:r w:rsidR="0007211A">
        <w:rPr>
          <w:rFonts w:cstheme="minorHAnsi"/>
          <w:color w:val="404040" w:themeColor="text1" w:themeTint="BF"/>
          <w:szCs w:val="22"/>
        </w:rPr>
        <w:t xml:space="preserve">certain </w:t>
      </w:r>
      <w:r w:rsidR="0053408C">
        <w:rPr>
          <w:rFonts w:cstheme="minorHAnsi"/>
          <w:color w:val="404040" w:themeColor="text1" w:themeTint="BF"/>
          <w:szCs w:val="22"/>
        </w:rPr>
        <w:t>overruns not covered by contracts via its development fee.</w:t>
      </w:r>
      <w:r w:rsidR="004075BC">
        <w:rPr>
          <w:rFonts w:cstheme="minorHAnsi"/>
          <w:color w:val="404040" w:themeColor="text1" w:themeTint="BF"/>
          <w:szCs w:val="22"/>
        </w:rPr>
        <w:t xml:space="preserve"> </w:t>
      </w:r>
      <w:r w:rsidR="00C55902">
        <w:rPr>
          <w:rFonts w:cstheme="minorHAnsi"/>
          <w:color w:val="404040" w:themeColor="text1" w:themeTint="BF"/>
          <w:szCs w:val="22"/>
        </w:rPr>
        <w:t xml:space="preserve"> </w:t>
      </w:r>
      <w:r w:rsidR="00CA3468" w:rsidRPr="00CA3468">
        <w:rPr>
          <w:rFonts w:cstheme="minorHAnsi"/>
          <w:color w:val="404040" w:themeColor="text1" w:themeTint="BF"/>
          <w:szCs w:val="22"/>
        </w:rPr>
        <w:t>In relation to the final budget within the GMAX Contract, controllable cost overruns not covered by the contractors and/or its bonds, insurance or applicable cost savings and contingencies (“Covered Cost Overruns”</w:t>
      </w:r>
      <w:r w:rsidR="000962D3">
        <w:rPr>
          <w:rStyle w:val="FootnoteReference"/>
          <w:rFonts w:cstheme="minorHAnsi"/>
          <w:color w:val="404040" w:themeColor="text1" w:themeTint="BF"/>
          <w:szCs w:val="22"/>
        </w:rPr>
        <w:footnoteReference w:id="2"/>
      </w:r>
      <w:r w:rsidR="00CA3468" w:rsidRPr="00CA3468">
        <w:rPr>
          <w:rFonts w:cstheme="minorHAnsi"/>
          <w:color w:val="404040" w:themeColor="text1" w:themeTint="BF"/>
          <w:szCs w:val="22"/>
        </w:rPr>
        <w:t xml:space="preserve">) would be funded 100% by BLP up to an amount equal to 50% of BLP’s Development Fee for the applicable project, and thereafter </w:t>
      </w:r>
      <w:r w:rsidR="00A103EA">
        <w:rPr>
          <w:rFonts w:cstheme="minorHAnsi"/>
          <w:color w:val="404040" w:themeColor="text1" w:themeTint="BF"/>
          <w:szCs w:val="22"/>
        </w:rPr>
        <w:t>pro rata by BLP/NYSCRF.</w:t>
      </w:r>
    </w:p>
    <w:p w14:paraId="790C475F" w14:textId="77777777" w:rsidR="009E1A45" w:rsidRDefault="009E1A45" w:rsidP="005C228E">
      <w:pPr>
        <w:jc w:val="both"/>
        <w:rPr>
          <w:rFonts w:cstheme="minorHAnsi"/>
          <w:color w:val="404040" w:themeColor="text1" w:themeTint="BF"/>
          <w:szCs w:val="22"/>
        </w:rPr>
      </w:pPr>
    </w:p>
    <w:p w14:paraId="107A2675" w14:textId="3E28CE89" w:rsidR="009E1A45" w:rsidRDefault="00DA0079" w:rsidP="005C228E">
      <w:pPr>
        <w:jc w:val="both"/>
        <w:rPr>
          <w:rFonts w:cstheme="minorHAnsi"/>
          <w:color w:val="404040" w:themeColor="text1" w:themeTint="BF"/>
          <w:szCs w:val="22"/>
        </w:rPr>
      </w:pPr>
      <w:r>
        <w:rPr>
          <w:rFonts w:cstheme="minorHAnsi"/>
          <w:color w:val="404040" w:themeColor="text1" w:themeTint="BF"/>
          <w:szCs w:val="22"/>
        </w:rPr>
        <w:t xml:space="preserve">From a timing perspective, industrial development is generally at the lower end of the risk spectrum in terms of total time to delivery </w:t>
      </w:r>
      <w:r w:rsidR="00DD5042">
        <w:rPr>
          <w:rFonts w:cstheme="minorHAnsi"/>
          <w:color w:val="404040" w:themeColor="text1" w:themeTint="BF"/>
          <w:szCs w:val="22"/>
        </w:rPr>
        <w:t xml:space="preserve">and construction complexity. The </w:t>
      </w:r>
      <w:r w:rsidR="00E221E0">
        <w:rPr>
          <w:rFonts w:cstheme="minorHAnsi"/>
          <w:color w:val="404040" w:themeColor="text1" w:themeTint="BF"/>
          <w:szCs w:val="22"/>
        </w:rPr>
        <w:t xml:space="preserve">fund-of-one </w:t>
      </w:r>
      <w:r w:rsidR="003F2A30">
        <w:rPr>
          <w:rFonts w:cstheme="minorHAnsi"/>
          <w:color w:val="404040" w:themeColor="text1" w:themeTint="BF"/>
          <w:szCs w:val="22"/>
        </w:rPr>
        <w:t xml:space="preserve">structure alleviates some of the urgency with </w:t>
      </w:r>
      <w:r w:rsidR="003F2A30">
        <w:rPr>
          <w:rFonts w:cstheme="minorHAnsi"/>
          <w:color w:val="404040" w:themeColor="text1" w:themeTint="BF"/>
          <w:szCs w:val="22"/>
        </w:rPr>
        <w:lastRenderedPageBreak/>
        <w:t xml:space="preserve">respect to liquidity and </w:t>
      </w:r>
      <w:r w:rsidR="00A2705C">
        <w:rPr>
          <w:rFonts w:cstheme="minorHAnsi"/>
          <w:color w:val="404040" w:themeColor="text1" w:themeTint="BF"/>
          <w:szCs w:val="22"/>
        </w:rPr>
        <w:t>capital</w:t>
      </w:r>
      <w:r w:rsidR="00F95897">
        <w:rPr>
          <w:rFonts w:cstheme="minorHAnsi"/>
          <w:color w:val="404040" w:themeColor="text1" w:themeTint="BF"/>
          <w:szCs w:val="22"/>
        </w:rPr>
        <w:t xml:space="preserve"> </w:t>
      </w:r>
      <w:r w:rsidR="003F2A30">
        <w:rPr>
          <w:rFonts w:cstheme="minorHAnsi"/>
          <w:color w:val="404040" w:themeColor="text1" w:themeTint="BF"/>
          <w:szCs w:val="22"/>
        </w:rPr>
        <w:t>management restrictions placed on</w:t>
      </w:r>
      <w:r w:rsidR="00710C67">
        <w:rPr>
          <w:rFonts w:cstheme="minorHAnsi"/>
          <w:color w:val="404040" w:themeColor="text1" w:themeTint="BF"/>
          <w:szCs w:val="22"/>
        </w:rPr>
        <w:t xml:space="preserve"> finite-life vehicles with a commingled LP base. </w:t>
      </w:r>
      <w:r w:rsidR="00C1691A">
        <w:rPr>
          <w:rFonts w:cstheme="minorHAnsi"/>
          <w:color w:val="404040" w:themeColor="text1" w:themeTint="BF"/>
          <w:szCs w:val="22"/>
        </w:rPr>
        <w:t>Development exposure can be managed by NYSCRF in the context of its own portfolio.</w:t>
      </w:r>
    </w:p>
    <w:p w14:paraId="095D1DC6" w14:textId="77777777" w:rsidR="00C1691A" w:rsidRDefault="00C1691A" w:rsidP="005C228E">
      <w:pPr>
        <w:jc w:val="both"/>
        <w:rPr>
          <w:rFonts w:cstheme="minorHAnsi"/>
          <w:color w:val="404040" w:themeColor="text1" w:themeTint="BF"/>
          <w:szCs w:val="22"/>
        </w:rPr>
      </w:pPr>
    </w:p>
    <w:p w14:paraId="52A45534" w14:textId="77777777" w:rsidR="00C05BE5" w:rsidRDefault="007617A7" w:rsidP="005C228E">
      <w:pPr>
        <w:jc w:val="both"/>
        <w:rPr>
          <w:rFonts w:cstheme="minorHAnsi"/>
          <w:color w:val="404040" w:themeColor="text1" w:themeTint="BF"/>
          <w:szCs w:val="22"/>
        </w:rPr>
      </w:pPr>
      <w:r>
        <w:rPr>
          <w:rFonts w:cstheme="minorHAnsi"/>
          <w:color w:val="404040" w:themeColor="text1" w:themeTint="BF"/>
          <w:szCs w:val="22"/>
        </w:rPr>
        <w:t xml:space="preserve">Entitlement risk </w:t>
      </w:r>
      <w:r w:rsidR="00510130">
        <w:rPr>
          <w:rFonts w:cstheme="minorHAnsi"/>
          <w:color w:val="404040" w:themeColor="text1" w:themeTint="BF"/>
          <w:szCs w:val="22"/>
        </w:rPr>
        <w:t xml:space="preserve">is often manageable through </w:t>
      </w:r>
      <w:r w:rsidR="007D660C">
        <w:rPr>
          <w:rFonts w:cstheme="minorHAnsi"/>
          <w:color w:val="404040" w:themeColor="text1" w:themeTint="BF"/>
          <w:szCs w:val="22"/>
        </w:rPr>
        <w:t xml:space="preserve">options or contingencies with the seller around successful land entitlement, limiting </w:t>
      </w:r>
      <w:r w:rsidR="00082859">
        <w:rPr>
          <w:rFonts w:cstheme="minorHAnsi"/>
          <w:color w:val="404040" w:themeColor="text1" w:themeTint="BF"/>
          <w:szCs w:val="22"/>
        </w:rPr>
        <w:t xml:space="preserve">capital outlay to pursuit costs </w:t>
      </w:r>
      <w:r w:rsidR="00F30BF5">
        <w:rPr>
          <w:rFonts w:cstheme="minorHAnsi"/>
          <w:color w:val="404040" w:themeColor="text1" w:themeTint="BF"/>
          <w:szCs w:val="22"/>
        </w:rPr>
        <w:t xml:space="preserve">representing relatively small amounts </w:t>
      </w:r>
      <w:r w:rsidR="00E647FA">
        <w:rPr>
          <w:rFonts w:cstheme="minorHAnsi"/>
          <w:color w:val="404040" w:themeColor="text1" w:themeTint="BF"/>
          <w:szCs w:val="22"/>
        </w:rPr>
        <w:t>of the land basis. Bridge will share pursuit costs on a 50/50</w:t>
      </w:r>
      <w:r w:rsidR="004B1A61">
        <w:rPr>
          <w:rFonts w:cstheme="minorHAnsi"/>
          <w:color w:val="404040" w:themeColor="text1" w:themeTint="BF"/>
          <w:szCs w:val="22"/>
        </w:rPr>
        <w:t xml:space="preserve"> ratio </w:t>
      </w:r>
      <w:r w:rsidR="006D77B5">
        <w:rPr>
          <w:rFonts w:cstheme="minorHAnsi"/>
          <w:color w:val="404040" w:themeColor="text1" w:themeTint="BF"/>
          <w:szCs w:val="22"/>
        </w:rPr>
        <w:t xml:space="preserve">from the project’s conceptual approval to be </w:t>
      </w:r>
      <w:r w:rsidR="00377C97">
        <w:rPr>
          <w:rFonts w:cstheme="minorHAnsi"/>
          <w:color w:val="404040" w:themeColor="text1" w:themeTint="BF"/>
          <w:szCs w:val="22"/>
        </w:rPr>
        <w:t>“</w:t>
      </w:r>
      <w:r w:rsidR="006D77B5">
        <w:rPr>
          <w:rFonts w:cstheme="minorHAnsi"/>
          <w:color w:val="404040" w:themeColor="text1" w:themeTint="BF"/>
          <w:szCs w:val="22"/>
        </w:rPr>
        <w:t>trued up</w:t>
      </w:r>
      <w:r w:rsidR="00377C97">
        <w:rPr>
          <w:rFonts w:cstheme="minorHAnsi"/>
          <w:color w:val="404040" w:themeColor="text1" w:themeTint="BF"/>
          <w:szCs w:val="22"/>
        </w:rPr>
        <w:t>”</w:t>
      </w:r>
      <w:r w:rsidR="006D77B5">
        <w:rPr>
          <w:rFonts w:cstheme="minorHAnsi"/>
          <w:color w:val="404040" w:themeColor="text1" w:themeTint="BF"/>
          <w:szCs w:val="22"/>
        </w:rPr>
        <w:t xml:space="preserve"> at land closing, limiting initial outlays by </w:t>
      </w:r>
      <w:r w:rsidR="00A138A5">
        <w:rPr>
          <w:rFonts w:cstheme="minorHAnsi"/>
          <w:color w:val="404040" w:themeColor="text1" w:themeTint="BF"/>
          <w:szCs w:val="22"/>
        </w:rPr>
        <w:t xml:space="preserve">NYSCRF. </w:t>
      </w:r>
      <w:r w:rsidR="00E35D89">
        <w:rPr>
          <w:rFonts w:cstheme="minorHAnsi"/>
          <w:color w:val="404040" w:themeColor="text1" w:themeTint="BF"/>
          <w:szCs w:val="22"/>
        </w:rPr>
        <w:t>Taking on additional potential entitlement risk</w:t>
      </w:r>
      <w:r w:rsidR="00EE585C">
        <w:rPr>
          <w:rFonts w:cstheme="minorHAnsi"/>
          <w:color w:val="404040" w:themeColor="text1" w:themeTint="BF"/>
          <w:szCs w:val="22"/>
        </w:rPr>
        <w:t xml:space="preserve"> is at times crucial to Bridge’s preference toward infill site selection in supply constrained markets and ultimately </w:t>
      </w:r>
      <w:r w:rsidR="0071389F">
        <w:rPr>
          <w:rFonts w:cstheme="minorHAnsi"/>
          <w:color w:val="404040" w:themeColor="text1" w:themeTint="BF"/>
          <w:szCs w:val="22"/>
        </w:rPr>
        <w:t>can provide access to sites that are less risky from a leasing and competitive supply standpoint</w:t>
      </w:r>
      <w:r w:rsidR="001D768C">
        <w:rPr>
          <w:rFonts w:cstheme="minorHAnsi"/>
          <w:color w:val="404040" w:themeColor="text1" w:themeTint="BF"/>
          <w:szCs w:val="22"/>
        </w:rPr>
        <w:t>.</w:t>
      </w:r>
      <w:r w:rsidR="00C05BE5">
        <w:rPr>
          <w:rFonts w:cstheme="minorHAnsi"/>
          <w:color w:val="404040" w:themeColor="text1" w:themeTint="BF"/>
          <w:szCs w:val="22"/>
        </w:rPr>
        <w:t xml:space="preserve"> Bridge states that premiums of upwards of 100 bps on YOC can be achieved by taking manageable and targeted entitlement risks while typically still structuring seller contingencies.</w:t>
      </w:r>
      <w:r w:rsidR="0058276F">
        <w:rPr>
          <w:rFonts w:cstheme="minorHAnsi"/>
          <w:color w:val="404040" w:themeColor="text1" w:themeTint="BF"/>
          <w:szCs w:val="22"/>
        </w:rPr>
        <w:t xml:space="preserve"> From a J-curve perspective, potential dead deal costs are also offset by the lack of </w:t>
      </w:r>
      <w:r w:rsidR="00D34E97">
        <w:rPr>
          <w:rFonts w:cstheme="minorHAnsi"/>
          <w:color w:val="404040" w:themeColor="text1" w:themeTint="BF"/>
          <w:szCs w:val="22"/>
        </w:rPr>
        <w:t xml:space="preserve">an asset management fee during the construction phase. </w:t>
      </w:r>
    </w:p>
    <w:p w14:paraId="17847A1C" w14:textId="6E050BD8" w:rsidR="00D27B09" w:rsidRDefault="00C34A81" w:rsidP="005C228E">
      <w:pPr>
        <w:jc w:val="both"/>
        <w:rPr>
          <w:rFonts w:cstheme="minorHAnsi"/>
          <w:color w:val="404040" w:themeColor="text1" w:themeTint="BF"/>
          <w:szCs w:val="22"/>
        </w:rPr>
      </w:pPr>
      <w:r>
        <w:rPr>
          <w:rFonts w:cstheme="minorHAnsi"/>
          <w:color w:val="404040" w:themeColor="text1" w:themeTint="BF"/>
          <w:szCs w:val="22"/>
        </w:rPr>
        <w:t xml:space="preserve"> </w:t>
      </w:r>
    </w:p>
    <w:p w14:paraId="3E59A199" w14:textId="714CDA02" w:rsidR="00D27B09" w:rsidRPr="00FB682D" w:rsidRDefault="00315E9E" w:rsidP="00A91DCC">
      <w:pPr>
        <w:pStyle w:val="ListParagraph"/>
        <w:numPr>
          <w:ilvl w:val="0"/>
          <w:numId w:val="11"/>
        </w:numPr>
        <w:jc w:val="both"/>
        <w:rPr>
          <w:rFonts w:cstheme="minorHAnsi"/>
          <w:color w:val="404040" w:themeColor="text1" w:themeTint="BF"/>
          <w:szCs w:val="22"/>
          <w:highlight w:val="red"/>
        </w:rPr>
      </w:pPr>
      <w:r w:rsidRPr="00FB682D">
        <w:rPr>
          <w:rFonts w:cstheme="minorHAnsi"/>
          <w:color w:val="404040" w:themeColor="text1" w:themeTint="BF"/>
          <w:szCs w:val="22"/>
          <w:highlight w:val="red"/>
        </w:rPr>
        <w:t>Incentive Structure</w:t>
      </w:r>
    </w:p>
    <w:p w14:paraId="71B5D310" w14:textId="77777777" w:rsidR="0068326F" w:rsidRDefault="0068326F" w:rsidP="0068326F">
      <w:pPr>
        <w:jc w:val="both"/>
        <w:rPr>
          <w:rFonts w:cstheme="minorHAnsi"/>
          <w:color w:val="404040" w:themeColor="text1" w:themeTint="BF"/>
          <w:szCs w:val="22"/>
        </w:rPr>
      </w:pPr>
    </w:p>
    <w:p w14:paraId="4D886C20" w14:textId="5D8AE7FC" w:rsidR="00504BA5" w:rsidRDefault="00236380" w:rsidP="00CF1199">
      <w:pPr>
        <w:jc w:val="both"/>
        <w:rPr>
          <w:rFonts w:cstheme="minorHAnsi"/>
          <w:color w:val="404040" w:themeColor="text1" w:themeTint="BF"/>
          <w:szCs w:val="22"/>
        </w:rPr>
      </w:pPr>
      <w:r>
        <w:rPr>
          <w:rFonts w:cstheme="minorHAnsi"/>
          <w:color w:val="404040" w:themeColor="text1" w:themeTint="BF"/>
          <w:szCs w:val="22"/>
        </w:rPr>
        <w:t xml:space="preserve">The Fund’s incentive structure is calculated </w:t>
      </w:r>
      <w:r w:rsidR="0037747C">
        <w:rPr>
          <w:rFonts w:cstheme="minorHAnsi"/>
          <w:color w:val="404040" w:themeColor="text1" w:themeTint="BF"/>
          <w:szCs w:val="22"/>
        </w:rPr>
        <w:t xml:space="preserve">and distributed </w:t>
      </w:r>
      <w:r>
        <w:rPr>
          <w:rFonts w:cstheme="minorHAnsi"/>
          <w:color w:val="404040" w:themeColor="text1" w:themeTint="BF"/>
          <w:szCs w:val="22"/>
        </w:rPr>
        <w:t>on a deal-by-deal basis</w:t>
      </w:r>
      <w:r w:rsidR="00654A4C">
        <w:rPr>
          <w:rFonts w:cstheme="minorHAnsi"/>
          <w:color w:val="404040" w:themeColor="text1" w:themeTint="BF"/>
          <w:szCs w:val="22"/>
        </w:rPr>
        <w:t>, resembling a joint venture structure more than a typical fund structure.</w:t>
      </w:r>
      <w:r w:rsidR="00504BA5">
        <w:rPr>
          <w:rFonts w:cstheme="minorHAnsi"/>
          <w:color w:val="404040" w:themeColor="text1" w:themeTint="BF"/>
          <w:szCs w:val="22"/>
        </w:rPr>
        <w:t xml:space="preserve"> </w:t>
      </w:r>
      <w:r w:rsidR="00573EDA">
        <w:rPr>
          <w:rFonts w:cstheme="minorHAnsi"/>
          <w:color w:val="404040" w:themeColor="text1" w:themeTint="BF"/>
          <w:szCs w:val="22"/>
        </w:rPr>
        <w:t xml:space="preserve">Promote </w:t>
      </w:r>
      <w:r w:rsidR="002D3CF7">
        <w:rPr>
          <w:rFonts w:cstheme="minorHAnsi"/>
          <w:color w:val="404040" w:themeColor="text1" w:themeTint="BF"/>
          <w:szCs w:val="22"/>
        </w:rPr>
        <w:t>allocation/distributions are</w:t>
      </w:r>
      <w:r w:rsidR="00DC7926">
        <w:rPr>
          <w:rFonts w:cstheme="minorHAnsi"/>
          <w:color w:val="404040" w:themeColor="text1" w:themeTint="BF"/>
          <w:szCs w:val="22"/>
        </w:rPr>
        <w:t xml:space="preserve"> crystalized</w:t>
      </w:r>
      <w:r w:rsidR="002D3CF7">
        <w:rPr>
          <w:rFonts w:cstheme="minorHAnsi"/>
          <w:color w:val="404040" w:themeColor="text1" w:themeTint="BF"/>
          <w:szCs w:val="22"/>
        </w:rPr>
        <w:t xml:space="preserve"> </w:t>
      </w:r>
      <w:r w:rsidR="00A7501B">
        <w:rPr>
          <w:rFonts w:cstheme="minorHAnsi"/>
          <w:color w:val="404040" w:themeColor="text1" w:themeTint="BF"/>
          <w:szCs w:val="22"/>
        </w:rPr>
        <w:t xml:space="preserve">based on </w:t>
      </w:r>
      <w:r w:rsidR="0036415F">
        <w:rPr>
          <w:rFonts w:cstheme="minorHAnsi"/>
          <w:color w:val="404040" w:themeColor="text1" w:themeTint="BF"/>
          <w:szCs w:val="22"/>
        </w:rPr>
        <w:t xml:space="preserve">an assumed valuation </w:t>
      </w:r>
      <w:r w:rsidR="0037747C">
        <w:rPr>
          <w:rFonts w:cstheme="minorHAnsi"/>
          <w:color w:val="404040" w:themeColor="text1" w:themeTint="BF"/>
          <w:szCs w:val="22"/>
        </w:rPr>
        <w:t xml:space="preserve">of each asset </w:t>
      </w:r>
      <w:r w:rsidR="0036415F">
        <w:rPr>
          <w:rFonts w:cstheme="minorHAnsi"/>
          <w:color w:val="404040" w:themeColor="text1" w:themeTint="BF"/>
          <w:szCs w:val="22"/>
        </w:rPr>
        <w:t xml:space="preserve">at stabilization and may not </w:t>
      </w:r>
      <w:r w:rsidR="002A7879">
        <w:rPr>
          <w:rFonts w:cstheme="minorHAnsi"/>
          <w:color w:val="404040" w:themeColor="text1" w:themeTint="BF"/>
          <w:szCs w:val="22"/>
        </w:rPr>
        <w:t xml:space="preserve">reflect </w:t>
      </w:r>
      <w:r w:rsidR="00CC708B">
        <w:rPr>
          <w:rFonts w:cstheme="minorHAnsi"/>
          <w:color w:val="404040" w:themeColor="text1" w:themeTint="BF"/>
          <w:szCs w:val="22"/>
        </w:rPr>
        <w:t>actual ultimate sales price.</w:t>
      </w:r>
      <w:r w:rsidR="00224F32">
        <w:rPr>
          <w:rFonts w:cstheme="minorHAnsi"/>
          <w:color w:val="404040" w:themeColor="text1" w:themeTint="BF"/>
          <w:szCs w:val="22"/>
        </w:rPr>
        <w:t xml:space="preserve"> </w:t>
      </w:r>
      <w:r w:rsidR="00B353DE">
        <w:rPr>
          <w:rFonts w:cstheme="minorHAnsi"/>
          <w:color w:val="404040" w:themeColor="text1" w:themeTint="BF"/>
          <w:szCs w:val="22"/>
        </w:rPr>
        <w:t xml:space="preserve">There is potential for conflict </w:t>
      </w:r>
      <w:r w:rsidR="009E1105">
        <w:rPr>
          <w:rFonts w:cstheme="minorHAnsi"/>
          <w:color w:val="404040" w:themeColor="text1" w:themeTint="BF"/>
          <w:szCs w:val="22"/>
        </w:rPr>
        <w:t>in</w:t>
      </w:r>
      <w:r w:rsidR="00B353DE">
        <w:rPr>
          <w:rFonts w:cstheme="minorHAnsi"/>
          <w:color w:val="404040" w:themeColor="text1" w:themeTint="BF"/>
          <w:szCs w:val="22"/>
        </w:rPr>
        <w:t xml:space="preserve"> arriving at mark-to-market valuations</w:t>
      </w:r>
      <w:r w:rsidR="009E1105">
        <w:rPr>
          <w:rFonts w:cstheme="minorHAnsi"/>
          <w:color w:val="404040" w:themeColor="text1" w:themeTint="BF"/>
          <w:szCs w:val="22"/>
        </w:rPr>
        <w:t>.</w:t>
      </w:r>
      <w:r w:rsidR="00CC708B">
        <w:rPr>
          <w:rFonts w:cstheme="minorHAnsi"/>
          <w:color w:val="404040" w:themeColor="text1" w:themeTint="BF"/>
          <w:szCs w:val="22"/>
        </w:rPr>
        <w:t xml:space="preserve"> </w:t>
      </w:r>
      <w:r w:rsidR="009D1F77">
        <w:rPr>
          <w:rFonts w:cstheme="minorHAnsi"/>
          <w:color w:val="404040" w:themeColor="text1" w:themeTint="BF"/>
          <w:szCs w:val="22"/>
        </w:rPr>
        <w:t xml:space="preserve">In the event of a wide dispersion </w:t>
      </w:r>
      <w:r w:rsidR="00360C7F">
        <w:rPr>
          <w:rFonts w:cstheme="minorHAnsi"/>
          <w:color w:val="404040" w:themeColor="text1" w:themeTint="BF"/>
          <w:szCs w:val="22"/>
        </w:rPr>
        <w:t xml:space="preserve">of returns, </w:t>
      </w:r>
      <w:r w:rsidR="00654A4C">
        <w:rPr>
          <w:rFonts w:cstheme="minorHAnsi"/>
          <w:color w:val="404040" w:themeColor="text1" w:themeTint="BF"/>
          <w:szCs w:val="22"/>
        </w:rPr>
        <w:t>a deal-by-deal promote</w:t>
      </w:r>
      <w:r w:rsidR="00360C7F">
        <w:rPr>
          <w:rFonts w:cstheme="minorHAnsi"/>
          <w:color w:val="404040" w:themeColor="text1" w:themeTint="BF"/>
          <w:szCs w:val="22"/>
        </w:rPr>
        <w:t xml:space="preserve"> could cause higher than expected gross-to-net leakage relative to a pooled promote. There is no portfolio-wide make</w:t>
      </w:r>
      <w:r w:rsidR="00F9559F">
        <w:rPr>
          <w:rFonts w:cstheme="minorHAnsi"/>
          <w:color w:val="404040" w:themeColor="text1" w:themeTint="BF"/>
          <w:szCs w:val="22"/>
        </w:rPr>
        <w:t>-</w:t>
      </w:r>
      <w:r w:rsidR="00360C7F">
        <w:rPr>
          <w:rFonts w:cstheme="minorHAnsi"/>
          <w:color w:val="404040" w:themeColor="text1" w:themeTint="BF"/>
          <w:szCs w:val="22"/>
        </w:rPr>
        <w:t xml:space="preserve">whole ensuring </w:t>
      </w:r>
      <w:r w:rsidR="00F9559F">
        <w:rPr>
          <w:rFonts w:cstheme="minorHAnsi"/>
          <w:color w:val="404040" w:themeColor="text1" w:themeTint="BF"/>
          <w:szCs w:val="22"/>
        </w:rPr>
        <w:t xml:space="preserve">that the </w:t>
      </w:r>
      <w:r w:rsidR="00FC346D">
        <w:rPr>
          <w:rFonts w:cstheme="minorHAnsi"/>
          <w:color w:val="404040" w:themeColor="text1" w:themeTint="BF"/>
          <w:szCs w:val="22"/>
        </w:rPr>
        <w:t>S</w:t>
      </w:r>
      <w:r w:rsidR="00F9559F">
        <w:rPr>
          <w:rFonts w:cstheme="minorHAnsi"/>
          <w:color w:val="404040" w:themeColor="text1" w:themeTint="BF"/>
          <w:szCs w:val="22"/>
        </w:rPr>
        <w:t xml:space="preserve">ponsor is limited to </w:t>
      </w:r>
      <w:r w:rsidR="009466D0">
        <w:rPr>
          <w:rFonts w:cstheme="minorHAnsi"/>
          <w:color w:val="404040" w:themeColor="text1" w:themeTint="BF"/>
          <w:szCs w:val="22"/>
        </w:rPr>
        <w:t>any specific percentage of total profit</w:t>
      </w:r>
      <w:r w:rsidR="00220746">
        <w:rPr>
          <w:rFonts w:cstheme="minorHAnsi"/>
          <w:color w:val="404040" w:themeColor="text1" w:themeTint="BF"/>
          <w:szCs w:val="22"/>
        </w:rPr>
        <w:t>. This would be standard expected practice in</w:t>
      </w:r>
      <w:r w:rsidR="00FB79D1">
        <w:rPr>
          <w:rFonts w:cstheme="minorHAnsi"/>
          <w:color w:val="404040" w:themeColor="text1" w:themeTint="BF"/>
          <w:szCs w:val="22"/>
        </w:rPr>
        <w:t xml:space="preserve"> </w:t>
      </w:r>
      <w:r w:rsidR="00220746">
        <w:rPr>
          <w:rFonts w:cstheme="minorHAnsi"/>
          <w:color w:val="404040" w:themeColor="text1" w:themeTint="BF"/>
          <w:szCs w:val="22"/>
        </w:rPr>
        <w:t xml:space="preserve">commingled funds </w:t>
      </w:r>
      <w:r w:rsidR="00851169">
        <w:rPr>
          <w:rFonts w:cstheme="minorHAnsi"/>
          <w:color w:val="404040" w:themeColor="text1" w:themeTint="BF"/>
          <w:szCs w:val="22"/>
        </w:rPr>
        <w:t xml:space="preserve">with interim promote distributions, which are a small minority of closed-end funds in general. </w:t>
      </w:r>
      <w:r w:rsidR="00610D12">
        <w:rPr>
          <w:rFonts w:cstheme="minorHAnsi"/>
          <w:color w:val="404040" w:themeColor="text1" w:themeTint="BF"/>
          <w:szCs w:val="22"/>
        </w:rPr>
        <w:t>The Fund does have</w:t>
      </w:r>
      <w:r w:rsidR="001063AB">
        <w:rPr>
          <w:rFonts w:cstheme="minorHAnsi"/>
          <w:color w:val="404040" w:themeColor="text1" w:themeTint="BF"/>
          <w:szCs w:val="22"/>
        </w:rPr>
        <w:t xml:space="preserve"> </w:t>
      </w:r>
      <w:r w:rsidR="00610D12">
        <w:rPr>
          <w:rFonts w:cstheme="minorHAnsi"/>
          <w:color w:val="404040" w:themeColor="text1" w:themeTint="BF"/>
          <w:szCs w:val="22"/>
        </w:rPr>
        <w:t xml:space="preserve">a </w:t>
      </w:r>
      <w:proofErr w:type="spellStart"/>
      <w:r w:rsidR="00610D12">
        <w:rPr>
          <w:rFonts w:cstheme="minorHAnsi"/>
          <w:color w:val="404040" w:themeColor="text1" w:themeTint="BF"/>
          <w:szCs w:val="22"/>
        </w:rPr>
        <w:t>clawback</w:t>
      </w:r>
      <w:proofErr w:type="spellEnd"/>
      <w:r w:rsidR="00610D12">
        <w:rPr>
          <w:rFonts w:cstheme="minorHAnsi"/>
          <w:color w:val="404040" w:themeColor="text1" w:themeTint="BF"/>
          <w:szCs w:val="22"/>
        </w:rPr>
        <w:t xml:space="preserve"> </w:t>
      </w:r>
      <w:r w:rsidR="001063AB">
        <w:rPr>
          <w:rFonts w:cstheme="minorHAnsi"/>
          <w:color w:val="404040" w:themeColor="text1" w:themeTint="BF"/>
          <w:szCs w:val="22"/>
        </w:rPr>
        <w:t>mechanism,</w:t>
      </w:r>
      <w:r w:rsidR="00610D12">
        <w:rPr>
          <w:rFonts w:cstheme="minorHAnsi"/>
          <w:color w:val="404040" w:themeColor="text1" w:themeTint="BF"/>
          <w:szCs w:val="22"/>
        </w:rPr>
        <w:t xml:space="preserve"> but this only provides for a minimum portfolio-wide</w:t>
      </w:r>
      <w:r w:rsidR="002C4006">
        <w:rPr>
          <w:rFonts w:cstheme="minorHAnsi"/>
          <w:color w:val="404040" w:themeColor="text1" w:themeTint="BF"/>
          <w:szCs w:val="22"/>
        </w:rPr>
        <w:t xml:space="preserve"> IRR of 9%. </w:t>
      </w:r>
      <w:r w:rsidR="0008014A">
        <w:rPr>
          <w:rFonts w:cstheme="minorHAnsi"/>
          <w:color w:val="404040" w:themeColor="text1" w:themeTint="BF"/>
          <w:szCs w:val="22"/>
        </w:rPr>
        <w:t xml:space="preserve">For assets being rolled over into the </w:t>
      </w:r>
      <w:r w:rsidR="00985B03">
        <w:rPr>
          <w:rFonts w:cstheme="minorHAnsi"/>
          <w:color w:val="404040" w:themeColor="text1" w:themeTint="BF"/>
          <w:szCs w:val="22"/>
        </w:rPr>
        <w:t>F</w:t>
      </w:r>
      <w:r w:rsidR="0008014A">
        <w:rPr>
          <w:rFonts w:cstheme="minorHAnsi"/>
          <w:color w:val="404040" w:themeColor="text1" w:themeTint="BF"/>
          <w:szCs w:val="22"/>
        </w:rPr>
        <w:t xml:space="preserve">und’s longer term hold portfolio, this also creates a cashflow question </w:t>
      </w:r>
      <w:r w:rsidR="00EF02CA">
        <w:rPr>
          <w:rFonts w:cstheme="minorHAnsi"/>
          <w:color w:val="404040" w:themeColor="text1" w:themeTint="BF"/>
          <w:szCs w:val="22"/>
        </w:rPr>
        <w:t>in terms of distributing the 50%</w:t>
      </w:r>
      <w:r w:rsidR="00B84712">
        <w:rPr>
          <w:rFonts w:cstheme="minorHAnsi"/>
          <w:color w:val="404040" w:themeColor="text1" w:themeTint="BF"/>
          <w:szCs w:val="22"/>
        </w:rPr>
        <w:t xml:space="preserve"> portion</w:t>
      </w:r>
      <w:r w:rsidR="00EF02CA">
        <w:rPr>
          <w:rFonts w:cstheme="minorHAnsi"/>
          <w:color w:val="404040" w:themeColor="text1" w:themeTint="BF"/>
          <w:szCs w:val="22"/>
        </w:rPr>
        <w:t xml:space="preserve"> of accrued carry </w:t>
      </w:r>
      <w:r w:rsidR="00B84712">
        <w:rPr>
          <w:rFonts w:cstheme="minorHAnsi"/>
          <w:color w:val="404040" w:themeColor="text1" w:themeTint="BF"/>
          <w:szCs w:val="22"/>
        </w:rPr>
        <w:t>which the</w:t>
      </w:r>
      <w:r w:rsidR="00EF02CA">
        <w:rPr>
          <w:rFonts w:cstheme="minorHAnsi"/>
          <w:color w:val="404040" w:themeColor="text1" w:themeTint="BF"/>
          <w:szCs w:val="22"/>
        </w:rPr>
        <w:t xml:space="preserve"> GP is entitled to </w:t>
      </w:r>
      <w:r w:rsidR="00610D12">
        <w:rPr>
          <w:rFonts w:cstheme="minorHAnsi"/>
          <w:color w:val="404040" w:themeColor="text1" w:themeTint="BF"/>
          <w:szCs w:val="22"/>
        </w:rPr>
        <w:t>receive</w:t>
      </w:r>
      <w:r w:rsidR="00EF02CA">
        <w:rPr>
          <w:rFonts w:cstheme="minorHAnsi"/>
          <w:color w:val="404040" w:themeColor="text1" w:themeTint="BF"/>
          <w:szCs w:val="22"/>
        </w:rPr>
        <w:t xml:space="preserve"> in </w:t>
      </w:r>
      <w:r w:rsidR="00610D12">
        <w:rPr>
          <w:rFonts w:cstheme="minorHAnsi"/>
          <w:color w:val="404040" w:themeColor="text1" w:themeTint="BF"/>
          <w:szCs w:val="22"/>
        </w:rPr>
        <w:t xml:space="preserve">cash (the remainder being rolled into the deal as GP equity). </w:t>
      </w:r>
    </w:p>
    <w:p w14:paraId="467B5FDF" w14:textId="77777777" w:rsidR="00D12D33" w:rsidRDefault="00D12D33" w:rsidP="0068326F">
      <w:pPr>
        <w:jc w:val="both"/>
        <w:rPr>
          <w:rFonts w:cstheme="minorHAnsi"/>
          <w:color w:val="404040" w:themeColor="text1" w:themeTint="BF"/>
          <w:szCs w:val="22"/>
        </w:rPr>
      </w:pPr>
    </w:p>
    <w:p w14:paraId="28A42A62" w14:textId="333FF93D" w:rsidR="00D12D33" w:rsidRPr="009E1105" w:rsidRDefault="00D12D33" w:rsidP="0068326F">
      <w:pPr>
        <w:jc w:val="both"/>
        <w:rPr>
          <w:rFonts w:cstheme="minorHAnsi"/>
          <w:color w:val="404040" w:themeColor="text1" w:themeTint="BF"/>
          <w:szCs w:val="22"/>
        </w:rPr>
      </w:pPr>
      <w:r w:rsidRPr="00D12D33">
        <w:rPr>
          <w:rFonts w:cstheme="minorHAnsi"/>
          <w:b/>
          <w:bCs/>
          <w:color w:val="404040" w:themeColor="text1" w:themeTint="BF"/>
          <w:szCs w:val="22"/>
        </w:rPr>
        <w:t xml:space="preserve">Discussion: </w:t>
      </w:r>
      <w:r w:rsidR="00DE5E1D">
        <w:rPr>
          <w:rFonts w:cstheme="minorHAnsi"/>
          <w:color w:val="404040" w:themeColor="text1" w:themeTint="BF"/>
          <w:szCs w:val="22"/>
        </w:rPr>
        <w:t xml:space="preserve">The Fund’s final </w:t>
      </w:r>
      <w:r w:rsidR="00C05BE5">
        <w:rPr>
          <w:rFonts w:cstheme="minorHAnsi"/>
          <w:color w:val="404040" w:themeColor="text1" w:themeTint="BF"/>
          <w:szCs w:val="22"/>
        </w:rPr>
        <w:t>venture</w:t>
      </w:r>
      <w:r w:rsidR="00DE5E1D">
        <w:rPr>
          <w:rFonts w:cstheme="minorHAnsi"/>
          <w:color w:val="404040" w:themeColor="text1" w:themeTint="BF"/>
          <w:szCs w:val="22"/>
        </w:rPr>
        <w:t xml:space="preserve"> documents will provide for a third-party appraisal process at stabilization and have language around </w:t>
      </w:r>
      <w:r w:rsidR="00542549">
        <w:rPr>
          <w:rFonts w:cstheme="minorHAnsi"/>
          <w:color w:val="404040" w:themeColor="text1" w:themeTint="BF"/>
          <w:szCs w:val="22"/>
        </w:rPr>
        <w:t>dispute resolution</w:t>
      </w:r>
      <w:r w:rsidR="0031473B">
        <w:rPr>
          <w:rFonts w:cstheme="minorHAnsi"/>
          <w:color w:val="404040" w:themeColor="text1" w:themeTint="BF"/>
          <w:szCs w:val="22"/>
        </w:rPr>
        <w:t>, expected to provide for multiple appraisals chosen by each party if necessary to arrive at a consensus valuation. While</w:t>
      </w:r>
      <w:r w:rsidR="00750280">
        <w:rPr>
          <w:rFonts w:cstheme="minorHAnsi"/>
          <w:color w:val="404040" w:themeColor="text1" w:themeTint="BF"/>
          <w:szCs w:val="22"/>
        </w:rPr>
        <w:t xml:space="preserve"> some suboptimal </w:t>
      </w:r>
      <w:r w:rsidR="00100D99">
        <w:rPr>
          <w:rFonts w:cstheme="minorHAnsi"/>
          <w:color w:val="404040" w:themeColor="text1" w:themeTint="BF"/>
          <w:szCs w:val="22"/>
        </w:rPr>
        <w:t xml:space="preserve">possibilities remain, and Townsend cannot opine on </w:t>
      </w:r>
      <w:r w:rsidR="00170AB7">
        <w:rPr>
          <w:rFonts w:cstheme="minorHAnsi"/>
          <w:color w:val="404040" w:themeColor="text1" w:themeTint="BF"/>
          <w:szCs w:val="22"/>
        </w:rPr>
        <w:t xml:space="preserve">a </w:t>
      </w:r>
      <w:r w:rsidR="003D0668">
        <w:rPr>
          <w:rFonts w:cstheme="minorHAnsi"/>
          <w:color w:val="404040" w:themeColor="text1" w:themeTint="BF"/>
          <w:szCs w:val="22"/>
        </w:rPr>
        <w:t xml:space="preserve">written outline of the process at this time, the </w:t>
      </w:r>
      <w:r w:rsidR="00126A36">
        <w:rPr>
          <w:rFonts w:cstheme="minorHAnsi"/>
          <w:color w:val="404040" w:themeColor="text1" w:themeTint="BF"/>
          <w:szCs w:val="22"/>
        </w:rPr>
        <w:t xml:space="preserve">process as generally understood is </w:t>
      </w:r>
      <w:r w:rsidR="00FD08FC">
        <w:rPr>
          <w:rFonts w:cstheme="minorHAnsi"/>
          <w:color w:val="404040" w:themeColor="text1" w:themeTint="BF"/>
          <w:szCs w:val="22"/>
        </w:rPr>
        <w:t>typical</w:t>
      </w:r>
      <w:r w:rsidR="00126A36">
        <w:rPr>
          <w:rFonts w:cstheme="minorHAnsi"/>
          <w:color w:val="404040" w:themeColor="text1" w:themeTint="BF"/>
          <w:szCs w:val="22"/>
        </w:rPr>
        <w:t xml:space="preserve"> for vehicles with a development phase and core rollover. </w:t>
      </w:r>
      <w:r w:rsidR="004A487B">
        <w:rPr>
          <w:rFonts w:cstheme="minorHAnsi"/>
          <w:color w:val="404040" w:themeColor="text1" w:themeTint="BF"/>
          <w:szCs w:val="22"/>
        </w:rPr>
        <w:t xml:space="preserve">The </w:t>
      </w:r>
      <w:proofErr w:type="spellStart"/>
      <w:r w:rsidR="004A487B">
        <w:rPr>
          <w:rFonts w:cstheme="minorHAnsi"/>
          <w:color w:val="404040" w:themeColor="text1" w:themeTint="BF"/>
          <w:szCs w:val="22"/>
        </w:rPr>
        <w:t>clawback</w:t>
      </w:r>
      <w:proofErr w:type="spellEnd"/>
      <w:r w:rsidR="004A487B">
        <w:rPr>
          <w:rFonts w:cstheme="minorHAnsi"/>
          <w:color w:val="404040" w:themeColor="text1" w:themeTint="BF"/>
          <w:szCs w:val="22"/>
        </w:rPr>
        <w:t xml:space="preserve"> </w:t>
      </w:r>
      <w:r w:rsidR="007E5677">
        <w:rPr>
          <w:rFonts w:cstheme="minorHAnsi"/>
          <w:color w:val="404040" w:themeColor="text1" w:themeTint="BF"/>
          <w:szCs w:val="22"/>
        </w:rPr>
        <w:t>provision</w:t>
      </w:r>
      <w:r w:rsidR="004A487B">
        <w:rPr>
          <w:rFonts w:cstheme="minorHAnsi"/>
          <w:color w:val="404040" w:themeColor="text1" w:themeTint="BF"/>
          <w:szCs w:val="22"/>
        </w:rPr>
        <w:t xml:space="preserve"> could be further enhanced by requiring </w:t>
      </w:r>
      <w:proofErr w:type="spellStart"/>
      <w:r w:rsidR="00FB60C1">
        <w:rPr>
          <w:rFonts w:cstheme="minorHAnsi"/>
          <w:color w:val="404040" w:themeColor="text1" w:themeTint="BF"/>
          <w:szCs w:val="22"/>
        </w:rPr>
        <w:t>clawback</w:t>
      </w:r>
      <w:proofErr w:type="spellEnd"/>
      <w:r w:rsidR="00FB60C1">
        <w:rPr>
          <w:rFonts w:cstheme="minorHAnsi"/>
          <w:color w:val="404040" w:themeColor="text1" w:themeTint="BF"/>
          <w:szCs w:val="22"/>
        </w:rPr>
        <w:t xml:space="preserve"> amounts to the extent </w:t>
      </w:r>
      <w:r w:rsidR="00E00EE4">
        <w:rPr>
          <w:rFonts w:cstheme="minorHAnsi"/>
          <w:color w:val="404040" w:themeColor="text1" w:themeTint="BF"/>
          <w:szCs w:val="22"/>
        </w:rPr>
        <w:t>the total GP share of profit exceeds 30% (the final promote tier)</w:t>
      </w:r>
      <w:r w:rsidR="00511157">
        <w:rPr>
          <w:rFonts w:cstheme="minorHAnsi"/>
          <w:color w:val="404040" w:themeColor="text1" w:themeTint="BF"/>
          <w:szCs w:val="22"/>
        </w:rPr>
        <w:t>.</w:t>
      </w:r>
      <w:r w:rsidR="00E00EE4">
        <w:rPr>
          <w:rFonts w:cstheme="minorHAnsi"/>
          <w:color w:val="404040" w:themeColor="text1" w:themeTint="BF"/>
          <w:szCs w:val="22"/>
        </w:rPr>
        <w:t xml:space="preserve"> </w:t>
      </w:r>
      <w:r w:rsidR="00A1064B">
        <w:rPr>
          <w:rFonts w:cstheme="minorHAnsi"/>
          <w:color w:val="404040" w:themeColor="text1" w:themeTint="BF"/>
          <w:szCs w:val="22"/>
        </w:rPr>
        <w:t xml:space="preserve">In terms of cash distribution of the earned promote, </w:t>
      </w:r>
      <w:r w:rsidR="000E5B73">
        <w:rPr>
          <w:rFonts w:cstheme="minorHAnsi"/>
          <w:color w:val="404040" w:themeColor="text1" w:themeTint="BF"/>
          <w:szCs w:val="22"/>
        </w:rPr>
        <w:t xml:space="preserve">asset refinancing proceeds are expected to generate the required cash in most </w:t>
      </w:r>
      <w:r w:rsidR="00280486">
        <w:rPr>
          <w:rFonts w:cstheme="minorHAnsi"/>
          <w:color w:val="404040" w:themeColor="text1" w:themeTint="BF"/>
          <w:szCs w:val="22"/>
        </w:rPr>
        <w:t>cases</w:t>
      </w:r>
      <w:r w:rsidR="00280486">
        <w:rPr>
          <w:rStyle w:val="FootnoteReference"/>
          <w:rFonts w:cstheme="minorHAnsi"/>
          <w:color w:val="404040" w:themeColor="text1" w:themeTint="BF"/>
          <w:szCs w:val="22"/>
        </w:rPr>
        <w:footnoteReference w:id="3"/>
      </w:r>
      <w:r w:rsidR="00280486">
        <w:rPr>
          <w:rFonts w:cstheme="minorHAnsi"/>
          <w:color w:val="404040" w:themeColor="text1" w:themeTint="BF"/>
          <w:szCs w:val="22"/>
        </w:rPr>
        <w:t xml:space="preserve">. The </w:t>
      </w:r>
      <w:r w:rsidR="005B6827">
        <w:rPr>
          <w:rFonts w:cstheme="minorHAnsi"/>
          <w:color w:val="404040" w:themeColor="text1" w:themeTint="BF"/>
          <w:szCs w:val="22"/>
        </w:rPr>
        <w:t xml:space="preserve">Partnership will not be required to fund capital in any instance to </w:t>
      </w:r>
      <w:r w:rsidR="00E17AE7">
        <w:rPr>
          <w:rFonts w:cstheme="minorHAnsi"/>
          <w:color w:val="404040" w:themeColor="text1" w:themeTint="BF"/>
          <w:szCs w:val="22"/>
        </w:rPr>
        <w:t xml:space="preserve">pay the realized incentive, though the </w:t>
      </w:r>
      <w:r w:rsidR="007365BD">
        <w:rPr>
          <w:rFonts w:cstheme="minorHAnsi"/>
          <w:color w:val="404040" w:themeColor="text1" w:themeTint="BF"/>
          <w:szCs w:val="22"/>
        </w:rPr>
        <w:t xml:space="preserve">GP would be entitled to a 9% interest rate per annum on unpaid amounts after 30 days. </w:t>
      </w:r>
    </w:p>
    <w:p w14:paraId="65BD6EE4" w14:textId="77777777" w:rsidR="002B0860" w:rsidRDefault="002B0860" w:rsidP="00754BFD">
      <w:pPr>
        <w:jc w:val="both"/>
        <w:rPr>
          <w:rFonts w:cstheme="minorHAnsi"/>
          <w:color w:val="404040" w:themeColor="text1" w:themeTint="BF"/>
          <w:szCs w:val="22"/>
        </w:rPr>
      </w:pPr>
    </w:p>
    <w:p w14:paraId="5F03CD18" w14:textId="77777777" w:rsidR="00BD581F" w:rsidRPr="00413922" w:rsidRDefault="00713FEB" w:rsidP="00A34415">
      <w:pPr>
        <w:pStyle w:val="Heading1"/>
        <w:spacing w:after="0"/>
        <w:rPr>
          <w:kern w:val="28"/>
          <w:sz w:val="28"/>
          <w:szCs w:val="28"/>
        </w:rPr>
      </w:pPr>
      <w:bookmarkStart w:id="10" w:name="_Toc179797280"/>
      <w:bookmarkStart w:id="11" w:name="_Hlk21442606"/>
      <w:bookmarkStart w:id="12" w:name="_Toc413830789"/>
      <w:r w:rsidRPr="00FB682D">
        <w:rPr>
          <w:kern w:val="28"/>
          <w:sz w:val="28"/>
          <w:szCs w:val="28"/>
          <w:highlight w:val="red"/>
        </w:rPr>
        <w:t>Strategy</w:t>
      </w:r>
      <w:bookmarkEnd w:id="10"/>
    </w:p>
    <w:bookmarkStart w:id="13" w:name="_Toc179797281"/>
    <w:p w14:paraId="2FE00004" w14:textId="77777777" w:rsidR="00713FEB" w:rsidRPr="00413922" w:rsidRDefault="00446366" w:rsidP="00E3517E">
      <w:pPr>
        <w:pStyle w:val="Heading2"/>
        <w:rPr>
          <w:color w:val="8CA4A4" w:themeColor="accent5"/>
          <w:sz w:val="22"/>
          <w:szCs w:val="22"/>
        </w:rPr>
      </w:pPr>
      <w:r w:rsidRPr="00413922">
        <w:rPr>
          <w:noProof/>
          <w:szCs w:val="22"/>
        </w:rPr>
        <mc:AlternateContent>
          <mc:Choice Requires="wps">
            <w:drawing>
              <wp:anchor distT="0" distB="0" distL="114300" distR="114300" simplePos="0" relativeHeight="251642880" behindDoc="0" locked="0" layoutInCell="1" allowOverlap="1" wp14:anchorId="572372B9" wp14:editId="05F515A0">
                <wp:simplePos x="0" y="0"/>
                <wp:positionH relativeFrom="margin">
                  <wp:posOffset>-12700</wp:posOffset>
                </wp:positionH>
                <wp:positionV relativeFrom="paragraph">
                  <wp:posOffset>163830</wp:posOffset>
                </wp:positionV>
                <wp:extent cx="6492240" cy="0"/>
                <wp:effectExtent l="0" t="0" r="0" b="0"/>
                <wp:wrapNone/>
                <wp:docPr id="49"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2240" cy="0"/>
                        </a:xfrm>
                        <a:prstGeom prst="straightConnector1">
                          <a:avLst/>
                        </a:prstGeom>
                        <a:noFill/>
                        <a:ln w="9525">
                          <a:solidFill>
                            <a:schemeClr val="tx1">
                              <a:lumMod val="75000"/>
                              <a:lumOff val="2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2B9C3D" id="AutoShape 5" o:spid="_x0000_s1026" type="#_x0000_t32" style="position:absolute;margin-left:-1pt;margin-top:12.9pt;width:511.2pt;height:0;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0M10AEAAJADAAAOAAAAZHJzL2Uyb0RvYy54bWysU01v2zAMvQ/YfxB0X+wYTbcacXpI1126&#10;LUC7H8DIsi1MFgVJiZ1/P0qOva9b0Ysgkebj4+Pz9n7sNTtL5xWaiq9XOWfSCKyVaSv+4+XxwyfO&#10;fABTg0YjK36Rnt/v3r/bDraUBXaoa+kYgRhfDrbiXQi2zDIvOtmDX6GVhpINuh4CPV2b1Q4GQu91&#10;VuT5bTagq61DIb2n6MOU5LuE3zRShO9N42VguuLELaTTpfMYz2y3hbJ1YDslrjTgFSx6UIaaLlAP&#10;EICdnPoPqlfCoccmrAT2GTaNEjLNQNOs83+mee7AyjQLiePtIpN/O1jx7bw3Bxepi9E82ycUPz0z&#10;uO/AtDIReLlYWtw6SpUN1pdLSXx4e3DsOHzFmr6BU8Ckwti4PkLSfGxMYl8WseUYmKDg7c1dUdzQ&#10;TsScy6CcC63z4YvEnsVLxX1woNou7NEYWim6dWoD5ycfIi0o54LY1eCj0jptVhs2VPxuU2xSgUet&#10;6piMnyWPyb127AzkjjBOoPrU0zRT7OMmz68eoTA5aQoXc5gaLyiJxl8NHJ5MnWh0EurP13sApac7&#10;VWtzFTXqGE3ryyPWl4Obxaa1J+CrRaOv/nyn6t8/0u4XAAAA//8DAFBLAwQUAAYACAAAACEA06J8&#10;49wAAAAJAQAADwAAAGRycy9kb3ducmV2LnhtbEyPwUrEMBCG74LvEEbwIruJxdW1Nl1EED0J7ope&#10;02Zsi8mkJNlufXtn8aDHmX/45/uqzeydmDCmIZCGy6UCgdQGO1Cn4W33uFiDSNmQNS4QavjGBJv6&#10;9KQypQ0HesVpmzvBJZRKo6HPeSylTG2P3qRlGJE4+wzRm8xj7KSN5sDl3slCqWvpzUD8oTcjPvTY&#10;fm33XsPFOs7uubnZvTcxKz+tPl6ebknr87P5/g5Exjn/HcMRn9GhZqYm7Mkm4TQsClbJGooVGxxz&#10;VagrEM3vRtaV/G9Q/wAAAP//AwBQSwECLQAUAAYACAAAACEAtoM4kv4AAADhAQAAEwAAAAAAAAAA&#10;AAAAAAAAAAAAW0NvbnRlbnRfVHlwZXNdLnhtbFBLAQItABQABgAIAAAAIQA4/SH/1gAAAJQBAAAL&#10;AAAAAAAAAAAAAAAAAC8BAABfcmVscy8ucmVsc1BLAQItABQABgAIAAAAIQBj90M10AEAAJADAAAO&#10;AAAAAAAAAAAAAAAAAC4CAABkcnMvZTJvRG9jLnhtbFBLAQItABQABgAIAAAAIQDTonzj3AAAAAkB&#10;AAAPAAAAAAAAAAAAAAAAACoEAABkcnMvZG93bnJldi54bWxQSwUGAAAAAAQABADzAAAAMwUAAAAA&#10;" strokecolor="#404040 [2429]">
                <w10:wrap anchorx="margin"/>
              </v:shape>
            </w:pict>
          </mc:Fallback>
        </mc:AlternateContent>
      </w:r>
      <w:r w:rsidR="00A36FB5" w:rsidRPr="00413922">
        <w:rPr>
          <w:color w:val="8CA4A4" w:themeColor="accent5"/>
          <w:sz w:val="22"/>
          <w:szCs w:val="22"/>
        </w:rPr>
        <w:t>Overview</w:t>
      </w:r>
      <w:bookmarkEnd w:id="13"/>
    </w:p>
    <w:p w14:paraId="27404F54" w14:textId="4AD74613" w:rsidR="00411416" w:rsidRPr="00413922" w:rsidRDefault="002A60E4" w:rsidP="002A60E4">
      <w:pPr>
        <w:pStyle w:val="NoSpacing"/>
        <w:tabs>
          <w:tab w:val="left" w:pos="720"/>
        </w:tabs>
        <w:jc w:val="both"/>
        <w:rPr>
          <w:rFonts w:ascii="Calibri" w:hAnsi="Calibri" w:cs="Calibri"/>
          <w:color w:val="404040" w:themeColor="text1" w:themeTint="BF"/>
        </w:rPr>
      </w:pPr>
      <w:bookmarkStart w:id="14" w:name="_Toc413830790"/>
      <w:bookmarkEnd w:id="11"/>
      <w:r w:rsidRPr="00413922">
        <w:rPr>
          <w:rFonts w:ascii="Calibri" w:hAnsi="Calibri" w:cs="Calibri"/>
          <w:color w:val="404040" w:themeColor="text1" w:themeTint="BF"/>
        </w:rPr>
        <w:t xml:space="preserve">The Fund will focus on ground-up development of larger </w:t>
      </w:r>
      <w:r w:rsidR="002D23FC" w:rsidRPr="00413922">
        <w:rPr>
          <w:rFonts w:ascii="Calibri" w:hAnsi="Calibri" w:cs="Calibri"/>
          <w:color w:val="404040" w:themeColor="text1" w:themeTint="BF"/>
        </w:rPr>
        <w:t>bulk industrial</w:t>
      </w:r>
      <w:r w:rsidR="00A22B5E">
        <w:rPr>
          <w:rFonts w:ascii="Calibri" w:hAnsi="Calibri" w:cs="Calibri"/>
          <w:color w:val="404040" w:themeColor="text1" w:themeTint="BF"/>
        </w:rPr>
        <w:t xml:space="preserve">, industrial </w:t>
      </w:r>
      <w:r w:rsidR="002D23FC" w:rsidRPr="00413922">
        <w:rPr>
          <w:rFonts w:ascii="Calibri" w:hAnsi="Calibri" w:cs="Calibri"/>
          <w:color w:val="404040" w:themeColor="text1" w:themeTint="BF"/>
        </w:rPr>
        <w:t>distribution facilities</w:t>
      </w:r>
      <w:r w:rsidR="00A22B5E">
        <w:rPr>
          <w:rFonts w:ascii="Calibri" w:hAnsi="Calibri" w:cs="Calibri"/>
          <w:color w:val="404040" w:themeColor="text1" w:themeTint="BF"/>
        </w:rPr>
        <w:t>, or large multi-phase business parks</w:t>
      </w:r>
      <w:r w:rsidR="002D23FC" w:rsidRPr="00413922">
        <w:rPr>
          <w:rFonts w:ascii="Calibri" w:hAnsi="Calibri" w:cs="Calibri"/>
          <w:color w:val="404040" w:themeColor="text1" w:themeTint="BF"/>
        </w:rPr>
        <w:t xml:space="preserve"> for a </w:t>
      </w:r>
      <w:r w:rsidR="002846A1" w:rsidRPr="00413922">
        <w:rPr>
          <w:rFonts w:ascii="Calibri" w:hAnsi="Calibri" w:cs="Calibri"/>
          <w:color w:val="404040" w:themeColor="text1" w:themeTint="BF"/>
        </w:rPr>
        <w:t>long-term</w:t>
      </w:r>
      <w:r w:rsidR="00512694" w:rsidRPr="00413922">
        <w:rPr>
          <w:rFonts w:ascii="Calibri" w:hAnsi="Calibri" w:cs="Calibri"/>
          <w:color w:val="404040" w:themeColor="text1" w:themeTint="BF"/>
        </w:rPr>
        <w:t xml:space="preserve"> hold, </w:t>
      </w:r>
      <w:r w:rsidR="009D3E45" w:rsidRPr="00413922">
        <w:rPr>
          <w:rFonts w:ascii="Calibri" w:hAnsi="Calibri" w:cs="Calibri"/>
          <w:color w:val="404040" w:themeColor="text1" w:themeTint="BF"/>
        </w:rPr>
        <w:t xml:space="preserve">targeting </w:t>
      </w:r>
      <w:r w:rsidR="00820450" w:rsidRPr="00413922">
        <w:rPr>
          <w:rFonts w:ascii="Calibri" w:hAnsi="Calibri" w:cs="Calibri"/>
          <w:color w:val="404040" w:themeColor="text1" w:themeTint="BF"/>
        </w:rPr>
        <w:t xml:space="preserve">a net IRR </w:t>
      </w:r>
      <w:proofErr w:type="gramStart"/>
      <w:r w:rsidR="00820450" w:rsidRPr="00413922">
        <w:rPr>
          <w:rFonts w:ascii="Calibri" w:hAnsi="Calibri" w:cs="Calibri"/>
          <w:color w:val="404040" w:themeColor="text1" w:themeTint="BF"/>
        </w:rPr>
        <w:t>in excess of</w:t>
      </w:r>
      <w:proofErr w:type="gramEnd"/>
      <w:r w:rsidR="00820450" w:rsidRPr="00413922">
        <w:rPr>
          <w:rFonts w:ascii="Calibri" w:hAnsi="Calibri" w:cs="Calibri"/>
          <w:color w:val="404040" w:themeColor="text1" w:themeTint="BF"/>
        </w:rPr>
        <w:t xml:space="preserve"> 15% (requiring </w:t>
      </w:r>
      <w:r w:rsidR="009D3E45" w:rsidRPr="00413922">
        <w:rPr>
          <w:rFonts w:ascii="Calibri" w:hAnsi="Calibri" w:cs="Calibri"/>
          <w:color w:val="404040" w:themeColor="text1" w:themeTint="BF"/>
        </w:rPr>
        <w:t>gross IRRs of 17-19%</w:t>
      </w:r>
      <w:r w:rsidR="00820450" w:rsidRPr="00413922">
        <w:rPr>
          <w:rFonts w:ascii="Calibri" w:hAnsi="Calibri" w:cs="Calibri"/>
          <w:color w:val="404040" w:themeColor="text1" w:themeTint="BF"/>
        </w:rPr>
        <w:t>)</w:t>
      </w:r>
      <w:r w:rsidR="009D3E45" w:rsidRPr="00413922">
        <w:rPr>
          <w:rFonts w:ascii="Calibri" w:hAnsi="Calibri" w:cs="Calibri"/>
          <w:color w:val="404040" w:themeColor="text1" w:themeTint="BF"/>
        </w:rPr>
        <w:t xml:space="preserve"> during its development phase, then tran</w:t>
      </w:r>
      <w:r w:rsidR="00FF40A5" w:rsidRPr="00413922">
        <w:rPr>
          <w:rFonts w:ascii="Calibri" w:hAnsi="Calibri" w:cs="Calibri"/>
          <w:color w:val="404040" w:themeColor="text1" w:themeTint="BF"/>
        </w:rPr>
        <w:t xml:space="preserve">sitioning assets into a long-term hold phase expected to produce </w:t>
      </w:r>
      <w:r w:rsidR="00E13B16">
        <w:rPr>
          <w:rFonts w:ascii="Calibri" w:hAnsi="Calibri" w:cs="Calibri"/>
          <w:color w:val="404040" w:themeColor="text1" w:themeTint="BF"/>
        </w:rPr>
        <w:t xml:space="preserve">levered </w:t>
      </w:r>
      <w:r w:rsidR="00FF40A5" w:rsidRPr="00413922">
        <w:rPr>
          <w:rFonts w:ascii="Calibri" w:hAnsi="Calibri" w:cs="Calibri"/>
          <w:color w:val="404040" w:themeColor="text1" w:themeTint="BF"/>
        </w:rPr>
        <w:t xml:space="preserve">core-like returns of </w:t>
      </w:r>
      <w:r w:rsidR="005E20FA" w:rsidRPr="00413922">
        <w:rPr>
          <w:rFonts w:ascii="Calibri" w:hAnsi="Calibri" w:cs="Calibri"/>
          <w:color w:val="404040" w:themeColor="text1" w:themeTint="BF"/>
        </w:rPr>
        <w:t>9-11%</w:t>
      </w:r>
      <w:r w:rsidR="00ED3438" w:rsidRPr="00413922">
        <w:rPr>
          <w:rFonts w:ascii="Calibri" w:hAnsi="Calibri" w:cs="Calibri"/>
          <w:color w:val="404040" w:themeColor="text1" w:themeTint="BF"/>
        </w:rPr>
        <w:t xml:space="preserve"> net. </w:t>
      </w:r>
      <w:r w:rsidR="004C5EF6" w:rsidRPr="00413922">
        <w:rPr>
          <w:rFonts w:ascii="Calibri" w:hAnsi="Calibri" w:cs="Calibri"/>
          <w:color w:val="404040" w:themeColor="text1" w:themeTint="BF"/>
        </w:rPr>
        <w:t xml:space="preserve">This can </w:t>
      </w:r>
      <w:r w:rsidR="00167872" w:rsidRPr="00413922">
        <w:rPr>
          <w:rFonts w:ascii="Calibri" w:hAnsi="Calibri" w:cs="Calibri"/>
          <w:color w:val="404040" w:themeColor="text1" w:themeTint="BF"/>
        </w:rPr>
        <w:t xml:space="preserve">be thought of as a minimum return threshold; the current fund </w:t>
      </w:r>
      <w:r w:rsidR="00167872" w:rsidRPr="00413922">
        <w:rPr>
          <w:rFonts w:ascii="Calibri" w:hAnsi="Calibri" w:cs="Calibri"/>
          <w:color w:val="404040" w:themeColor="text1" w:themeTint="BF"/>
        </w:rPr>
        <w:lastRenderedPageBreak/>
        <w:t>model assumes gross development phase IRR of 26.5% and stabilized hold period IRR of 11.5%, blending to a</w:t>
      </w:r>
      <w:r w:rsidR="0004162D" w:rsidRPr="00413922">
        <w:rPr>
          <w:rFonts w:ascii="Calibri" w:hAnsi="Calibri" w:cs="Calibri"/>
          <w:color w:val="404040" w:themeColor="text1" w:themeTint="BF"/>
        </w:rPr>
        <w:t>n 18.9% gross IRR and 16.6% net IRR over the life of the fund.</w:t>
      </w:r>
    </w:p>
    <w:p w14:paraId="65A07A79" w14:textId="2CB40501" w:rsidR="005E27B6" w:rsidRPr="00413922" w:rsidRDefault="00B61CD2" w:rsidP="00A91DCC">
      <w:pPr>
        <w:pStyle w:val="NoSpacing"/>
        <w:numPr>
          <w:ilvl w:val="0"/>
          <w:numId w:val="20"/>
        </w:numPr>
        <w:tabs>
          <w:tab w:val="left" w:pos="720"/>
        </w:tabs>
        <w:jc w:val="both"/>
        <w:rPr>
          <w:rFonts w:ascii="Calibri" w:hAnsi="Calibri" w:cs="Calibri"/>
          <w:color w:val="404040" w:themeColor="text1" w:themeTint="BF"/>
        </w:rPr>
      </w:pPr>
      <w:r w:rsidRPr="00413922">
        <w:rPr>
          <w:rFonts w:ascii="Calibri" w:hAnsi="Calibri" w:cs="Calibri"/>
          <w:color w:val="404040" w:themeColor="text1" w:themeTint="BF"/>
        </w:rPr>
        <w:t xml:space="preserve">Sites </w:t>
      </w:r>
      <w:r w:rsidR="006418C5" w:rsidRPr="00413922">
        <w:rPr>
          <w:rFonts w:ascii="Calibri" w:hAnsi="Calibri" w:cs="Calibri"/>
          <w:color w:val="404040" w:themeColor="text1" w:themeTint="BF"/>
        </w:rPr>
        <w:t xml:space="preserve">typically will have industrial zoning with some degree of entitlement and permitting risk </w:t>
      </w:r>
      <w:r w:rsidR="005E27B6" w:rsidRPr="00413922">
        <w:rPr>
          <w:rFonts w:ascii="Calibri" w:hAnsi="Calibri" w:cs="Calibri"/>
          <w:color w:val="404040" w:themeColor="text1" w:themeTint="BF"/>
        </w:rPr>
        <w:t>taken on.</w:t>
      </w:r>
      <w:r w:rsidR="00812A88" w:rsidRPr="00413922">
        <w:rPr>
          <w:rFonts w:ascii="Calibri" w:hAnsi="Calibri" w:cs="Calibri"/>
          <w:color w:val="404040" w:themeColor="text1" w:themeTint="BF"/>
        </w:rPr>
        <w:t xml:space="preserve"> </w:t>
      </w:r>
      <w:r w:rsidR="00EC33B2" w:rsidRPr="00413922">
        <w:rPr>
          <w:rFonts w:ascii="Calibri" w:hAnsi="Calibri" w:cs="Calibri"/>
          <w:color w:val="404040" w:themeColor="text1" w:themeTint="BF"/>
        </w:rPr>
        <w:t>Bridge seeks to avoid</w:t>
      </w:r>
      <w:r w:rsidR="00812A88" w:rsidRPr="00413922">
        <w:rPr>
          <w:rFonts w:ascii="Calibri" w:hAnsi="Calibri" w:cs="Calibri"/>
          <w:color w:val="404040" w:themeColor="text1" w:themeTint="BF"/>
        </w:rPr>
        <w:t xml:space="preserve"> situations with discretionary city/county approvals around land use</w:t>
      </w:r>
      <w:r w:rsidR="00EC33B2" w:rsidRPr="00413922">
        <w:rPr>
          <w:rFonts w:ascii="Calibri" w:hAnsi="Calibri" w:cs="Calibri"/>
          <w:color w:val="404040" w:themeColor="text1" w:themeTint="BF"/>
        </w:rPr>
        <w:t xml:space="preserve"> and</w:t>
      </w:r>
      <w:r w:rsidR="00AB3257" w:rsidRPr="00413922">
        <w:rPr>
          <w:rFonts w:ascii="Calibri" w:hAnsi="Calibri" w:cs="Calibri"/>
          <w:color w:val="404040" w:themeColor="text1" w:themeTint="BF"/>
        </w:rPr>
        <w:t xml:space="preserve"> </w:t>
      </w:r>
      <w:r w:rsidR="00EC33B2" w:rsidRPr="00413922">
        <w:rPr>
          <w:rFonts w:ascii="Calibri" w:hAnsi="Calibri" w:cs="Calibri"/>
          <w:color w:val="404040" w:themeColor="text1" w:themeTint="BF"/>
        </w:rPr>
        <w:t xml:space="preserve">would require </w:t>
      </w:r>
      <w:r w:rsidR="00AB3257" w:rsidRPr="00413922">
        <w:rPr>
          <w:rFonts w:ascii="Calibri" w:hAnsi="Calibri" w:cs="Calibri"/>
          <w:color w:val="404040" w:themeColor="text1" w:themeTint="BF"/>
        </w:rPr>
        <w:t xml:space="preserve">closing contingencies </w:t>
      </w:r>
      <w:r w:rsidR="00AB3BDA" w:rsidRPr="00413922">
        <w:rPr>
          <w:rFonts w:ascii="Calibri" w:hAnsi="Calibri" w:cs="Calibri"/>
          <w:color w:val="404040" w:themeColor="text1" w:themeTint="BF"/>
        </w:rPr>
        <w:t>or options with the seller</w:t>
      </w:r>
      <w:r w:rsidR="009D13C8" w:rsidRPr="00413922">
        <w:rPr>
          <w:rFonts w:ascii="Calibri" w:hAnsi="Calibri" w:cs="Calibri"/>
          <w:color w:val="404040" w:themeColor="text1" w:themeTint="BF"/>
        </w:rPr>
        <w:t xml:space="preserve"> to take on this level of entitlement risk. </w:t>
      </w:r>
    </w:p>
    <w:p w14:paraId="435910F3" w14:textId="46942DDA" w:rsidR="00BD7443" w:rsidRDefault="00CC1377" w:rsidP="00A91DCC">
      <w:pPr>
        <w:pStyle w:val="NoSpacing"/>
        <w:numPr>
          <w:ilvl w:val="0"/>
          <w:numId w:val="20"/>
        </w:numPr>
        <w:tabs>
          <w:tab w:val="left" w:pos="720"/>
        </w:tabs>
        <w:jc w:val="both"/>
        <w:rPr>
          <w:rFonts w:ascii="Calibri" w:hAnsi="Calibri" w:cs="Calibri"/>
          <w:color w:val="404040" w:themeColor="text1" w:themeTint="BF"/>
        </w:rPr>
      </w:pPr>
      <w:r w:rsidRPr="00413922">
        <w:rPr>
          <w:rFonts w:ascii="Calibri" w:hAnsi="Calibri" w:cs="Calibri"/>
          <w:color w:val="404040" w:themeColor="text1" w:themeTint="BF"/>
        </w:rPr>
        <w:t>Bridge’s development</w:t>
      </w:r>
      <w:r>
        <w:rPr>
          <w:rFonts w:ascii="Calibri" w:hAnsi="Calibri" w:cs="Calibri"/>
          <w:color w:val="404040" w:themeColor="text1" w:themeTint="BF"/>
        </w:rPr>
        <w:t xml:space="preserve"> targets are typically infill sites </w:t>
      </w:r>
      <w:r w:rsidR="009337E8">
        <w:rPr>
          <w:rFonts w:ascii="Calibri" w:hAnsi="Calibri" w:cs="Calibri"/>
          <w:color w:val="404040" w:themeColor="text1" w:themeTint="BF"/>
        </w:rPr>
        <w:t xml:space="preserve">located near major transportation </w:t>
      </w:r>
      <w:r w:rsidR="008E7E1A">
        <w:rPr>
          <w:rFonts w:ascii="Calibri" w:hAnsi="Calibri" w:cs="Calibri"/>
          <w:color w:val="404040" w:themeColor="text1" w:themeTint="BF"/>
        </w:rPr>
        <w:t xml:space="preserve">infrastructure. </w:t>
      </w:r>
    </w:p>
    <w:p w14:paraId="098FD7E5" w14:textId="5F6575B1" w:rsidR="00CC1377" w:rsidRPr="002B7A98" w:rsidRDefault="00CC1377" w:rsidP="00A91DCC">
      <w:pPr>
        <w:pStyle w:val="NoSpacing"/>
        <w:numPr>
          <w:ilvl w:val="0"/>
          <w:numId w:val="20"/>
        </w:numPr>
        <w:tabs>
          <w:tab w:val="left" w:pos="720"/>
        </w:tabs>
        <w:jc w:val="both"/>
        <w:rPr>
          <w:rFonts w:ascii="Calibri" w:hAnsi="Calibri" w:cs="Calibri"/>
          <w:color w:val="404040" w:themeColor="text1" w:themeTint="BF"/>
        </w:rPr>
      </w:pPr>
      <w:r w:rsidRPr="002B7A98">
        <w:rPr>
          <w:rFonts w:ascii="Calibri" w:hAnsi="Calibri" w:cs="Calibri"/>
          <w:color w:val="404040" w:themeColor="text1" w:themeTint="BF"/>
        </w:rPr>
        <w:t>The Fund will target assets in U.S. markets with population density, trade infrastructure and high barriers to new supply. Bridge divides these into two categories:</w:t>
      </w:r>
    </w:p>
    <w:p w14:paraId="6E5A1E51" w14:textId="35BE633B" w:rsidR="00CC1377" w:rsidRPr="002B7A98" w:rsidRDefault="00CC1377" w:rsidP="00A91DCC">
      <w:pPr>
        <w:pStyle w:val="NoSpacing"/>
        <w:numPr>
          <w:ilvl w:val="1"/>
          <w:numId w:val="20"/>
        </w:numPr>
        <w:tabs>
          <w:tab w:val="left" w:pos="720"/>
        </w:tabs>
        <w:jc w:val="both"/>
        <w:rPr>
          <w:rFonts w:ascii="Calibri" w:hAnsi="Calibri" w:cs="Calibri"/>
          <w:color w:val="404040" w:themeColor="text1" w:themeTint="BF"/>
        </w:rPr>
      </w:pPr>
      <w:r w:rsidRPr="002B7A98">
        <w:rPr>
          <w:rFonts w:ascii="Calibri" w:hAnsi="Calibri" w:cs="Calibri"/>
          <w:color w:val="404040" w:themeColor="text1" w:themeTint="BF"/>
        </w:rPr>
        <w:t>U.S. Global Gateway:</w:t>
      </w:r>
      <w:r w:rsidR="00A63D6B" w:rsidRPr="002B7A98">
        <w:rPr>
          <w:rFonts w:ascii="Calibri" w:hAnsi="Calibri" w:cs="Calibri"/>
          <w:color w:val="404040" w:themeColor="text1" w:themeTint="BF"/>
        </w:rPr>
        <w:t xml:space="preserve"> </w:t>
      </w:r>
      <w:r w:rsidR="007B450A" w:rsidRPr="002B7A98">
        <w:rPr>
          <w:rFonts w:ascii="Calibri" w:hAnsi="Calibri" w:cs="Calibri"/>
          <w:color w:val="404040" w:themeColor="text1" w:themeTint="BF"/>
        </w:rPr>
        <w:t>New York, N</w:t>
      </w:r>
      <w:r w:rsidR="000014D9">
        <w:rPr>
          <w:rFonts w:ascii="Calibri" w:hAnsi="Calibri" w:cs="Calibri"/>
          <w:color w:val="404040" w:themeColor="text1" w:themeTint="BF"/>
        </w:rPr>
        <w:t>orthern</w:t>
      </w:r>
      <w:r w:rsidR="007B450A" w:rsidRPr="002B7A98">
        <w:rPr>
          <w:rFonts w:ascii="Calibri" w:hAnsi="Calibri" w:cs="Calibri"/>
          <w:color w:val="404040" w:themeColor="text1" w:themeTint="BF"/>
        </w:rPr>
        <w:t xml:space="preserve"> New Jersey, Southern California, </w:t>
      </w:r>
      <w:r w:rsidR="000C5547" w:rsidRPr="002B7A98">
        <w:rPr>
          <w:rFonts w:ascii="Calibri" w:hAnsi="Calibri" w:cs="Calibri"/>
          <w:color w:val="404040" w:themeColor="text1" w:themeTint="BF"/>
        </w:rPr>
        <w:t xml:space="preserve">South Florida, </w:t>
      </w:r>
      <w:r w:rsidR="00C6727F" w:rsidRPr="002B7A98">
        <w:rPr>
          <w:rFonts w:ascii="Calibri" w:hAnsi="Calibri" w:cs="Calibri"/>
          <w:color w:val="404040" w:themeColor="text1" w:themeTint="BF"/>
        </w:rPr>
        <w:t>DFW, SF Bay Area, Atlanta.</w:t>
      </w:r>
      <w:r w:rsidR="007B450A" w:rsidRPr="002B7A98">
        <w:rPr>
          <w:rFonts w:ascii="Calibri" w:hAnsi="Calibri" w:cs="Calibri"/>
          <w:color w:val="404040" w:themeColor="text1" w:themeTint="BF"/>
        </w:rPr>
        <w:t xml:space="preserve"> </w:t>
      </w:r>
    </w:p>
    <w:p w14:paraId="1249F720" w14:textId="15E400A2" w:rsidR="00CC1377" w:rsidRPr="002B7A98" w:rsidRDefault="00CC1377" w:rsidP="00A91DCC">
      <w:pPr>
        <w:pStyle w:val="NoSpacing"/>
        <w:numPr>
          <w:ilvl w:val="1"/>
          <w:numId w:val="20"/>
        </w:numPr>
        <w:tabs>
          <w:tab w:val="left" w:pos="720"/>
        </w:tabs>
        <w:jc w:val="both"/>
        <w:rPr>
          <w:rFonts w:ascii="Calibri" w:hAnsi="Calibri" w:cs="Calibri"/>
          <w:color w:val="404040" w:themeColor="text1" w:themeTint="BF"/>
        </w:rPr>
      </w:pPr>
      <w:r w:rsidRPr="002B7A98">
        <w:rPr>
          <w:rFonts w:ascii="Calibri" w:hAnsi="Calibri" w:cs="Calibri"/>
          <w:color w:val="404040" w:themeColor="text1" w:themeTint="BF"/>
        </w:rPr>
        <w:t>Regional Prime Growth:</w:t>
      </w:r>
      <w:r w:rsidR="006809C2" w:rsidRPr="002B7A98">
        <w:rPr>
          <w:rFonts w:ascii="Calibri" w:hAnsi="Calibri" w:cs="Calibri"/>
          <w:color w:val="404040" w:themeColor="text1" w:themeTint="BF"/>
        </w:rPr>
        <w:t xml:space="preserve"> Seattle, Denver, Portland, Austin, Boston, Houston.</w:t>
      </w:r>
    </w:p>
    <w:p w14:paraId="4EBF7E82" w14:textId="6D947CD3" w:rsidR="00ED3438" w:rsidRDefault="00B72FF4" w:rsidP="00A91DCC">
      <w:pPr>
        <w:pStyle w:val="NoSpacing"/>
        <w:numPr>
          <w:ilvl w:val="0"/>
          <w:numId w:val="20"/>
        </w:numPr>
        <w:tabs>
          <w:tab w:val="left" w:pos="720"/>
        </w:tabs>
        <w:jc w:val="both"/>
        <w:rPr>
          <w:rFonts w:ascii="Calibri" w:hAnsi="Calibri" w:cs="Calibri"/>
          <w:color w:val="404040" w:themeColor="text1" w:themeTint="BF"/>
        </w:rPr>
      </w:pPr>
      <w:r>
        <w:rPr>
          <w:rFonts w:ascii="Calibri" w:hAnsi="Calibri" w:cs="Calibri"/>
          <w:color w:val="404040" w:themeColor="text1" w:themeTint="BF"/>
        </w:rPr>
        <w:t xml:space="preserve">The Fund </w:t>
      </w:r>
      <w:r w:rsidRPr="00C76923">
        <w:rPr>
          <w:rFonts w:ascii="Calibri" w:hAnsi="Calibri" w:cs="Calibri"/>
          <w:color w:val="404040" w:themeColor="text1" w:themeTint="BF"/>
        </w:rPr>
        <w:t>will pursue projects with land purchase price of $50 million or abov</w:t>
      </w:r>
      <w:r w:rsidR="00D70465" w:rsidRPr="00C76923">
        <w:rPr>
          <w:rFonts w:ascii="Calibri" w:hAnsi="Calibri" w:cs="Calibri"/>
          <w:color w:val="404040" w:themeColor="text1" w:themeTint="BF"/>
        </w:rPr>
        <w:t xml:space="preserve">e. Total </w:t>
      </w:r>
      <w:r w:rsidR="007E1601" w:rsidRPr="00C76923">
        <w:rPr>
          <w:rFonts w:ascii="Calibri" w:hAnsi="Calibri" w:cs="Calibri"/>
          <w:color w:val="404040" w:themeColor="text1" w:themeTint="BF"/>
        </w:rPr>
        <w:t xml:space="preserve">project capitalization is expected to </w:t>
      </w:r>
      <w:r w:rsidR="00C76923" w:rsidRPr="00C76923">
        <w:rPr>
          <w:rFonts w:ascii="Calibri" w:hAnsi="Calibri" w:cs="Calibri"/>
          <w:color w:val="404040" w:themeColor="text1" w:themeTint="BF"/>
        </w:rPr>
        <w:t>be at or above</w:t>
      </w:r>
      <w:r w:rsidR="007E1601" w:rsidRPr="00C76923">
        <w:rPr>
          <w:rFonts w:ascii="Calibri" w:hAnsi="Calibri" w:cs="Calibri"/>
          <w:color w:val="404040" w:themeColor="text1" w:themeTint="BF"/>
        </w:rPr>
        <w:t xml:space="preserve"> $120 million</w:t>
      </w:r>
      <w:r w:rsidR="00C76923" w:rsidRPr="00C76923">
        <w:rPr>
          <w:rFonts w:ascii="Calibri" w:hAnsi="Calibri" w:cs="Calibri"/>
          <w:color w:val="404040" w:themeColor="text1" w:themeTint="BF"/>
        </w:rPr>
        <w:t>.</w:t>
      </w:r>
      <w:r w:rsidR="001F7E6E">
        <w:rPr>
          <w:rFonts w:ascii="Calibri" w:hAnsi="Calibri" w:cs="Calibri"/>
          <w:color w:val="404040" w:themeColor="text1" w:themeTint="BF"/>
        </w:rPr>
        <w:t xml:space="preserve"> Land price as a percent of total </w:t>
      </w:r>
      <w:r w:rsidR="008F3244">
        <w:rPr>
          <w:rFonts w:ascii="Calibri" w:hAnsi="Calibri" w:cs="Calibri"/>
          <w:color w:val="404040" w:themeColor="text1" w:themeTint="BF"/>
        </w:rPr>
        <w:t xml:space="preserve">budgeted </w:t>
      </w:r>
      <w:r w:rsidR="001F7E6E">
        <w:rPr>
          <w:rFonts w:ascii="Calibri" w:hAnsi="Calibri" w:cs="Calibri"/>
          <w:color w:val="404040" w:themeColor="text1" w:themeTint="BF"/>
        </w:rPr>
        <w:t xml:space="preserve">capitalization averages </w:t>
      </w:r>
      <w:r w:rsidR="0023298C">
        <w:rPr>
          <w:rFonts w:ascii="Calibri" w:hAnsi="Calibri" w:cs="Calibri"/>
          <w:color w:val="404040" w:themeColor="text1" w:themeTint="BF"/>
        </w:rPr>
        <w:t xml:space="preserve">an estimated </w:t>
      </w:r>
      <w:r w:rsidR="008F3244">
        <w:rPr>
          <w:rFonts w:ascii="Calibri" w:hAnsi="Calibri" w:cs="Calibri"/>
          <w:color w:val="404040" w:themeColor="text1" w:themeTint="BF"/>
        </w:rPr>
        <w:t xml:space="preserve">39% across Bridge’s focus markets. </w:t>
      </w:r>
    </w:p>
    <w:p w14:paraId="1C98BFFA" w14:textId="7C529DA6" w:rsidR="007E1601" w:rsidRDefault="00364D41" w:rsidP="00A91DCC">
      <w:pPr>
        <w:pStyle w:val="NoSpacing"/>
        <w:numPr>
          <w:ilvl w:val="0"/>
          <w:numId w:val="20"/>
        </w:numPr>
        <w:tabs>
          <w:tab w:val="left" w:pos="720"/>
        </w:tabs>
        <w:jc w:val="both"/>
        <w:rPr>
          <w:rFonts w:ascii="Calibri" w:hAnsi="Calibri" w:cs="Calibri"/>
          <w:color w:val="404040" w:themeColor="text1" w:themeTint="BF"/>
        </w:rPr>
      </w:pPr>
      <w:r>
        <w:rPr>
          <w:rFonts w:ascii="Calibri" w:hAnsi="Calibri" w:cs="Calibri"/>
          <w:color w:val="404040" w:themeColor="text1" w:themeTint="BF"/>
        </w:rPr>
        <w:t>D</w:t>
      </w:r>
      <w:r w:rsidR="007E1601">
        <w:rPr>
          <w:rFonts w:ascii="Calibri" w:hAnsi="Calibri" w:cs="Calibri"/>
          <w:color w:val="404040" w:themeColor="text1" w:themeTint="BF"/>
        </w:rPr>
        <w:t xml:space="preserve">evelopment will typically focus on </w:t>
      </w:r>
      <w:r w:rsidR="00123DAE">
        <w:rPr>
          <w:rFonts w:ascii="Calibri" w:hAnsi="Calibri" w:cs="Calibri"/>
          <w:color w:val="404040" w:themeColor="text1" w:themeTint="BF"/>
        </w:rPr>
        <w:t xml:space="preserve">bulk industrial and distribution facilities </w:t>
      </w:r>
      <w:r w:rsidR="00D011F0">
        <w:rPr>
          <w:rFonts w:ascii="Calibri" w:hAnsi="Calibri" w:cs="Calibri"/>
          <w:color w:val="404040" w:themeColor="text1" w:themeTint="BF"/>
        </w:rPr>
        <w:t xml:space="preserve">of </w:t>
      </w:r>
      <w:r w:rsidR="00E622D4">
        <w:rPr>
          <w:rFonts w:ascii="Calibri" w:hAnsi="Calibri" w:cs="Calibri"/>
          <w:color w:val="404040" w:themeColor="text1" w:themeTint="BF"/>
        </w:rPr>
        <w:t xml:space="preserve">minimum </w:t>
      </w:r>
      <w:r w:rsidR="00D011F0">
        <w:rPr>
          <w:rFonts w:ascii="Calibri" w:hAnsi="Calibri" w:cs="Calibri"/>
          <w:color w:val="404040" w:themeColor="text1" w:themeTint="BF"/>
        </w:rPr>
        <w:t xml:space="preserve">500k square feet and </w:t>
      </w:r>
      <w:r w:rsidR="008315E0">
        <w:rPr>
          <w:rFonts w:ascii="Calibri" w:hAnsi="Calibri" w:cs="Calibri"/>
          <w:color w:val="404040" w:themeColor="text1" w:themeTint="BF"/>
        </w:rPr>
        <w:t xml:space="preserve">projects as large as </w:t>
      </w:r>
      <w:r>
        <w:rPr>
          <w:rFonts w:ascii="Calibri" w:hAnsi="Calibri" w:cs="Calibri"/>
          <w:color w:val="404040" w:themeColor="text1" w:themeTint="BF"/>
        </w:rPr>
        <w:t xml:space="preserve">4 million total square feet across multiple buildings/phases. </w:t>
      </w:r>
      <w:r w:rsidR="00D32563">
        <w:rPr>
          <w:rFonts w:ascii="Calibri" w:hAnsi="Calibri" w:cs="Calibri"/>
          <w:color w:val="404040" w:themeColor="text1" w:themeTint="BF"/>
        </w:rPr>
        <w:t xml:space="preserve">The Fund may also develop smaller and/or quicker to market facilities where </w:t>
      </w:r>
      <w:r w:rsidR="00EB732C">
        <w:rPr>
          <w:rFonts w:ascii="Calibri" w:hAnsi="Calibri" w:cs="Calibri"/>
          <w:color w:val="404040" w:themeColor="text1" w:themeTint="BF"/>
        </w:rPr>
        <w:t xml:space="preserve">the BLP value fund series has limited capacity. </w:t>
      </w:r>
    </w:p>
    <w:p w14:paraId="761A38ED" w14:textId="1C158996" w:rsidR="00D81405" w:rsidRDefault="00026CA9" w:rsidP="00A91DCC">
      <w:pPr>
        <w:pStyle w:val="NoSpacing"/>
        <w:numPr>
          <w:ilvl w:val="0"/>
          <w:numId w:val="20"/>
        </w:numPr>
        <w:tabs>
          <w:tab w:val="left" w:pos="720"/>
        </w:tabs>
        <w:jc w:val="both"/>
        <w:rPr>
          <w:rFonts w:ascii="Calibri" w:hAnsi="Calibri" w:cs="Calibri"/>
          <w:color w:val="404040" w:themeColor="text1" w:themeTint="BF"/>
        </w:rPr>
      </w:pPr>
      <w:r>
        <w:rPr>
          <w:rFonts w:ascii="Calibri" w:hAnsi="Calibri" w:cs="Calibri"/>
          <w:color w:val="404040" w:themeColor="text1" w:themeTint="BF"/>
        </w:rPr>
        <w:t xml:space="preserve">The Fund will target </w:t>
      </w:r>
      <w:r w:rsidR="005E314A">
        <w:rPr>
          <w:rFonts w:ascii="Calibri" w:hAnsi="Calibri" w:cs="Calibri"/>
          <w:color w:val="404040" w:themeColor="text1" w:themeTint="BF"/>
        </w:rPr>
        <w:t xml:space="preserve">development opportunities where assets can be delivered with stabilized yield-on-cost of </w:t>
      </w:r>
      <w:r w:rsidR="00503AA8">
        <w:rPr>
          <w:rFonts w:ascii="Calibri" w:hAnsi="Calibri" w:cs="Calibri"/>
          <w:color w:val="404040" w:themeColor="text1" w:themeTint="BF"/>
        </w:rPr>
        <w:t>75-150</w:t>
      </w:r>
      <w:r w:rsidR="005E314A" w:rsidRPr="00711691">
        <w:rPr>
          <w:rFonts w:ascii="Calibri" w:hAnsi="Calibri" w:cs="Calibri"/>
          <w:color w:val="404040" w:themeColor="text1" w:themeTint="BF"/>
        </w:rPr>
        <w:t xml:space="preserve"> basis points above</w:t>
      </w:r>
      <w:r w:rsidR="005E314A">
        <w:rPr>
          <w:rFonts w:ascii="Calibri" w:hAnsi="Calibri" w:cs="Calibri"/>
          <w:color w:val="404040" w:themeColor="text1" w:themeTint="BF"/>
        </w:rPr>
        <w:t xml:space="preserve"> </w:t>
      </w:r>
      <w:r w:rsidR="0068130B">
        <w:rPr>
          <w:rFonts w:ascii="Calibri" w:hAnsi="Calibri" w:cs="Calibri"/>
          <w:color w:val="404040" w:themeColor="text1" w:themeTint="BF"/>
        </w:rPr>
        <w:t xml:space="preserve">prevailing spot cap rates. </w:t>
      </w:r>
    </w:p>
    <w:p w14:paraId="470BE659" w14:textId="6276B169" w:rsidR="00827B9F" w:rsidRDefault="00827B9F" w:rsidP="00A91DCC">
      <w:pPr>
        <w:pStyle w:val="NoSpacing"/>
        <w:numPr>
          <w:ilvl w:val="1"/>
          <w:numId w:val="20"/>
        </w:numPr>
        <w:tabs>
          <w:tab w:val="left" w:pos="720"/>
        </w:tabs>
        <w:jc w:val="both"/>
        <w:rPr>
          <w:rFonts w:ascii="Calibri" w:hAnsi="Calibri" w:cs="Calibri"/>
          <w:color w:val="404040" w:themeColor="text1" w:themeTint="BF"/>
        </w:rPr>
      </w:pPr>
      <w:r>
        <w:rPr>
          <w:rFonts w:ascii="Calibri" w:hAnsi="Calibri" w:cs="Calibri"/>
          <w:color w:val="404040" w:themeColor="text1" w:themeTint="BF"/>
        </w:rPr>
        <w:t xml:space="preserve">Current stabilized yields are being underwritten from </w:t>
      </w:r>
      <w:r w:rsidR="00AA5326">
        <w:rPr>
          <w:rFonts w:ascii="Calibri" w:hAnsi="Calibri" w:cs="Calibri"/>
          <w:color w:val="404040" w:themeColor="text1" w:themeTint="BF"/>
        </w:rPr>
        <w:t>7% to 10% depending on market.</w:t>
      </w:r>
    </w:p>
    <w:p w14:paraId="33D55519" w14:textId="7B59BEF2" w:rsidR="00AA5326" w:rsidRDefault="00AA5326" w:rsidP="00A91DCC">
      <w:pPr>
        <w:pStyle w:val="NoSpacing"/>
        <w:numPr>
          <w:ilvl w:val="1"/>
          <w:numId w:val="20"/>
        </w:numPr>
        <w:tabs>
          <w:tab w:val="left" w:pos="720"/>
        </w:tabs>
        <w:jc w:val="both"/>
        <w:rPr>
          <w:rFonts w:ascii="Calibri" w:hAnsi="Calibri" w:cs="Calibri"/>
          <w:color w:val="404040" w:themeColor="text1" w:themeTint="BF"/>
        </w:rPr>
      </w:pPr>
      <w:r>
        <w:rPr>
          <w:rFonts w:ascii="Calibri" w:hAnsi="Calibri" w:cs="Calibri"/>
          <w:color w:val="404040" w:themeColor="text1" w:themeTint="BF"/>
        </w:rPr>
        <w:t xml:space="preserve">Exit cap rate assumptions are generally </w:t>
      </w:r>
      <w:r w:rsidR="008B5A7C">
        <w:rPr>
          <w:rFonts w:ascii="Calibri" w:hAnsi="Calibri" w:cs="Calibri"/>
          <w:color w:val="404040" w:themeColor="text1" w:themeTint="BF"/>
        </w:rPr>
        <w:t xml:space="preserve">in the </w:t>
      </w:r>
      <w:r w:rsidR="00450E3A">
        <w:rPr>
          <w:rFonts w:ascii="Calibri" w:hAnsi="Calibri" w:cs="Calibri"/>
          <w:color w:val="404040" w:themeColor="text1" w:themeTint="BF"/>
        </w:rPr>
        <w:t xml:space="preserve">high 5% to </w:t>
      </w:r>
      <w:r w:rsidR="002B48FC">
        <w:rPr>
          <w:rFonts w:ascii="Calibri" w:hAnsi="Calibri" w:cs="Calibri"/>
          <w:color w:val="404040" w:themeColor="text1" w:themeTint="BF"/>
        </w:rPr>
        <w:t>6% range.</w:t>
      </w:r>
      <w:r w:rsidR="008B5A7C">
        <w:rPr>
          <w:rFonts w:ascii="Calibri" w:hAnsi="Calibri" w:cs="Calibri"/>
          <w:color w:val="404040" w:themeColor="text1" w:themeTint="BF"/>
        </w:rPr>
        <w:t xml:space="preserve"> </w:t>
      </w:r>
    </w:p>
    <w:p w14:paraId="7F75092B" w14:textId="520DB249" w:rsidR="0068130B" w:rsidRDefault="007801B2" w:rsidP="00A91DCC">
      <w:pPr>
        <w:pStyle w:val="NoSpacing"/>
        <w:numPr>
          <w:ilvl w:val="0"/>
          <w:numId w:val="20"/>
        </w:numPr>
        <w:tabs>
          <w:tab w:val="left" w:pos="720"/>
        </w:tabs>
        <w:jc w:val="both"/>
        <w:rPr>
          <w:rFonts w:ascii="Calibri" w:hAnsi="Calibri" w:cs="Calibri"/>
          <w:color w:val="404040" w:themeColor="text1" w:themeTint="BF"/>
        </w:rPr>
      </w:pPr>
      <w:r>
        <w:rPr>
          <w:rFonts w:ascii="Calibri" w:hAnsi="Calibri" w:cs="Calibri"/>
          <w:color w:val="404040" w:themeColor="text1" w:themeTint="BF"/>
        </w:rPr>
        <w:t xml:space="preserve">Development timelines vary but </w:t>
      </w:r>
      <w:r w:rsidR="0044004F">
        <w:rPr>
          <w:rFonts w:ascii="Calibri" w:hAnsi="Calibri" w:cs="Calibri"/>
          <w:color w:val="404040" w:themeColor="text1" w:themeTint="BF"/>
        </w:rPr>
        <w:t>ranges can be generalized as follows</w:t>
      </w:r>
      <w:r w:rsidR="008D2CC0">
        <w:rPr>
          <w:rFonts w:ascii="Calibri" w:hAnsi="Calibri" w:cs="Calibri"/>
          <w:color w:val="404040" w:themeColor="text1" w:themeTint="BF"/>
        </w:rPr>
        <w:t xml:space="preserve">, </w:t>
      </w:r>
      <w:r w:rsidR="00327661">
        <w:rPr>
          <w:rFonts w:ascii="Calibri" w:hAnsi="Calibri" w:cs="Calibri"/>
          <w:color w:val="404040" w:themeColor="text1" w:themeTint="BF"/>
        </w:rPr>
        <w:t xml:space="preserve">with partially overlapping phases pursuant to a </w:t>
      </w:r>
      <w:r w:rsidR="00686DDB">
        <w:rPr>
          <w:rFonts w:ascii="Calibri" w:hAnsi="Calibri" w:cs="Calibri"/>
          <w:color w:val="404040" w:themeColor="text1" w:themeTint="BF"/>
        </w:rPr>
        <w:t>3</w:t>
      </w:r>
      <w:r w:rsidR="0018577D">
        <w:rPr>
          <w:rFonts w:ascii="Calibri" w:hAnsi="Calibri" w:cs="Calibri"/>
          <w:color w:val="404040" w:themeColor="text1" w:themeTint="BF"/>
        </w:rPr>
        <w:t>–5-year</w:t>
      </w:r>
      <w:r w:rsidR="00327661">
        <w:rPr>
          <w:rFonts w:ascii="Calibri" w:hAnsi="Calibri" w:cs="Calibri"/>
          <w:color w:val="404040" w:themeColor="text1" w:themeTint="BF"/>
        </w:rPr>
        <w:t xml:space="preserve"> underwritten hold</w:t>
      </w:r>
      <w:r w:rsidR="00686DDB">
        <w:rPr>
          <w:rFonts w:ascii="Calibri" w:hAnsi="Calibri" w:cs="Calibri"/>
          <w:color w:val="404040" w:themeColor="text1" w:themeTint="BF"/>
        </w:rPr>
        <w:t xml:space="preserve"> to stabilization</w:t>
      </w:r>
      <w:r w:rsidR="00327661">
        <w:rPr>
          <w:rFonts w:ascii="Calibri" w:hAnsi="Calibri" w:cs="Calibri"/>
          <w:color w:val="404040" w:themeColor="text1" w:themeTint="BF"/>
        </w:rPr>
        <w:t xml:space="preserve"> on most prospective investments: </w:t>
      </w:r>
    </w:p>
    <w:p w14:paraId="75AC9B04" w14:textId="66D5ECE6" w:rsidR="0044004F" w:rsidRDefault="00A52527" w:rsidP="00A91DCC">
      <w:pPr>
        <w:pStyle w:val="NoSpacing"/>
        <w:numPr>
          <w:ilvl w:val="1"/>
          <w:numId w:val="20"/>
        </w:numPr>
        <w:tabs>
          <w:tab w:val="left" w:pos="720"/>
        </w:tabs>
        <w:jc w:val="both"/>
        <w:rPr>
          <w:rFonts w:ascii="Calibri" w:hAnsi="Calibri" w:cs="Calibri"/>
          <w:color w:val="404040" w:themeColor="text1" w:themeTint="BF"/>
        </w:rPr>
      </w:pPr>
      <w:r>
        <w:rPr>
          <w:rFonts w:ascii="Calibri" w:hAnsi="Calibri" w:cs="Calibri"/>
          <w:color w:val="404040" w:themeColor="text1" w:themeTint="BF"/>
        </w:rPr>
        <w:t>3–9-month</w:t>
      </w:r>
      <w:r w:rsidR="0044004F">
        <w:rPr>
          <w:rFonts w:ascii="Calibri" w:hAnsi="Calibri" w:cs="Calibri"/>
          <w:color w:val="404040" w:themeColor="text1" w:themeTint="BF"/>
        </w:rPr>
        <w:t xml:space="preserve"> sourcing and diligence period</w:t>
      </w:r>
      <w:r w:rsidR="006D70AF">
        <w:rPr>
          <w:rFonts w:ascii="Calibri" w:hAnsi="Calibri" w:cs="Calibri"/>
          <w:color w:val="404040" w:themeColor="text1" w:themeTint="BF"/>
        </w:rPr>
        <w:t xml:space="preserve"> (often predates the Fund’s involvement)</w:t>
      </w:r>
    </w:p>
    <w:p w14:paraId="350B20A9" w14:textId="1309837D" w:rsidR="006D70AF" w:rsidRDefault="00A52527" w:rsidP="00A91DCC">
      <w:pPr>
        <w:pStyle w:val="NoSpacing"/>
        <w:numPr>
          <w:ilvl w:val="1"/>
          <w:numId w:val="20"/>
        </w:numPr>
        <w:tabs>
          <w:tab w:val="left" w:pos="720"/>
        </w:tabs>
        <w:jc w:val="both"/>
        <w:rPr>
          <w:rFonts w:ascii="Calibri" w:hAnsi="Calibri" w:cs="Calibri"/>
          <w:color w:val="404040" w:themeColor="text1" w:themeTint="BF"/>
        </w:rPr>
      </w:pPr>
      <w:r>
        <w:rPr>
          <w:rFonts w:ascii="Calibri" w:hAnsi="Calibri" w:cs="Calibri"/>
          <w:color w:val="404040" w:themeColor="text1" w:themeTint="BF"/>
        </w:rPr>
        <w:t>6–12-month</w:t>
      </w:r>
      <w:r w:rsidR="006D70AF">
        <w:rPr>
          <w:rFonts w:ascii="Calibri" w:hAnsi="Calibri" w:cs="Calibri"/>
          <w:color w:val="404040" w:themeColor="text1" w:themeTint="BF"/>
        </w:rPr>
        <w:t xml:space="preserve"> entitlement period as necessary</w:t>
      </w:r>
    </w:p>
    <w:p w14:paraId="32598408" w14:textId="0305DF44" w:rsidR="001924EC" w:rsidRDefault="00A52527" w:rsidP="00A91DCC">
      <w:pPr>
        <w:pStyle w:val="NoSpacing"/>
        <w:numPr>
          <w:ilvl w:val="1"/>
          <w:numId w:val="20"/>
        </w:numPr>
        <w:tabs>
          <w:tab w:val="left" w:pos="720"/>
        </w:tabs>
        <w:jc w:val="both"/>
        <w:rPr>
          <w:rFonts w:ascii="Calibri" w:hAnsi="Calibri" w:cs="Calibri"/>
          <w:color w:val="404040" w:themeColor="text1" w:themeTint="BF"/>
        </w:rPr>
      </w:pPr>
      <w:r>
        <w:rPr>
          <w:rFonts w:ascii="Calibri" w:hAnsi="Calibri" w:cs="Calibri"/>
          <w:color w:val="404040" w:themeColor="text1" w:themeTint="BF"/>
        </w:rPr>
        <w:t>10–12-month</w:t>
      </w:r>
      <w:r w:rsidR="001924EC">
        <w:rPr>
          <w:rFonts w:ascii="Calibri" w:hAnsi="Calibri" w:cs="Calibri"/>
          <w:color w:val="404040" w:themeColor="text1" w:themeTint="BF"/>
        </w:rPr>
        <w:t xml:space="preserve"> vertical construction</w:t>
      </w:r>
      <w:r w:rsidR="002F7903">
        <w:rPr>
          <w:rFonts w:ascii="Calibri" w:hAnsi="Calibri" w:cs="Calibri"/>
          <w:color w:val="404040" w:themeColor="text1" w:themeTint="BF"/>
        </w:rPr>
        <w:t xml:space="preserve"> period</w:t>
      </w:r>
    </w:p>
    <w:p w14:paraId="732263DF" w14:textId="6E974B87" w:rsidR="0018577D" w:rsidRPr="007801B2" w:rsidRDefault="00F5667D" w:rsidP="00A91DCC">
      <w:pPr>
        <w:pStyle w:val="NoSpacing"/>
        <w:numPr>
          <w:ilvl w:val="1"/>
          <w:numId w:val="20"/>
        </w:numPr>
        <w:tabs>
          <w:tab w:val="left" w:pos="720"/>
        </w:tabs>
        <w:jc w:val="both"/>
        <w:rPr>
          <w:rFonts w:ascii="Calibri" w:hAnsi="Calibri" w:cs="Calibri"/>
          <w:color w:val="404040" w:themeColor="text1" w:themeTint="BF"/>
        </w:rPr>
      </w:pPr>
      <w:proofErr w:type="gramStart"/>
      <w:r>
        <w:rPr>
          <w:rFonts w:ascii="Calibri" w:hAnsi="Calibri" w:cs="Calibri"/>
          <w:color w:val="404040" w:themeColor="text1" w:themeTint="BF"/>
        </w:rPr>
        <w:t>Plus</w:t>
      </w:r>
      <w:proofErr w:type="gramEnd"/>
      <w:r>
        <w:rPr>
          <w:rFonts w:ascii="Calibri" w:hAnsi="Calibri" w:cs="Calibri"/>
          <w:color w:val="404040" w:themeColor="text1" w:themeTint="BF"/>
        </w:rPr>
        <w:t xml:space="preserve"> additional 10-12 month </w:t>
      </w:r>
      <w:r w:rsidR="00A10C4F">
        <w:rPr>
          <w:rFonts w:ascii="Calibri" w:hAnsi="Calibri" w:cs="Calibri"/>
          <w:color w:val="404040" w:themeColor="text1" w:themeTint="BF"/>
        </w:rPr>
        <w:t>vertical phases</w:t>
      </w:r>
    </w:p>
    <w:p w14:paraId="0CBE246B" w14:textId="77777777" w:rsidR="00C330BA" w:rsidRPr="002A57E0" w:rsidRDefault="00C330BA" w:rsidP="00712286">
      <w:pPr>
        <w:pStyle w:val="NoSpacing"/>
        <w:tabs>
          <w:tab w:val="left" w:pos="720"/>
        </w:tabs>
        <w:jc w:val="both"/>
        <w:rPr>
          <w:rFonts w:ascii="Calibri" w:hAnsi="Calibri" w:cs="Calibri"/>
          <w:color w:val="404040" w:themeColor="text1" w:themeTint="BF"/>
        </w:rPr>
      </w:pPr>
    </w:p>
    <w:bookmarkStart w:id="15" w:name="_Toc179797282"/>
    <w:p w14:paraId="2EF4B55A" w14:textId="02A5D941" w:rsidR="008E0644" w:rsidRPr="0034419C" w:rsidRDefault="008E0644" w:rsidP="008E0644">
      <w:pPr>
        <w:pStyle w:val="Heading2"/>
        <w:rPr>
          <w:color w:val="8CA4A4" w:themeColor="accent5"/>
          <w:sz w:val="22"/>
          <w:szCs w:val="22"/>
        </w:rPr>
      </w:pPr>
      <w:r w:rsidRPr="00FB682D">
        <w:rPr>
          <w:noProof/>
          <w:szCs w:val="22"/>
          <w:highlight w:val="cyan"/>
        </w:rPr>
        <mc:AlternateContent>
          <mc:Choice Requires="wps">
            <w:drawing>
              <wp:anchor distT="0" distB="0" distL="114300" distR="114300" simplePos="0" relativeHeight="251665408" behindDoc="0" locked="0" layoutInCell="1" allowOverlap="1" wp14:anchorId="34524F58" wp14:editId="54BAAA86">
                <wp:simplePos x="0" y="0"/>
                <wp:positionH relativeFrom="margin">
                  <wp:posOffset>-12700</wp:posOffset>
                </wp:positionH>
                <wp:positionV relativeFrom="paragraph">
                  <wp:posOffset>161290</wp:posOffset>
                </wp:positionV>
                <wp:extent cx="6492240" cy="0"/>
                <wp:effectExtent l="0" t="0" r="0" b="0"/>
                <wp:wrapNone/>
                <wp:docPr id="8"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2240" cy="0"/>
                        </a:xfrm>
                        <a:prstGeom prst="straightConnector1">
                          <a:avLst/>
                        </a:prstGeom>
                        <a:noFill/>
                        <a:ln w="9525">
                          <a:solidFill>
                            <a:schemeClr val="tx1">
                              <a:lumMod val="75000"/>
                              <a:lumOff val="2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13A10A" id="AutoShape 5" o:spid="_x0000_s1026" type="#_x0000_t32" style="position:absolute;margin-left:-1pt;margin-top:12.7pt;width:511.2pt;height:0;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0M10AEAAJADAAAOAAAAZHJzL2Uyb0RvYy54bWysU01v2zAMvQ/YfxB0X+wYTbcacXpI1126&#10;LUC7H8DIsi1MFgVJiZ1/P0qOva9b0Ysgkebj4+Pz9n7sNTtL5xWaiq9XOWfSCKyVaSv+4+XxwyfO&#10;fABTg0YjK36Rnt/v3r/bDraUBXaoa+kYgRhfDrbiXQi2zDIvOtmDX6GVhpINuh4CPV2b1Q4GQu91&#10;VuT5bTagq61DIb2n6MOU5LuE3zRShO9N42VguuLELaTTpfMYz2y3hbJ1YDslrjTgFSx6UIaaLlAP&#10;EICdnPoPqlfCoccmrAT2GTaNEjLNQNOs83+mee7AyjQLiePtIpN/O1jx7bw3Bxepi9E82ycUPz0z&#10;uO/AtDIReLlYWtw6SpUN1pdLSXx4e3DsOHzFmr6BU8Ckwti4PkLSfGxMYl8WseUYmKDg7c1dUdzQ&#10;TsScy6CcC63z4YvEnsVLxX1woNou7NEYWim6dWoD5ycfIi0o54LY1eCj0jptVhs2VPxuU2xSgUet&#10;6piMnyWPyb127AzkjjBOoPrU0zRT7OMmz68eoTA5aQoXc5gaLyiJxl8NHJ5MnWh0EurP13sApac7&#10;VWtzFTXqGE3ryyPWl4Obxaa1J+CrRaOv/nyn6t8/0u4XAAAA//8DAFBLAwQUAAYACAAAACEAdUlA&#10;sdwAAAAJAQAADwAAAGRycy9kb3ducmV2LnhtbEyPQUvEMBCF74L/IYzgRXYTi6trbbqIIHoS3BW9&#10;ps3YFpNJSbLd+u+dxYPeZuY93nyv2szeiQljGgJpuFwqEEhtsAN1Gt52j4s1iJQNWeMCoYZvTLCp&#10;T08qU9pwoFectrkTHEKpNBr6nMdSytT26E1ahhGJtc8Qvcm8xk7aaA4c7p0slLqW3gzEH3oz4kOP&#10;7dd27zVcrOPsnpub3XsTs/LT6uPl6Za0Pj+b7+9AZJzznxmO+IwONTM1YU82CadhUXCVrKFYXYE4&#10;6qpQPDW/F1lX8n+D+gcAAP//AwBQSwECLQAUAAYACAAAACEAtoM4kv4AAADhAQAAEwAAAAAAAAAA&#10;AAAAAAAAAAAAW0NvbnRlbnRfVHlwZXNdLnhtbFBLAQItABQABgAIAAAAIQA4/SH/1gAAAJQBAAAL&#10;AAAAAAAAAAAAAAAAAC8BAABfcmVscy8ucmVsc1BLAQItABQABgAIAAAAIQBj90M10AEAAJADAAAO&#10;AAAAAAAAAAAAAAAAAC4CAABkcnMvZTJvRG9jLnhtbFBLAQItABQABgAIAAAAIQB1SUCx3AAAAAkB&#10;AAAPAAAAAAAAAAAAAAAAACoEAABkcnMvZG93bnJldi54bWxQSwUGAAAAAAQABADzAAAAMwUAAAAA&#10;" strokecolor="#404040 [2429]">
                <w10:wrap anchorx="margin"/>
              </v:shape>
            </w:pict>
          </mc:Fallback>
        </mc:AlternateContent>
      </w:r>
      <w:r w:rsidR="00A056A8" w:rsidRPr="00FB682D">
        <w:rPr>
          <w:color w:val="8CA4A4" w:themeColor="accent5"/>
          <w:sz w:val="22"/>
          <w:szCs w:val="22"/>
          <w:highlight w:val="cyan"/>
        </w:rPr>
        <w:t>Pipeline</w:t>
      </w:r>
      <w:bookmarkEnd w:id="15"/>
    </w:p>
    <w:p w14:paraId="07DDB8C1" w14:textId="61EF264F" w:rsidR="00CF04CF" w:rsidRPr="00922CC7" w:rsidRDefault="00A641AC" w:rsidP="00A91DCC">
      <w:pPr>
        <w:pStyle w:val="NoSpacing"/>
        <w:numPr>
          <w:ilvl w:val="0"/>
          <w:numId w:val="27"/>
        </w:numPr>
        <w:tabs>
          <w:tab w:val="left" w:pos="720"/>
        </w:tabs>
        <w:jc w:val="both"/>
        <w:rPr>
          <w:color w:val="404040" w:themeColor="text1" w:themeTint="BF"/>
          <w:kern w:val="28"/>
        </w:rPr>
      </w:pPr>
      <w:r>
        <w:rPr>
          <w:color w:val="404040" w:themeColor="text1" w:themeTint="BF"/>
          <w:kern w:val="28"/>
        </w:rPr>
        <w:t xml:space="preserve">Bridge has identified several </w:t>
      </w:r>
      <w:r w:rsidR="00ED072B">
        <w:rPr>
          <w:color w:val="404040" w:themeColor="text1" w:themeTint="BF"/>
          <w:kern w:val="28"/>
        </w:rPr>
        <w:t>near-term</w:t>
      </w:r>
      <w:r>
        <w:rPr>
          <w:color w:val="404040" w:themeColor="text1" w:themeTint="BF"/>
          <w:kern w:val="28"/>
        </w:rPr>
        <w:t xml:space="preserve"> </w:t>
      </w:r>
      <w:r w:rsidR="001D2AD5">
        <w:rPr>
          <w:color w:val="404040" w:themeColor="text1" w:themeTint="BF"/>
          <w:kern w:val="28"/>
        </w:rPr>
        <w:t xml:space="preserve">development opportunities fitting the fund’s investment profile that may </w:t>
      </w:r>
      <w:r w:rsidR="00042B97">
        <w:rPr>
          <w:color w:val="404040" w:themeColor="text1" w:themeTint="BF"/>
          <w:kern w:val="28"/>
        </w:rPr>
        <w:t>represent</w:t>
      </w:r>
      <w:r w:rsidR="001D2AD5">
        <w:rPr>
          <w:color w:val="404040" w:themeColor="text1" w:themeTint="BF"/>
          <w:kern w:val="28"/>
        </w:rPr>
        <w:t xml:space="preserve"> initial opportunities shown to </w:t>
      </w:r>
      <w:r w:rsidR="007735FB">
        <w:rPr>
          <w:color w:val="404040" w:themeColor="text1" w:themeTint="BF"/>
          <w:kern w:val="28"/>
        </w:rPr>
        <w:t xml:space="preserve">NYSCRF. These are summarized in </w:t>
      </w:r>
      <w:r w:rsidR="007735FB" w:rsidRPr="007735FB">
        <w:rPr>
          <w:b/>
          <w:bCs/>
          <w:color w:val="404040" w:themeColor="text1" w:themeTint="BF"/>
          <w:kern w:val="28"/>
        </w:rPr>
        <w:t>Exhibit A.</w:t>
      </w:r>
    </w:p>
    <w:p w14:paraId="6749E959" w14:textId="59A8B7BA" w:rsidR="00922CC7" w:rsidRDefault="008F4C89" w:rsidP="00A91DCC">
      <w:pPr>
        <w:pStyle w:val="NoSpacing"/>
        <w:numPr>
          <w:ilvl w:val="0"/>
          <w:numId w:val="27"/>
        </w:numPr>
        <w:tabs>
          <w:tab w:val="left" w:pos="720"/>
        </w:tabs>
        <w:jc w:val="both"/>
        <w:rPr>
          <w:color w:val="404040" w:themeColor="text1" w:themeTint="BF"/>
          <w:kern w:val="28"/>
        </w:rPr>
      </w:pPr>
      <w:r>
        <w:rPr>
          <w:color w:val="404040" w:themeColor="text1" w:themeTint="BF"/>
          <w:kern w:val="28"/>
        </w:rPr>
        <w:t>A broader summary of all development activity in diligence across the platform is also included.</w:t>
      </w:r>
    </w:p>
    <w:p w14:paraId="1AEE807D" w14:textId="77777777" w:rsidR="005E20FA" w:rsidRPr="00092546" w:rsidRDefault="005E20FA" w:rsidP="008954C1">
      <w:pPr>
        <w:pStyle w:val="NoSpacing"/>
        <w:tabs>
          <w:tab w:val="left" w:pos="720"/>
        </w:tabs>
        <w:jc w:val="both"/>
        <w:rPr>
          <w:color w:val="404040" w:themeColor="text1" w:themeTint="BF"/>
          <w:kern w:val="28"/>
        </w:rPr>
      </w:pPr>
    </w:p>
    <w:bookmarkStart w:id="16" w:name="_Hlk52970590"/>
    <w:bookmarkStart w:id="17" w:name="_Toc179797283"/>
    <w:p w14:paraId="142983D7" w14:textId="77777777" w:rsidR="00FE4158" w:rsidRPr="00092546" w:rsidRDefault="009224EF" w:rsidP="0094541E">
      <w:pPr>
        <w:pStyle w:val="Heading2"/>
        <w:rPr>
          <w:color w:val="8CA4A4" w:themeColor="accent5"/>
          <w:sz w:val="22"/>
          <w:szCs w:val="22"/>
        </w:rPr>
      </w:pPr>
      <w:r w:rsidRPr="00FB682D">
        <w:rPr>
          <w:noProof/>
          <w:szCs w:val="22"/>
          <w:highlight w:val="cyan"/>
        </w:rPr>
        <mc:AlternateContent>
          <mc:Choice Requires="wps">
            <w:drawing>
              <wp:anchor distT="0" distB="0" distL="114300" distR="114300" simplePos="0" relativeHeight="251644928" behindDoc="0" locked="0" layoutInCell="1" allowOverlap="1" wp14:anchorId="182CC26E" wp14:editId="082BB115">
                <wp:simplePos x="0" y="0"/>
                <wp:positionH relativeFrom="margin">
                  <wp:posOffset>-12700</wp:posOffset>
                </wp:positionH>
                <wp:positionV relativeFrom="paragraph">
                  <wp:posOffset>161290</wp:posOffset>
                </wp:positionV>
                <wp:extent cx="6492240" cy="0"/>
                <wp:effectExtent l="0" t="0" r="0" b="0"/>
                <wp:wrapNone/>
                <wp:docPr id="28"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2240" cy="0"/>
                        </a:xfrm>
                        <a:prstGeom prst="straightConnector1">
                          <a:avLst/>
                        </a:prstGeom>
                        <a:noFill/>
                        <a:ln w="9525">
                          <a:solidFill>
                            <a:schemeClr val="tx1">
                              <a:lumMod val="75000"/>
                              <a:lumOff val="2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380708" id="AutoShape 5" o:spid="_x0000_s1026" type="#_x0000_t32" style="position:absolute;margin-left:-1pt;margin-top:12.7pt;width:511.2pt;height:0;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0M10AEAAJADAAAOAAAAZHJzL2Uyb0RvYy54bWysU01v2zAMvQ/YfxB0X+wYTbcacXpI1126&#10;LUC7H8DIsi1MFgVJiZ1/P0qOva9b0Ysgkebj4+Pz9n7sNTtL5xWaiq9XOWfSCKyVaSv+4+XxwyfO&#10;fABTg0YjK36Rnt/v3r/bDraUBXaoa+kYgRhfDrbiXQi2zDIvOtmDX6GVhpINuh4CPV2b1Q4GQu91&#10;VuT5bTagq61DIb2n6MOU5LuE3zRShO9N42VguuLELaTTpfMYz2y3hbJ1YDslrjTgFSx6UIaaLlAP&#10;EICdnPoPqlfCoccmrAT2GTaNEjLNQNOs83+mee7AyjQLiePtIpN/O1jx7bw3Bxepi9E82ycUPz0z&#10;uO/AtDIReLlYWtw6SpUN1pdLSXx4e3DsOHzFmr6BU8Ckwti4PkLSfGxMYl8WseUYmKDg7c1dUdzQ&#10;TsScy6CcC63z4YvEnsVLxX1woNou7NEYWim6dWoD5ycfIi0o54LY1eCj0jptVhs2VPxuU2xSgUet&#10;6piMnyWPyb127AzkjjBOoPrU0zRT7OMmz68eoTA5aQoXc5gaLyiJxl8NHJ5MnWh0EurP13sApac7&#10;VWtzFTXqGE3ryyPWl4Obxaa1J+CrRaOv/nyn6t8/0u4XAAAA//8DAFBLAwQUAAYACAAAACEAdUlA&#10;sdwAAAAJAQAADwAAAGRycy9kb3ducmV2LnhtbEyPQUvEMBCF74L/IYzgRXYTi6trbbqIIHoS3BW9&#10;ps3YFpNJSbLd+u+dxYPeZuY93nyv2szeiQljGgJpuFwqEEhtsAN1Gt52j4s1iJQNWeMCoYZvTLCp&#10;T08qU9pwoFectrkTHEKpNBr6nMdSytT26E1ahhGJtc8Qvcm8xk7aaA4c7p0slLqW3gzEH3oz4kOP&#10;7dd27zVcrOPsnpub3XsTs/LT6uPl6Za0Pj+b7+9AZJzznxmO+IwONTM1YU82CadhUXCVrKFYXYE4&#10;6qpQPDW/F1lX8n+D+gcAAP//AwBQSwECLQAUAAYACAAAACEAtoM4kv4AAADhAQAAEwAAAAAAAAAA&#10;AAAAAAAAAAAAW0NvbnRlbnRfVHlwZXNdLnhtbFBLAQItABQABgAIAAAAIQA4/SH/1gAAAJQBAAAL&#10;AAAAAAAAAAAAAAAAAC8BAABfcmVscy8ucmVsc1BLAQItABQABgAIAAAAIQBj90M10AEAAJADAAAO&#10;AAAAAAAAAAAAAAAAAC4CAABkcnMvZTJvRG9jLnhtbFBLAQItABQABgAIAAAAIQB1SUCx3AAAAAkB&#10;AAAPAAAAAAAAAAAAAAAAACoEAABkcnMvZG93bnJldi54bWxQSwUGAAAAAAQABADzAAAAMwUAAAAA&#10;" strokecolor="#404040 [2429]">
                <w10:wrap anchorx="margin"/>
              </v:shape>
            </w:pict>
          </mc:Fallback>
        </mc:AlternateContent>
      </w:r>
      <w:r w:rsidRPr="00FB682D">
        <w:rPr>
          <w:color w:val="8CA4A4" w:themeColor="accent5"/>
          <w:sz w:val="22"/>
          <w:szCs w:val="22"/>
          <w:highlight w:val="cyan"/>
        </w:rPr>
        <w:t>Leverage</w:t>
      </w:r>
      <w:bookmarkEnd w:id="16"/>
      <w:bookmarkEnd w:id="17"/>
    </w:p>
    <w:p w14:paraId="06EE6530" w14:textId="7FCE5073" w:rsidR="00031F30" w:rsidRDefault="00BB7E69" w:rsidP="00A91DCC">
      <w:pPr>
        <w:pStyle w:val="ListParagraph"/>
        <w:numPr>
          <w:ilvl w:val="0"/>
          <w:numId w:val="19"/>
        </w:numPr>
        <w:jc w:val="both"/>
        <w:rPr>
          <w:rFonts w:eastAsiaTheme="minorHAnsi"/>
          <w:color w:val="404040" w:themeColor="text1" w:themeTint="BF"/>
          <w:szCs w:val="22"/>
        </w:rPr>
      </w:pPr>
      <w:bookmarkStart w:id="18" w:name="_Toc413830792"/>
      <w:bookmarkEnd w:id="14"/>
      <w:r>
        <w:rPr>
          <w:rFonts w:eastAsiaTheme="minorHAnsi"/>
          <w:color w:val="404040" w:themeColor="text1" w:themeTint="BF"/>
          <w:szCs w:val="22"/>
        </w:rPr>
        <w:t xml:space="preserve">Bridge will utilize non-recourse construction loans for each approved project at a loan-to-cost </w:t>
      </w:r>
      <w:r w:rsidR="007E32A5">
        <w:rPr>
          <w:rFonts w:eastAsiaTheme="minorHAnsi"/>
          <w:color w:val="404040" w:themeColor="text1" w:themeTint="BF"/>
          <w:szCs w:val="22"/>
        </w:rPr>
        <w:t xml:space="preserve">of 60% or on terms and conditions acceptable to NYSCRF. </w:t>
      </w:r>
      <w:r w:rsidR="000166C2">
        <w:rPr>
          <w:rFonts w:eastAsiaTheme="minorHAnsi"/>
          <w:color w:val="404040" w:themeColor="text1" w:themeTint="BF"/>
          <w:szCs w:val="22"/>
        </w:rPr>
        <w:t xml:space="preserve">It is expected that the Fund will provide completion guarantees and </w:t>
      </w:r>
      <w:r w:rsidR="009A23A4">
        <w:rPr>
          <w:rFonts w:eastAsiaTheme="minorHAnsi"/>
          <w:color w:val="404040" w:themeColor="text1" w:themeTint="BF"/>
          <w:szCs w:val="22"/>
        </w:rPr>
        <w:t xml:space="preserve">neither NYSCRF </w:t>
      </w:r>
      <w:proofErr w:type="gramStart"/>
      <w:r w:rsidR="009A23A4">
        <w:rPr>
          <w:rFonts w:eastAsiaTheme="minorHAnsi"/>
          <w:color w:val="404040" w:themeColor="text1" w:themeTint="BF"/>
          <w:szCs w:val="22"/>
        </w:rPr>
        <w:t>or</w:t>
      </w:r>
      <w:proofErr w:type="gramEnd"/>
      <w:r w:rsidR="009A23A4">
        <w:rPr>
          <w:rFonts w:eastAsiaTheme="minorHAnsi"/>
          <w:color w:val="404040" w:themeColor="text1" w:themeTint="BF"/>
          <w:szCs w:val="22"/>
        </w:rPr>
        <w:t xml:space="preserve"> BLP would provide any lender guarantees</w:t>
      </w:r>
      <w:r w:rsidR="00FD0D68">
        <w:rPr>
          <w:rStyle w:val="FootnoteReference"/>
          <w:rFonts w:eastAsiaTheme="minorHAnsi"/>
          <w:color w:val="404040" w:themeColor="text1" w:themeTint="BF"/>
          <w:szCs w:val="22"/>
        </w:rPr>
        <w:footnoteReference w:id="4"/>
      </w:r>
      <w:r w:rsidR="009A23A4">
        <w:rPr>
          <w:rFonts w:eastAsiaTheme="minorHAnsi"/>
          <w:color w:val="404040" w:themeColor="text1" w:themeTint="BF"/>
          <w:szCs w:val="22"/>
        </w:rPr>
        <w:t>.</w:t>
      </w:r>
    </w:p>
    <w:p w14:paraId="42F3BDFA" w14:textId="3B86114B" w:rsidR="009A23A4" w:rsidRDefault="00520042" w:rsidP="00A91DCC">
      <w:pPr>
        <w:pStyle w:val="ListParagraph"/>
        <w:numPr>
          <w:ilvl w:val="0"/>
          <w:numId w:val="19"/>
        </w:numPr>
        <w:jc w:val="both"/>
        <w:rPr>
          <w:rFonts w:eastAsiaTheme="minorHAnsi"/>
          <w:color w:val="404040" w:themeColor="text1" w:themeTint="BF"/>
          <w:szCs w:val="22"/>
        </w:rPr>
      </w:pPr>
      <w:r>
        <w:rPr>
          <w:rFonts w:eastAsiaTheme="minorHAnsi"/>
          <w:color w:val="404040" w:themeColor="text1" w:themeTint="BF"/>
          <w:szCs w:val="22"/>
        </w:rPr>
        <w:t xml:space="preserve">Upon stabilization, the </w:t>
      </w:r>
      <w:r w:rsidR="00163CF9">
        <w:rPr>
          <w:rFonts w:eastAsiaTheme="minorHAnsi"/>
          <w:color w:val="404040" w:themeColor="text1" w:themeTint="BF"/>
          <w:szCs w:val="22"/>
        </w:rPr>
        <w:t xml:space="preserve">Fund will obtain a non-recourse permanent loan for each project </w:t>
      </w:r>
      <w:r w:rsidR="006211D6">
        <w:rPr>
          <w:rFonts w:eastAsiaTheme="minorHAnsi"/>
          <w:color w:val="404040" w:themeColor="text1" w:themeTint="BF"/>
          <w:szCs w:val="22"/>
        </w:rPr>
        <w:t xml:space="preserve">with an LTV under 55%, targeting an aggregate portfolio LTV of </w:t>
      </w:r>
      <w:r w:rsidR="007F0419">
        <w:rPr>
          <w:rFonts w:eastAsiaTheme="minorHAnsi"/>
          <w:color w:val="404040" w:themeColor="text1" w:themeTint="BF"/>
          <w:szCs w:val="22"/>
        </w:rPr>
        <w:t>under 50%.</w:t>
      </w:r>
    </w:p>
    <w:p w14:paraId="6DB9FE43" w14:textId="1CA200EF" w:rsidR="00722543" w:rsidRPr="00092546" w:rsidRDefault="00722543" w:rsidP="00A91DCC">
      <w:pPr>
        <w:pStyle w:val="ListParagraph"/>
        <w:numPr>
          <w:ilvl w:val="0"/>
          <w:numId w:val="19"/>
        </w:numPr>
        <w:jc w:val="both"/>
        <w:rPr>
          <w:rFonts w:eastAsiaTheme="minorHAnsi"/>
          <w:color w:val="404040" w:themeColor="text1" w:themeTint="BF"/>
          <w:szCs w:val="22"/>
        </w:rPr>
      </w:pPr>
      <w:r>
        <w:rPr>
          <w:rFonts w:eastAsiaTheme="minorHAnsi"/>
          <w:color w:val="404040" w:themeColor="text1" w:themeTint="BF"/>
          <w:szCs w:val="22"/>
        </w:rPr>
        <w:t xml:space="preserve">The Fund model assumes construction financing at </w:t>
      </w:r>
      <w:r w:rsidR="00217C4A">
        <w:rPr>
          <w:rFonts w:eastAsiaTheme="minorHAnsi"/>
          <w:color w:val="404040" w:themeColor="text1" w:themeTint="BF"/>
          <w:szCs w:val="22"/>
        </w:rPr>
        <w:t>S+385</w:t>
      </w:r>
      <w:r w:rsidR="008E7D2F">
        <w:rPr>
          <w:rFonts w:eastAsiaTheme="minorHAnsi"/>
          <w:color w:val="404040" w:themeColor="text1" w:themeTint="BF"/>
          <w:szCs w:val="22"/>
        </w:rPr>
        <w:t xml:space="preserve"> </w:t>
      </w:r>
      <w:r w:rsidR="009F2861">
        <w:rPr>
          <w:rFonts w:eastAsiaTheme="minorHAnsi"/>
          <w:color w:val="404040" w:themeColor="text1" w:themeTint="BF"/>
          <w:szCs w:val="22"/>
        </w:rPr>
        <w:t xml:space="preserve">and 60% LTC. The refi assumption is 50% LTV at 200 bps over </w:t>
      </w:r>
      <w:r w:rsidR="00D57D2A">
        <w:rPr>
          <w:rFonts w:eastAsiaTheme="minorHAnsi"/>
          <w:color w:val="404040" w:themeColor="text1" w:themeTint="BF"/>
          <w:szCs w:val="22"/>
        </w:rPr>
        <w:t xml:space="preserve">estimated ten-year UST. </w:t>
      </w:r>
    </w:p>
    <w:p w14:paraId="2C416CA6" w14:textId="77777777" w:rsidR="00203A78" w:rsidRPr="007A20DD" w:rsidRDefault="00203A78" w:rsidP="002C25FF">
      <w:pPr>
        <w:jc w:val="both"/>
        <w:rPr>
          <w:rFonts w:eastAsiaTheme="minorHAnsi"/>
          <w:color w:val="404040" w:themeColor="text1" w:themeTint="BF"/>
          <w:szCs w:val="22"/>
          <w:highlight w:val="yellow"/>
        </w:rPr>
      </w:pPr>
    </w:p>
    <w:bookmarkStart w:id="19" w:name="_Toc179797284"/>
    <w:bookmarkEnd w:id="18"/>
    <w:p w14:paraId="24E6B6E4" w14:textId="6F081F45" w:rsidR="006F71ED" w:rsidRPr="006F6E12" w:rsidRDefault="006F71ED" w:rsidP="006F71ED">
      <w:pPr>
        <w:pStyle w:val="Heading2"/>
        <w:rPr>
          <w:color w:val="8CA4A4" w:themeColor="accent5"/>
          <w:sz w:val="22"/>
          <w:szCs w:val="22"/>
        </w:rPr>
      </w:pPr>
      <w:r w:rsidRPr="00FB682D">
        <w:rPr>
          <w:noProof/>
          <w:szCs w:val="22"/>
          <w:highlight w:val="cyan"/>
        </w:rPr>
        <mc:AlternateContent>
          <mc:Choice Requires="wps">
            <w:drawing>
              <wp:anchor distT="0" distB="0" distL="114300" distR="114300" simplePos="0" relativeHeight="251646976" behindDoc="0" locked="0" layoutInCell="1" allowOverlap="1" wp14:anchorId="0F35322C" wp14:editId="06D276AA">
                <wp:simplePos x="0" y="0"/>
                <wp:positionH relativeFrom="margin">
                  <wp:posOffset>-12700</wp:posOffset>
                </wp:positionH>
                <wp:positionV relativeFrom="paragraph">
                  <wp:posOffset>163407</wp:posOffset>
                </wp:positionV>
                <wp:extent cx="6492240" cy="0"/>
                <wp:effectExtent l="0" t="0" r="0" b="0"/>
                <wp:wrapNone/>
                <wp:docPr id="58"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2240" cy="0"/>
                        </a:xfrm>
                        <a:prstGeom prst="straightConnector1">
                          <a:avLst/>
                        </a:prstGeom>
                        <a:noFill/>
                        <a:ln w="9525">
                          <a:solidFill>
                            <a:schemeClr val="tx1">
                              <a:lumMod val="75000"/>
                              <a:lumOff val="2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81A681" id="AutoShape 5" o:spid="_x0000_s1026" type="#_x0000_t32" style="position:absolute;margin-left:-1pt;margin-top:12.85pt;width:511.2pt;height:0;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0M10AEAAJADAAAOAAAAZHJzL2Uyb0RvYy54bWysU01v2zAMvQ/YfxB0X+wYTbcacXpI1126&#10;LUC7H8DIsi1MFgVJiZ1/P0qOva9b0Ysgkebj4+Pz9n7sNTtL5xWaiq9XOWfSCKyVaSv+4+XxwyfO&#10;fABTg0YjK36Rnt/v3r/bDraUBXaoa+kYgRhfDrbiXQi2zDIvOtmDX6GVhpINuh4CPV2b1Q4GQu91&#10;VuT5bTagq61DIb2n6MOU5LuE3zRShO9N42VguuLELaTTpfMYz2y3hbJ1YDslrjTgFSx6UIaaLlAP&#10;EICdnPoPqlfCoccmrAT2GTaNEjLNQNOs83+mee7AyjQLiePtIpN/O1jx7bw3Bxepi9E82ycUPz0z&#10;uO/AtDIReLlYWtw6SpUN1pdLSXx4e3DsOHzFmr6BU8Ckwti4PkLSfGxMYl8WseUYmKDg7c1dUdzQ&#10;TsScy6CcC63z4YvEnsVLxX1woNou7NEYWim6dWoD5ycfIi0o54LY1eCj0jptVhs2VPxuU2xSgUet&#10;6piMnyWPyb127AzkjjBOoPrU0zRT7OMmz68eoTA5aQoXc5gaLyiJxl8NHJ5MnWh0EurP13sApac7&#10;VWtzFTXqGE3ryyPWl4Obxaa1J+CrRaOv/nyn6t8/0u4XAAAA//8DAFBLAwQUAAYACAAAACEAvPB3&#10;SN4AAAAJAQAADwAAAGRycy9kb3ducmV2LnhtbEyPwU7DMBBE70j9B2uRuKDWbkRpG+JUCAnRE1Jb&#10;RK9OvCQR9jqy3TT8Pa56gOPsrGbeFJvRGjagD50jCfOZAIZUO91RI+Hj8DpdAQtRkVbGEUr4wQCb&#10;cnJTqFy7M+1w2MeGpRAKuZLQxtjnnIe6RavCzPVIyfty3qqYpG+49uqcwq3hmRCP3KqOUkOrenxp&#10;sf7en6yE+5UfzbZaHj4rH4UdFsf3tzVJeXc7Pj8BizjGv2e44Cd0KBNT5U6kAzMSplmaEiVkiyWw&#10;iy8y8QCsul54WfD/C8pfAAAA//8DAFBLAQItABQABgAIAAAAIQC2gziS/gAAAOEBAAATAAAAAAAA&#10;AAAAAAAAAAAAAABbQ29udGVudF9UeXBlc10ueG1sUEsBAi0AFAAGAAgAAAAhADj9If/WAAAAlAEA&#10;AAsAAAAAAAAAAAAAAAAALwEAAF9yZWxzLy5yZWxzUEsBAi0AFAAGAAgAAAAhAGP3QzXQAQAAkAMA&#10;AA4AAAAAAAAAAAAAAAAALgIAAGRycy9lMm9Eb2MueG1sUEsBAi0AFAAGAAgAAAAhALzwd0jeAAAA&#10;CQEAAA8AAAAAAAAAAAAAAAAAKgQAAGRycy9kb3ducmV2LnhtbFBLBQYAAAAABAAEAPMAAAA1BQAA&#10;AAA=&#10;" strokecolor="#404040 [2429]">
                <w10:wrap anchorx="margin"/>
              </v:shape>
            </w:pict>
          </mc:Fallback>
        </mc:AlternateContent>
      </w:r>
      <w:r w:rsidRPr="00FB682D">
        <w:rPr>
          <w:color w:val="8CA4A4" w:themeColor="accent5"/>
          <w:sz w:val="22"/>
          <w:szCs w:val="22"/>
          <w:highlight w:val="cyan"/>
        </w:rPr>
        <w:t xml:space="preserve">Investment </w:t>
      </w:r>
      <w:r w:rsidR="005E3CCF" w:rsidRPr="00FB682D">
        <w:rPr>
          <w:color w:val="8CA4A4" w:themeColor="accent5"/>
          <w:sz w:val="22"/>
          <w:szCs w:val="22"/>
          <w:highlight w:val="cyan"/>
        </w:rPr>
        <w:t>guidelines</w:t>
      </w:r>
      <w:bookmarkEnd w:id="19"/>
    </w:p>
    <w:p w14:paraId="4D7EDCE7" w14:textId="74F437DC" w:rsidR="00657E9F" w:rsidRDefault="00657E9F" w:rsidP="008658E8">
      <w:pPr>
        <w:tabs>
          <w:tab w:val="left" w:pos="2693"/>
        </w:tabs>
        <w:jc w:val="both"/>
        <w:rPr>
          <w:color w:val="404040" w:themeColor="text1" w:themeTint="BF"/>
          <w:szCs w:val="22"/>
        </w:rPr>
      </w:pPr>
      <w:r>
        <w:rPr>
          <w:color w:val="404040" w:themeColor="text1" w:themeTint="BF"/>
          <w:szCs w:val="22"/>
        </w:rPr>
        <w:lastRenderedPageBreak/>
        <w:t xml:space="preserve">The level of NYSCRF discretion </w:t>
      </w:r>
      <w:r w:rsidR="00B127A7">
        <w:rPr>
          <w:color w:val="404040" w:themeColor="text1" w:themeTint="BF"/>
          <w:szCs w:val="22"/>
        </w:rPr>
        <w:t xml:space="preserve">makes traditional fund investment guidelines less relevant. </w:t>
      </w:r>
      <w:r w:rsidR="00B10385">
        <w:rPr>
          <w:color w:val="404040" w:themeColor="text1" w:themeTint="BF"/>
          <w:szCs w:val="22"/>
        </w:rPr>
        <w:t>Generally,</w:t>
      </w:r>
      <w:r w:rsidR="005644AF">
        <w:rPr>
          <w:color w:val="404040" w:themeColor="text1" w:themeTint="BF"/>
          <w:szCs w:val="22"/>
        </w:rPr>
        <w:t xml:space="preserve"> the investment strategy will be defined as targeting U.S. industrial assets where </w:t>
      </w:r>
      <w:proofErr w:type="spellStart"/>
      <w:r w:rsidR="00F96193">
        <w:rPr>
          <w:color w:val="404040" w:themeColor="text1" w:themeTint="BF"/>
          <w:szCs w:val="22"/>
        </w:rPr>
        <w:t>untrended</w:t>
      </w:r>
      <w:proofErr w:type="spellEnd"/>
      <w:r w:rsidR="00F96193">
        <w:rPr>
          <w:color w:val="404040" w:themeColor="text1" w:themeTint="BF"/>
          <w:szCs w:val="22"/>
        </w:rPr>
        <w:t xml:space="preserve"> return on cost is 75-150 basis points above current core acquisition cap rates. </w:t>
      </w:r>
      <w:r w:rsidR="005F4C77">
        <w:rPr>
          <w:color w:val="404040" w:themeColor="text1" w:themeTint="BF"/>
          <w:szCs w:val="22"/>
        </w:rPr>
        <w:t xml:space="preserve">Certain Excluded Projects are not required to be shown to the </w:t>
      </w:r>
      <w:r w:rsidR="008923C5">
        <w:rPr>
          <w:color w:val="404040" w:themeColor="text1" w:themeTint="BF"/>
          <w:szCs w:val="22"/>
        </w:rPr>
        <w:t xml:space="preserve">Fund </w:t>
      </w:r>
      <w:r w:rsidR="00B246F0">
        <w:rPr>
          <w:color w:val="404040" w:themeColor="text1" w:themeTint="BF"/>
          <w:szCs w:val="22"/>
        </w:rPr>
        <w:t xml:space="preserve">which include projects subject to an existing right </w:t>
      </w:r>
      <w:r w:rsidR="00012118">
        <w:rPr>
          <w:color w:val="404040" w:themeColor="text1" w:themeTint="BF"/>
          <w:szCs w:val="22"/>
        </w:rPr>
        <w:t>of first offer in favor of existing funds/joint ventures sponsored by BLP</w:t>
      </w:r>
      <w:r w:rsidR="007C41DC">
        <w:rPr>
          <w:color w:val="404040" w:themeColor="text1" w:themeTint="BF"/>
          <w:szCs w:val="22"/>
        </w:rPr>
        <w:t>. BLP would in turn be restricted from developing any ground-up logistics properties within a 3-mile radius of a</w:t>
      </w:r>
      <w:r w:rsidR="005F5D66">
        <w:rPr>
          <w:color w:val="404040" w:themeColor="text1" w:themeTint="BF"/>
          <w:szCs w:val="22"/>
        </w:rPr>
        <w:t xml:space="preserve"> </w:t>
      </w:r>
      <w:r w:rsidR="00274005">
        <w:rPr>
          <w:color w:val="404040" w:themeColor="text1" w:themeTint="BF"/>
          <w:szCs w:val="22"/>
        </w:rPr>
        <w:t xml:space="preserve">non-stabilized </w:t>
      </w:r>
      <w:r w:rsidR="005F5D66">
        <w:rPr>
          <w:color w:val="404040" w:themeColor="text1" w:themeTint="BF"/>
          <w:szCs w:val="22"/>
        </w:rPr>
        <w:t xml:space="preserve">Approved Project in the Fund unless first offered to the Fund. </w:t>
      </w:r>
    </w:p>
    <w:p w14:paraId="3A3C4245" w14:textId="77777777" w:rsidR="00223502" w:rsidRDefault="00223502" w:rsidP="008658E8">
      <w:pPr>
        <w:tabs>
          <w:tab w:val="left" w:pos="2693"/>
        </w:tabs>
        <w:jc w:val="both"/>
        <w:rPr>
          <w:color w:val="404040" w:themeColor="text1" w:themeTint="BF"/>
          <w:szCs w:val="22"/>
        </w:rPr>
      </w:pPr>
    </w:p>
    <w:p w14:paraId="1094FC63" w14:textId="77777777" w:rsidR="00C05BE5" w:rsidRDefault="00C05BE5" w:rsidP="008658E8">
      <w:pPr>
        <w:tabs>
          <w:tab w:val="left" w:pos="2693"/>
        </w:tabs>
        <w:jc w:val="both"/>
        <w:rPr>
          <w:color w:val="404040" w:themeColor="text1" w:themeTint="BF"/>
          <w:szCs w:val="22"/>
        </w:rPr>
      </w:pPr>
    </w:p>
    <w:p w14:paraId="13630BBE" w14:textId="77777777" w:rsidR="00C05BE5" w:rsidRDefault="00C05BE5" w:rsidP="008658E8">
      <w:pPr>
        <w:tabs>
          <w:tab w:val="left" w:pos="2693"/>
        </w:tabs>
        <w:jc w:val="both"/>
        <w:rPr>
          <w:color w:val="404040" w:themeColor="text1" w:themeTint="BF"/>
          <w:szCs w:val="22"/>
        </w:rPr>
      </w:pPr>
    </w:p>
    <w:p w14:paraId="75CC38B6" w14:textId="77777777" w:rsidR="00C05BE5" w:rsidRPr="008658E8" w:rsidRDefault="00C05BE5" w:rsidP="008658E8">
      <w:pPr>
        <w:tabs>
          <w:tab w:val="left" w:pos="2693"/>
        </w:tabs>
        <w:jc w:val="both"/>
        <w:rPr>
          <w:color w:val="404040" w:themeColor="text1" w:themeTint="BF"/>
          <w:szCs w:val="22"/>
        </w:rPr>
      </w:pPr>
    </w:p>
    <w:p w14:paraId="33B67CB9" w14:textId="77777777" w:rsidR="00B65DF3" w:rsidRPr="00070674" w:rsidRDefault="00B65DF3" w:rsidP="00B65DF3">
      <w:pPr>
        <w:pStyle w:val="Heading1"/>
        <w:spacing w:after="0"/>
        <w:rPr>
          <w:kern w:val="28"/>
          <w:sz w:val="28"/>
          <w:szCs w:val="28"/>
        </w:rPr>
      </w:pPr>
      <w:bookmarkStart w:id="20" w:name="_Toc179797285"/>
      <w:r w:rsidRPr="00CD4BAE">
        <w:rPr>
          <w:kern w:val="28"/>
          <w:sz w:val="28"/>
          <w:szCs w:val="28"/>
          <w:highlight w:val="green"/>
        </w:rPr>
        <w:t>Sponsor</w:t>
      </w:r>
      <w:bookmarkEnd w:id="20"/>
    </w:p>
    <w:bookmarkStart w:id="21" w:name="_Toc179797286"/>
    <w:p w14:paraId="7ADB94A1" w14:textId="61C1C7DF" w:rsidR="00B65DF3" w:rsidRPr="00070674" w:rsidRDefault="00B65DF3" w:rsidP="00B65DF3">
      <w:pPr>
        <w:pStyle w:val="Heading2"/>
        <w:rPr>
          <w:color w:val="8CA4A4" w:themeColor="accent5"/>
          <w:sz w:val="22"/>
          <w:szCs w:val="22"/>
        </w:rPr>
      </w:pPr>
      <w:r w:rsidRPr="00070674">
        <w:rPr>
          <w:noProof/>
          <w:szCs w:val="22"/>
        </w:rPr>
        <mc:AlternateContent>
          <mc:Choice Requires="wps">
            <w:drawing>
              <wp:anchor distT="0" distB="0" distL="114300" distR="114300" simplePos="0" relativeHeight="251645952" behindDoc="0" locked="0" layoutInCell="1" allowOverlap="1" wp14:anchorId="7114BA25" wp14:editId="433623F0">
                <wp:simplePos x="0" y="0"/>
                <wp:positionH relativeFrom="margin">
                  <wp:posOffset>-12700</wp:posOffset>
                </wp:positionH>
                <wp:positionV relativeFrom="paragraph">
                  <wp:posOffset>163407</wp:posOffset>
                </wp:positionV>
                <wp:extent cx="6492240" cy="0"/>
                <wp:effectExtent l="0" t="0" r="0" b="0"/>
                <wp:wrapNone/>
                <wp:docPr id="5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2240" cy="0"/>
                        </a:xfrm>
                        <a:prstGeom prst="straightConnector1">
                          <a:avLst/>
                        </a:prstGeom>
                        <a:noFill/>
                        <a:ln w="9525">
                          <a:solidFill>
                            <a:schemeClr val="tx1">
                              <a:lumMod val="75000"/>
                              <a:lumOff val="2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EA562E" id="AutoShape 5" o:spid="_x0000_s1026" type="#_x0000_t32" style="position:absolute;margin-left:-1pt;margin-top:12.85pt;width:511.2pt;height:0;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0M10AEAAJADAAAOAAAAZHJzL2Uyb0RvYy54bWysU01v2zAMvQ/YfxB0X+wYTbcacXpI1126&#10;LUC7H8DIsi1MFgVJiZ1/P0qOva9b0Ysgkebj4+Pz9n7sNTtL5xWaiq9XOWfSCKyVaSv+4+XxwyfO&#10;fABTg0YjK36Rnt/v3r/bDraUBXaoa+kYgRhfDrbiXQi2zDIvOtmDX6GVhpINuh4CPV2b1Q4GQu91&#10;VuT5bTagq61DIb2n6MOU5LuE3zRShO9N42VguuLELaTTpfMYz2y3hbJ1YDslrjTgFSx6UIaaLlAP&#10;EICdnPoPqlfCoccmrAT2GTaNEjLNQNOs83+mee7AyjQLiePtIpN/O1jx7bw3Bxepi9E82ycUPz0z&#10;uO/AtDIReLlYWtw6SpUN1pdLSXx4e3DsOHzFmr6BU8Ckwti4PkLSfGxMYl8WseUYmKDg7c1dUdzQ&#10;TsScy6CcC63z4YvEnsVLxX1woNou7NEYWim6dWoD5ycfIi0o54LY1eCj0jptVhs2VPxuU2xSgUet&#10;6piMnyWPyb127AzkjjBOoPrU0zRT7OMmz68eoTA5aQoXc5gaLyiJxl8NHJ5MnWh0EurP13sApac7&#10;VWtzFTXqGE3ryyPWl4Obxaa1J+CrRaOv/nyn6t8/0u4XAAAA//8DAFBLAwQUAAYACAAAACEAvPB3&#10;SN4AAAAJAQAADwAAAGRycy9kb3ducmV2LnhtbEyPwU7DMBBE70j9B2uRuKDWbkRpG+JUCAnRE1Jb&#10;RK9OvCQR9jqy3TT8Pa56gOPsrGbeFJvRGjagD50jCfOZAIZUO91RI+Hj8DpdAQtRkVbGEUr4wQCb&#10;cnJTqFy7M+1w2MeGpRAKuZLQxtjnnIe6RavCzPVIyfty3qqYpG+49uqcwq3hmRCP3KqOUkOrenxp&#10;sf7en6yE+5UfzbZaHj4rH4UdFsf3tzVJeXc7Pj8BizjGv2e44Cd0KBNT5U6kAzMSplmaEiVkiyWw&#10;iy8y8QCsul54WfD/C8pfAAAA//8DAFBLAQItABQABgAIAAAAIQC2gziS/gAAAOEBAAATAAAAAAAA&#10;AAAAAAAAAAAAAABbQ29udGVudF9UeXBlc10ueG1sUEsBAi0AFAAGAAgAAAAhADj9If/WAAAAlAEA&#10;AAsAAAAAAAAAAAAAAAAALwEAAF9yZWxzLy5yZWxzUEsBAi0AFAAGAAgAAAAhAGP3QzXQAQAAkAMA&#10;AA4AAAAAAAAAAAAAAAAALgIAAGRycy9lMm9Eb2MueG1sUEsBAi0AFAAGAAgAAAAhALzwd0jeAAAA&#10;CQEAAA8AAAAAAAAAAAAAAAAAKgQAAGRycy9kb3ducmV2LnhtbFBLBQYAAAAABAAEAPMAAAA1BQAA&#10;AAA=&#10;" strokecolor="#404040 [2429]">
                <w10:wrap anchorx="margin"/>
              </v:shape>
            </w:pict>
          </mc:Fallback>
        </mc:AlternateContent>
      </w:r>
      <w:r w:rsidR="00295EC4" w:rsidRPr="00070674">
        <w:rPr>
          <w:color w:val="8CA4A4" w:themeColor="accent5"/>
          <w:sz w:val="22"/>
          <w:szCs w:val="22"/>
        </w:rPr>
        <w:t>Overview</w:t>
      </w:r>
      <w:bookmarkEnd w:id="21"/>
    </w:p>
    <w:p w14:paraId="2EBC7E0B" w14:textId="127918F8" w:rsidR="00FC7051" w:rsidRPr="00FC7051" w:rsidRDefault="00FC7051" w:rsidP="00FC7051">
      <w:pPr>
        <w:jc w:val="both"/>
        <w:rPr>
          <w:rFonts w:ascii="Calibri" w:hAnsi="Calibri"/>
          <w:bCs/>
          <w:iCs/>
          <w:color w:val="404040" w:themeColor="text1" w:themeTint="BF"/>
          <w:szCs w:val="22"/>
        </w:rPr>
      </w:pPr>
      <w:r w:rsidRPr="00FC7051">
        <w:rPr>
          <w:rFonts w:ascii="Calibri" w:hAnsi="Calibri"/>
          <w:bCs/>
          <w:iCs/>
          <w:color w:val="404040" w:themeColor="text1" w:themeTint="BF"/>
          <w:szCs w:val="22"/>
        </w:rPr>
        <w:t xml:space="preserve">Background: Bridge origins trace back to 1990 to </w:t>
      </w:r>
      <w:proofErr w:type="gramStart"/>
      <w:r w:rsidRPr="00FC7051">
        <w:rPr>
          <w:rFonts w:ascii="Calibri" w:hAnsi="Calibri"/>
          <w:bCs/>
          <w:iCs/>
          <w:color w:val="404040" w:themeColor="text1" w:themeTint="BF"/>
          <w:szCs w:val="22"/>
        </w:rPr>
        <w:t>a number of</w:t>
      </w:r>
      <w:proofErr w:type="gramEnd"/>
      <w:r w:rsidRPr="00FC7051">
        <w:rPr>
          <w:rFonts w:ascii="Calibri" w:hAnsi="Calibri"/>
          <w:bCs/>
          <w:iCs/>
          <w:color w:val="404040" w:themeColor="text1" w:themeTint="BF"/>
          <w:szCs w:val="22"/>
        </w:rPr>
        <w:t xml:space="preserve"> people working together in real estate but at different/predecessor firms. At the time, former S&amp;L employee Dan Stanger was doing S&amp;L REO workouts through his independent company, and former Lucent executive Christian Young was raising friends &amp; family money to capitalize Mr. Stanger’s investing. They formed a company called CDS Investments in 1997 to continue investing opportunistically in distressed real estate situations more broadly. In 1999 they added two equity partners, property manager Russell Minnick who formed an affiliate called Bridge Property Management Co, and Brad Andrus who formed a commercial mortgage banking affiliate. Richard </w:t>
      </w:r>
      <w:proofErr w:type="spellStart"/>
      <w:r w:rsidRPr="00FC7051">
        <w:rPr>
          <w:rFonts w:ascii="Calibri" w:hAnsi="Calibri"/>
          <w:bCs/>
          <w:iCs/>
          <w:color w:val="404040" w:themeColor="text1" w:themeTint="BF"/>
          <w:szCs w:val="22"/>
        </w:rPr>
        <w:t>Stayner</w:t>
      </w:r>
      <w:proofErr w:type="spellEnd"/>
      <w:r w:rsidRPr="00FC7051">
        <w:rPr>
          <w:rFonts w:ascii="Calibri" w:hAnsi="Calibri"/>
          <w:bCs/>
          <w:iCs/>
          <w:color w:val="404040" w:themeColor="text1" w:themeTint="BF"/>
          <w:szCs w:val="22"/>
        </w:rPr>
        <w:t xml:space="preserve"> (property management) and Kevin Anderson (accounting/admin) were added as partners and the business merged with Dean </w:t>
      </w:r>
      <w:proofErr w:type="spellStart"/>
      <w:r w:rsidRPr="00FC7051">
        <w:rPr>
          <w:rFonts w:ascii="Calibri" w:hAnsi="Calibri"/>
          <w:bCs/>
          <w:iCs/>
          <w:color w:val="404040" w:themeColor="text1" w:themeTint="BF"/>
          <w:szCs w:val="22"/>
        </w:rPr>
        <w:t>Allara</w:t>
      </w:r>
      <w:proofErr w:type="spellEnd"/>
      <w:r w:rsidRPr="00FC7051">
        <w:rPr>
          <w:rFonts w:ascii="Calibri" w:hAnsi="Calibri"/>
          <w:bCs/>
          <w:iCs/>
          <w:color w:val="404040" w:themeColor="text1" w:themeTint="BF"/>
          <w:szCs w:val="22"/>
        </w:rPr>
        <w:t xml:space="preserve"> from San Francisco who had a similar informal workout/investment business. In 2001 the </w:t>
      </w:r>
      <w:r w:rsidR="00D96704">
        <w:rPr>
          <w:rFonts w:ascii="Calibri" w:hAnsi="Calibri"/>
          <w:bCs/>
          <w:iCs/>
          <w:color w:val="404040" w:themeColor="text1" w:themeTint="BF"/>
          <w:szCs w:val="22"/>
        </w:rPr>
        <w:t xml:space="preserve">seven </w:t>
      </w:r>
      <w:r w:rsidRPr="00FC7051">
        <w:rPr>
          <w:rFonts w:ascii="Calibri" w:hAnsi="Calibri"/>
          <w:bCs/>
          <w:iCs/>
          <w:color w:val="404040" w:themeColor="text1" w:themeTint="BF"/>
          <w:szCs w:val="22"/>
        </w:rPr>
        <w:t>partners renamed themselves Bridge Partners.</w:t>
      </w:r>
      <w:r w:rsidR="005E7499">
        <w:rPr>
          <w:rFonts w:ascii="Calibri" w:hAnsi="Calibri"/>
          <w:bCs/>
          <w:iCs/>
          <w:color w:val="404040" w:themeColor="text1" w:themeTint="BF"/>
          <w:szCs w:val="22"/>
        </w:rPr>
        <w:t xml:space="preserve"> </w:t>
      </w:r>
      <w:r w:rsidRPr="00FC7051">
        <w:rPr>
          <w:rFonts w:ascii="Calibri" w:hAnsi="Calibri"/>
          <w:bCs/>
          <w:iCs/>
          <w:color w:val="404040" w:themeColor="text1" w:themeTint="BF"/>
          <w:szCs w:val="22"/>
        </w:rPr>
        <w:t>Bridge Partners initially acted as an operating partner in multiple property types for syndicated HNW capital. Over time the firm joint ventured with institutional capital partners including Angelo Gordon, Apollo Real Estate, Buchanan Street Partners, Citigroup, CV Starr &amp; Co, and PCCP.</w:t>
      </w:r>
    </w:p>
    <w:p w14:paraId="5D40891C" w14:textId="77777777" w:rsidR="005E7499" w:rsidRDefault="005E7499" w:rsidP="00A957BD">
      <w:pPr>
        <w:jc w:val="both"/>
        <w:rPr>
          <w:rFonts w:ascii="Calibri" w:hAnsi="Calibri"/>
          <w:bCs/>
          <w:iCs/>
          <w:color w:val="404040" w:themeColor="text1" w:themeTint="BF"/>
          <w:szCs w:val="22"/>
        </w:rPr>
      </w:pPr>
    </w:p>
    <w:p w14:paraId="66D4F7FB" w14:textId="03640AC4" w:rsidR="00A3591D" w:rsidRDefault="00FC7051" w:rsidP="00A957BD">
      <w:pPr>
        <w:jc w:val="both"/>
        <w:rPr>
          <w:rFonts w:ascii="Calibri" w:hAnsi="Calibri"/>
          <w:bCs/>
          <w:iCs/>
          <w:color w:val="404040" w:themeColor="text1" w:themeTint="BF"/>
          <w:szCs w:val="22"/>
        </w:rPr>
      </w:pPr>
      <w:r w:rsidRPr="00FC7051">
        <w:rPr>
          <w:rFonts w:ascii="Calibri" w:hAnsi="Calibri"/>
          <w:bCs/>
          <w:iCs/>
          <w:color w:val="404040" w:themeColor="text1" w:themeTint="BF"/>
          <w:szCs w:val="22"/>
        </w:rPr>
        <w:t>In 2009 they entered the fund sponsorship business investing in apartments and office through their own funds called Real Estate Opportunity Capital (“ROC”) Funds I and II. In 2013, the partners started a</w:t>
      </w:r>
      <w:r w:rsidR="00203A78">
        <w:rPr>
          <w:rFonts w:ascii="Calibri" w:hAnsi="Calibri"/>
          <w:bCs/>
          <w:iCs/>
          <w:color w:val="404040" w:themeColor="text1" w:themeTint="BF"/>
          <w:szCs w:val="22"/>
        </w:rPr>
        <w:t>n</w:t>
      </w:r>
      <w:r w:rsidRPr="00FC7051">
        <w:rPr>
          <w:rFonts w:ascii="Calibri" w:hAnsi="Calibri"/>
          <w:bCs/>
          <w:iCs/>
          <w:color w:val="404040" w:themeColor="text1" w:themeTint="BF"/>
          <w:szCs w:val="22"/>
        </w:rPr>
        <w:t xml:space="preserve"> expansion</w:t>
      </w:r>
      <w:r w:rsidR="005A00DF">
        <w:rPr>
          <w:rFonts w:ascii="Calibri" w:hAnsi="Calibri"/>
          <w:bCs/>
          <w:iCs/>
          <w:color w:val="404040" w:themeColor="text1" w:themeTint="BF"/>
          <w:szCs w:val="22"/>
        </w:rPr>
        <w:t xml:space="preserve"> </w:t>
      </w:r>
      <w:r w:rsidR="005A00DF" w:rsidRPr="005A00DF">
        <w:rPr>
          <w:rFonts w:ascii="Calibri" w:hAnsi="Calibri"/>
          <w:bCs/>
          <w:iCs/>
          <w:color w:val="404040" w:themeColor="text1" w:themeTint="BF"/>
          <w:szCs w:val="22"/>
        </w:rPr>
        <w:t xml:space="preserve">into thematic property types that would support dedicated fund </w:t>
      </w:r>
      <w:proofErr w:type="gramStart"/>
      <w:r w:rsidR="005A00DF" w:rsidRPr="005A00DF">
        <w:rPr>
          <w:rFonts w:ascii="Calibri" w:hAnsi="Calibri"/>
          <w:bCs/>
          <w:iCs/>
          <w:color w:val="404040" w:themeColor="text1" w:themeTint="BF"/>
          <w:szCs w:val="22"/>
        </w:rPr>
        <w:t>series;</w:t>
      </w:r>
      <w:proofErr w:type="gramEnd"/>
      <w:r w:rsidR="005A00DF" w:rsidRPr="005A00DF">
        <w:rPr>
          <w:rFonts w:ascii="Calibri" w:hAnsi="Calibri"/>
          <w:bCs/>
          <w:iCs/>
          <w:color w:val="404040" w:themeColor="text1" w:themeTint="BF"/>
          <w:szCs w:val="22"/>
        </w:rPr>
        <w:t xml:space="preserve"> dropping the “ROC” part of their fund names, calling themselves Bridge. Bridge formed 9 business verticals by property type, often lifting out whole management teams and PMs to head each fund series.</w:t>
      </w:r>
      <w:r w:rsidR="00801F67" w:rsidRPr="00801F67">
        <w:rPr>
          <w:rFonts w:ascii="Calibri" w:hAnsi="Calibri"/>
          <w:bCs/>
          <w:iCs/>
          <w:color w:val="404040" w:themeColor="text1" w:themeTint="BF"/>
          <w:szCs w:val="22"/>
        </w:rPr>
        <w:t xml:space="preserve"> </w:t>
      </w:r>
      <w:r w:rsidR="00801F67" w:rsidRPr="0083275B">
        <w:rPr>
          <w:rFonts w:ascii="Calibri" w:hAnsi="Calibri"/>
          <w:bCs/>
          <w:iCs/>
          <w:color w:val="404040" w:themeColor="text1" w:themeTint="BF"/>
          <w:szCs w:val="22"/>
        </w:rPr>
        <w:t xml:space="preserve">In 2011, the principals formed Bridge Multifamily Fund Manager LLC (formerly Bridge Investment Group Partners LLC) as an SEC registered investment adviser. The entity was renamed to Bridge Investment Group LLC and later, Bridge Investment Group Holdings LLC. In July 2021, Bridge completed an initial public offering of its ultimate parent company, Bridge Investment Group Holdings Inc., of its shares on the New York Stock Exchange (NYSE: BRDG).  </w:t>
      </w:r>
    </w:p>
    <w:p w14:paraId="2E22F7F3" w14:textId="454F69DA" w:rsidR="006E0EC2" w:rsidRDefault="00016857" w:rsidP="00A91DCC">
      <w:pPr>
        <w:pStyle w:val="ListParagraph"/>
        <w:numPr>
          <w:ilvl w:val="0"/>
          <w:numId w:val="14"/>
        </w:numPr>
        <w:jc w:val="both"/>
        <w:rPr>
          <w:rFonts w:ascii="Calibri" w:hAnsi="Calibri"/>
          <w:bCs/>
          <w:iCs/>
          <w:color w:val="404040" w:themeColor="text1" w:themeTint="BF"/>
          <w:szCs w:val="22"/>
        </w:rPr>
      </w:pPr>
      <w:r>
        <w:rPr>
          <w:rFonts w:ascii="Calibri" w:hAnsi="Calibri"/>
          <w:bCs/>
          <w:iCs/>
          <w:color w:val="404040" w:themeColor="text1" w:themeTint="BF"/>
          <w:szCs w:val="22"/>
        </w:rPr>
        <w:t xml:space="preserve">Bridge employees and legacy </w:t>
      </w:r>
      <w:r w:rsidR="00FC1059">
        <w:rPr>
          <w:rFonts w:ascii="Calibri" w:hAnsi="Calibri"/>
          <w:bCs/>
          <w:iCs/>
          <w:color w:val="404040" w:themeColor="text1" w:themeTint="BF"/>
          <w:szCs w:val="22"/>
        </w:rPr>
        <w:t xml:space="preserve">partners continue to own a majority of the firm. The public float represents </w:t>
      </w:r>
      <w:r w:rsidR="00405693">
        <w:rPr>
          <w:rFonts w:ascii="Calibri" w:hAnsi="Calibri"/>
          <w:bCs/>
          <w:iCs/>
          <w:color w:val="404040" w:themeColor="text1" w:themeTint="BF"/>
          <w:szCs w:val="22"/>
        </w:rPr>
        <w:t>approximately</w:t>
      </w:r>
      <w:r w:rsidR="00FC1059">
        <w:rPr>
          <w:rFonts w:ascii="Calibri" w:hAnsi="Calibri"/>
          <w:bCs/>
          <w:iCs/>
          <w:color w:val="404040" w:themeColor="text1" w:themeTint="BF"/>
          <w:szCs w:val="22"/>
        </w:rPr>
        <w:t xml:space="preserve"> 28% of </w:t>
      </w:r>
      <w:r w:rsidR="003F16BE">
        <w:rPr>
          <w:rFonts w:ascii="Calibri" w:hAnsi="Calibri"/>
          <w:bCs/>
          <w:iCs/>
          <w:color w:val="404040" w:themeColor="text1" w:themeTint="BF"/>
          <w:szCs w:val="22"/>
        </w:rPr>
        <w:t xml:space="preserve">ownership. Robert Morse is the largest individual owner at 27%. The remaining </w:t>
      </w:r>
      <w:r w:rsidR="00C40020">
        <w:rPr>
          <w:rFonts w:ascii="Calibri" w:hAnsi="Calibri"/>
          <w:bCs/>
          <w:iCs/>
          <w:color w:val="404040" w:themeColor="text1" w:themeTint="BF"/>
          <w:szCs w:val="22"/>
        </w:rPr>
        <w:t xml:space="preserve">45% is held by </w:t>
      </w:r>
      <w:r w:rsidR="00405693">
        <w:rPr>
          <w:rFonts w:ascii="Calibri" w:hAnsi="Calibri"/>
          <w:bCs/>
          <w:iCs/>
          <w:color w:val="404040" w:themeColor="text1" w:themeTint="BF"/>
          <w:szCs w:val="22"/>
        </w:rPr>
        <w:t>various bridge principals and legacy owners each representing less than 10% of the total company.</w:t>
      </w:r>
      <w:r w:rsidR="00BC163E">
        <w:rPr>
          <w:rFonts w:ascii="Calibri" w:hAnsi="Calibri"/>
          <w:bCs/>
          <w:iCs/>
          <w:color w:val="404040" w:themeColor="text1" w:themeTint="BF"/>
          <w:szCs w:val="22"/>
        </w:rPr>
        <w:t xml:space="preserve"> Bridge’s corporate structure chart is included in </w:t>
      </w:r>
      <w:r w:rsidR="00BC163E" w:rsidRPr="00BC163E">
        <w:rPr>
          <w:rFonts w:ascii="Calibri" w:hAnsi="Calibri"/>
          <w:b/>
          <w:iCs/>
          <w:color w:val="404040" w:themeColor="text1" w:themeTint="BF"/>
          <w:szCs w:val="22"/>
        </w:rPr>
        <w:t>Exhibit B.</w:t>
      </w:r>
    </w:p>
    <w:p w14:paraId="27FE0E5C" w14:textId="2FE90C03" w:rsidR="0064604C" w:rsidRDefault="00957C9F" w:rsidP="00A91DCC">
      <w:pPr>
        <w:pStyle w:val="ListParagraph"/>
        <w:numPr>
          <w:ilvl w:val="0"/>
          <w:numId w:val="14"/>
        </w:numPr>
        <w:jc w:val="both"/>
        <w:rPr>
          <w:rFonts w:ascii="Calibri" w:hAnsi="Calibri"/>
          <w:bCs/>
          <w:iCs/>
          <w:color w:val="404040" w:themeColor="text1" w:themeTint="BF"/>
          <w:szCs w:val="22"/>
        </w:rPr>
      </w:pPr>
      <w:r>
        <w:rPr>
          <w:rFonts w:ascii="Calibri" w:hAnsi="Calibri"/>
          <w:bCs/>
          <w:iCs/>
          <w:color w:val="404040" w:themeColor="text1" w:themeTint="BF"/>
          <w:szCs w:val="22"/>
        </w:rPr>
        <w:t xml:space="preserve">Jonathan </w:t>
      </w:r>
      <w:proofErr w:type="spellStart"/>
      <w:r>
        <w:rPr>
          <w:rFonts w:ascii="Calibri" w:hAnsi="Calibri"/>
          <w:bCs/>
          <w:iCs/>
          <w:color w:val="404040" w:themeColor="text1" w:themeTint="BF"/>
          <w:szCs w:val="22"/>
        </w:rPr>
        <w:t>Slager</w:t>
      </w:r>
      <w:proofErr w:type="spellEnd"/>
      <w:r>
        <w:rPr>
          <w:rFonts w:ascii="Calibri" w:hAnsi="Calibri"/>
          <w:bCs/>
          <w:iCs/>
          <w:color w:val="404040" w:themeColor="text1" w:themeTint="BF"/>
          <w:szCs w:val="22"/>
        </w:rPr>
        <w:t xml:space="preserve"> serves as CEO of Bridge Investment Group</w:t>
      </w:r>
      <w:r w:rsidR="002E73A7">
        <w:rPr>
          <w:rFonts w:ascii="Calibri" w:hAnsi="Calibri"/>
          <w:bCs/>
          <w:iCs/>
          <w:color w:val="404040" w:themeColor="text1" w:themeTint="BF"/>
          <w:szCs w:val="22"/>
        </w:rPr>
        <w:t xml:space="preserve">, </w:t>
      </w:r>
      <w:r w:rsidR="00D35C8D">
        <w:rPr>
          <w:rFonts w:ascii="Calibri" w:hAnsi="Calibri"/>
          <w:bCs/>
          <w:iCs/>
          <w:color w:val="404040" w:themeColor="text1" w:themeTint="BF"/>
          <w:szCs w:val="22"/>
        </w:rPr>
        <w:t>Robert Morse as Executive Chairman</w:t>
      </w:r>
      <w:r w:rsidR="002E73A7">
        <w:rPr>
          <w:rFonts w:ascii="Calibri" w:hAnsi="Calibri"/>
          <w:bCs/>
          <w:iCs/>
          <w:color w:val="404040" w:themeColor="text1" w:themeTint="BF"/>
          <w:szCs w:val="22"/>
        </w:rPr>
        <w:t>, and</w:t>
      </w:r>
      <w:r w:rsidR="00CC240B">
        <w:rPr>
          <w:rFonts w:ascii="Calibri" w:hAnsi="Calibri"/>
          <w:bCs/>
          <w:iCs/>
          <w:color w:val="404040" w:themeColor="text1" w:themeTint="BF"/>
          <w:szCs w:val="22"/>
        </w:rPr>
        <w:t xml:space="preserve"> Adam O’Farrell as COO. </w:t>
      </w:r>
      <w:r w:rsidR="00C11E60">
        <w:rPr>
          <w:rFonts w:ascii="Calibri" w:hAnsi="Calibri"/>
          <w:bCs/>
          <w:iCs/>
          <w:color w:val="404040" w:themeColor="text1" w:themeTint="BF"/>
          <w:szCs w:val="22"/>
        </w:rPr>
        <w:t xml:space="preserve">These professionals, along with Vice Chairman Dean </w:t>
      </w:r>
      <w:proofErr w:type="spellStart"/>
      <w:r w:rsidR="00C11E60">
        <w:rPr>
          <w:rFonts w:ascii="Calibri" w:hAnsi="Calibri"/>
          <w:bCs/>
          <w:iCs/>
          <w:color w:val="404040" w:themeColor="text1" w:themeTint="BF"/>
          <w:szCs w:val="22"/>
        </w:rPr>
        <w:t>Allara</w:t>
      </w:r>
      <w:proofErr w:type="spellEnd"/>
      <w:r w:rsidR="00C11E60">
        <w:rPr>
          <w:rFonts w:ascii="Calibri" w:hAnsi="Calibri"/>
          <w:bCs/>
          <w:iCs/>
          <w:color w:val="404040" w:themeColor="text1" w:themeTint="BF"/>
          <w:szCs w:val="22"/>
        </w:rPr>
        <w:t xml:space="preserve">, comprise the </w:t>
      </w:r>
      <w:r w:rsidR="00703DA8">
        <w:rPr>
          <w:rFonts w:ascii="Calibri" w:hAnsi="Calibri"/>
          <w:bCs/>
          <w:iCs/>
          <w:color w:val="404040" w:themeColor="text1" w:themeTint="BF"/>
          <w:szCs w:val="22"/>
        </w:rPr>
        <w:t xml:space="preserve">Bridge Investment Group Holdings Executive Directors, who together with </w:t>
      </w:r>
      <w:r w:rsidR="00FE674A">
        <w:rPr>
          <w:rFonts w:ascii="Calibri" w:hAnsi="Calibri"/>
          <w:bCs/>
          <w:iCs/>
          <w:color w:val="404040" w:themeColor="text1" w:themeTint="BF"/>
          <w:szCs w:val="22"/>
        </w:rPr>
        <w:t xml:space="preserve">three independent directors comprise the company’s Board of Directors. </w:t>
      </w:r>
      <w:r w:rsidR="00F132C2">
        <w:rPr>
          <w:rFonts w:ascii="Calibri" w:hAnsi="Calibri"/>
          <w:bCs/>
          <w:iCs/>
          <w:color w:val="404040" w:themeColor="text1" w:themeTint="BF"/>
          <w:szCs w:val="22"/>
        </w:rPr>
        <w:t>Bridge</w:t>
      </w:r>
      <w:r w:rsidR="005D3934">
        <w:rPr>
          <w:rFonts w:ascii="Calibri" w:hAnsi="Calibri"/>
          <w:bCs/>
          <w:iCs/>
          <w:color w:val="404040" w:themeColor="text1" w:themeTint="BF"/>
          <w:szCs w:val="22"/>
        </w:rPr>
        <w:t xml:space="preserve">’s organizational chart is included in </w:t>
      </w:r>
      <w:r w:rsidR="005D3934" w:rsidRPr="005D3934">
        <w:rPr>
          <w:rFonts w:ascii="Calibri" w:hAnsi="Calibri"/>
          <w:b/>
          <w:iCs/>
          <w:color w:val="404040" w:themeColor="text1" w:themeTint="BF"/>
          <w:szCs w:val="22"/>
        </w:rPr>
        <w:t xml:space="preserve">Exhibit </w:t>
      </w:r>
      <w:r w:rsidR="00BC163E">
        <w:rPr>
          <w:rFonts w:ascii="Calibri" w:hAnsi="Calibri"/>
          <w:b/>
          <w:iCs/>
          <w:color w:val="404040" w:themeColor="text1" w:themeTint="BF"/>
          <w:szCs w:val="22"/>
        </w:rPr>
        <w:t>C</w:t>
      </w:r>
      <w:r w:rsidR="005D3934" w:rsidRPr="005D3934">
        <w:rPr>
          <w:rFonts w:ascii="Calibri" w:hAnsi="Calibri"/>
          <w:b/>
          <w:iCs/>
          <w:color w:val="404040" w:themeColor="text1" w:themeTint="BF"/>
          <w:szCs w:val="22"/>
        </w:rPr>
        <w:t>.</w:t>
      </w:r>
    </w:p>
    <w:p w14:paraId="3BDFD35E" w14:textId="49103E27" w:rsidR="00A3591D" w:rsidRDefault="00C92169" w:rsidP="00A91DCC">
      <w:pPr>
        <w:pStyle w:val="ListParagraph"/>
        <w:numPr>
          <w:ilvl w:val="0"/>
          <w:numId w:val="14"/>
        </w:numPr>
        <w:jc w:val="both"/>
        <w:rPr>
          <w:rFonts w:ascii="Calibri" w:hAnsi="Calibri"/>
          <w:bCs/>
          <w:iCs/>
          <w:color w:val="404040" w:themeColor="text1" w:themeTint="BF"/>
          <w:szCs w:val="22"/>
        </w:rPr>
      </w:pPr>
      <w:r>
        <w:rPr>
          <w:rFonts w:ascii="Calibri" w:hAnsi="Calibri"/>
          <w:bCs/>
          <w:iCs/>
          <w:color w:val="404040" w:themeColor="text1" w:themeTint="BF"/>
          <w:szCs w:val="22"/>
        </w:rPr>
        <w:t xml:space="preserve">Bridge employs </w:t>
      </w:r>
      <w:r w:rsidR="00C5609A">
        <w:rPr>
          <w:rFonts w:ascii="Calibri" w:hAnsi="Calibri"/>
          <w:bCs/>
          <w:iCs/>
          <w:color w:val="404040" w:themeColor="text1" w:themeTint="BF"/>
          <w:szCs w:val="22"/>
        </w:rPr>
        <w:t xml:space="preserve">over 2200 employees in 14 offices </w:t>
      </w:r>
      <w:r w:rsidR="002A00CE">
        <w:rPr>
          <w:rFonts w:ascii="Calibri" w:hAnsi="Calibri"/>
          <w:bCs/>
          <w:iCs/>
          <w:color w:val="404040" w:themeColor="text1" w:themeTint="BF"/>
          <w:szCs w:val="22"/>
        </w:rPr>
        <w:t xml:space="preserve">and onsite locations in the U.S., with international offices in </w:t>
      </w:r>
      <w:r w:rsidR="003E46BC">
        <w:rPr>
          <w:rFonts w:ascii="Calibri" w:hAnsi="Calibri"/>
          <w:bCs/>
          <w:iCs/>
          <w:color w:val="404040" w:themeColor="text1" w:themeTint="BF"/>
          <w:szCs w:val="22"/>
        </w:rPr>
        <w:t>Luxembourg and South Korea.</w:t>
      </w:r>
      <w:r w:rsidR="00BC79D9">
        <w:rPr>
          <w:rFonts w:ascii="Calibri" w:hAnsi="Calibri"/>
          <w:bCs/>
          <w:iCs/>
          <w:color w:val="404040" w:themeColor="text1" w:themeTint="BF"/>
          <w:szCs w:val="22"/>
        </w:rPr>
        <w:t xml:space="preserve"> The firm’s corporate headquarters is in Salt Lake City, Utah. </w:t>
      </w:r>
    </w:p>
    <w:p w14:paraId="77D7D133" w14:textId="0E97CBBF" w:rsidR="00E36988" w:rsidRPr="003E5338" w:rsidRDefault="003E46BC" w:rsidP="00A91DCC">
      <w:pPr>
        <w:pStyle w:val="ListParagraph"/>
        <w:numPr>
          <w:ilvl w:val="0"/>
          <w:numId w:val="14"/>
        </w:numPr>
        <w:jc w:val="both"/>
        <w:rPr>
          <w:rFonts w:ascii="Calibri" w:hAnsi="Calibri"/>
          <w:bCs/>
          <w:iCs/>
          <w:color w:val="404040" w:themeColor="text1" w:themeTint="BF"/>
          <w:szCs w:val="22"/>
        </w:rPr>
      </w:pPr>
      <w:r>
        <w:rPr>
          <w:rFonts w:ascii="Calibri" w:hAnsi="Calibri"/>
          <w:bCs/>
          <w:iCs/>
          <w:color w:val="404040" w:themeColor="text1" w:themeTint="BF"/>
          <w:szCs w:val="22"/>
        </w:rPr>
        <w:t xml:space="preserve">The firm’s AUM totals </w:t>
      </w:r>
      <w:r w:rsidR="00222547">
        <w:rPr>
          <w:rFonts w:ascii="Calibri" w:hAnsi="Calibri"/>
          <w:bCs/>
          <w:iCs/>
          <w:color w:val="404040" w:themeColor="text1" w:themeTint="BF"/>
          <w:szCs w:val="22"/>
        </w:rPr>
        <w:t>$4</w:t>
      </w:r>
      <w:r w:rsidR="00511676">
        <w:rPr>
          <w:rFonts w:ascii="Calibri" w:hAnsi="Calibri"/>
          <w:bCs/>
          <w:iCs/>
          <w:color w:val="404040" w:themeColor="text1" w:themeTint="BF"/>
          <w:szCs w:val="22"/>
        </w:rPr>
        <w:t>9</w:t>
      </w:r>
      <w:r w:rsidR="00222547">
        <w:rPr>
          <w:rFonts w:ascii="Calibri" w:hAnsi="Calibri"/>
          <w:bCs/>
          <w:iCs/>
          <w:color w:val="404040" w:themeColor="text1" w:themeTint="BF"/>
          <w:szCs w:val="22"/>
        </w:rPr>
        <w:t xml:space="preserve"> </w:t>
      </w:r>
      <w:r w:rsidR="00222547" w:rsidRPr="00511676">
        <w:rPr>
          <w:rFonts w:ascii="Calibri" w:hAnsi="Calibri"/>
          <w:bCs/>
          <w:iCs/>
          <w:color w:val="404040" w:themeColor="text1" w:themeTint="BF"/>
          <w:szCs w:val="22"/>
        </w:rPr>
        <w:t>billion gross in 12 investment</w:t>
      </w:r>
      <w:r w:rsidR="00222547">
        <w:rPr>
          <w:rFonts w:ascii="Calibri" w:hAnsi="Calibri"/>
          <w:bCs/>
          <w:iCs/>
          <w:color w:val="404040" w:themeColor="text1" w:themeTint="BF"/>
          <w:szCs w:val="22"/>
        </w:rPr>
        <w:t xml:space="preserve"> verticals. </w:t>
      </w:r>
    </w:p>
    <w:p w14:paraId="56710ABD" w14:textId="397953EE" w:rsidR="00413922" w:rsidRPr="002A5473" w:rsidRDefault="000B138E" w:rsidP="00F83B13">
      <w:pPr>
        <w:jc w:val="center"/>
        <w:rPr>
          <w:rFonts w:ascii="Calibri" w:hAnsi="Calibri"/>
          <w:bCs/>
          <w:iCs/>
          <w:color w:val="404040" w:themeColor="text1" w:themeTint="BF"/>
          <w:szCs w:val="22"/>
        </w:rPr>
      </w:pPr>
      <w:r w:rsidRPr="000B138E">
        <w:rPr>
          <w:noProof/>
        </w:rPr>
        <w:lastRenderedPageBreak/>
        <w:drawing>
          <wp:inline distT="0" distB="0" distL="0" distR="0" wp14:anchorId="33D0CAB5" wp14:editId="248F5101">
            <wp:extent cx="5334000" cy="3124021"/>
            <wp:effectExtent l="0" t="0" r="0" b="635"/>
            <wp:docPr id="404609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4968" cy="3130445"/>
                    </a:xfrm>
                    <a:prstGeom prst="rect">
                      <a:avLst/>
                    </a:prstGeom>
                    <a:noFill/>
                    <a:ln>
                      <a:noFill/>
                    </a:ln>
                  </pic:spPr>
                </pic:pic>
              </a:graphicData>
            </a:graphic>
          </wp:inline>
        </w:drawing>
      </w:r>
    </w:p>
    <w:bookmarkStart w:id="22" w:name="_Toc179797287"/>
    <w:p w14:paraId="0AFEEEC8" w14:textId="2B5AD665" w:rsidR="004E1776" w:rsidRPr="00880E22" w:rsidRDefault="004E1776" w:rsidP="004E1776">
      <w:pPr>
        <w:pStyle w:val="Heading2"/>
        <w:rPr>
          <w:color w:val="8CA4A4" w:themeColor="accent5"/>
          <w:sz w:val="22"/>
          <w:szCs w:val="22"/>
        </w:rPr>
      </w:pPr>
      <w:r w:rsidRPr="00CD4BAE">
        <w:rPr>
          <w:noProof/>
          <w:szCs w:val="22"/>
          <w:highlight w:val="green"/>
        </w:rPr>
        <mc:AlternateContent>
          <mc:Choice Requires="wps">
            <w:drawing>
              <wp:anchor distT="0" distB="0" distL="114300" distR="114300" simplePos="0" relativeHeight="251666432" behindDoc="0" locked="0" layoutInCell="1" allowOverlap="1" wp14:anchorId="2C6565C8" wp14:editId="48FE635A">
                <wp:simplePos x="0" y="0"/>
                <wp:positionH relativeFrom="margin">
                  <wp:posOffset>-12700</wp:posOffset>
                </wp:positionH>
                <wp:positionV relativeFrom="paragraph">
                  <wp:posOffset>163407</wp:posOffset>
                </wp:positionV>
                <wp:extent cx="6492240" cy="0"/>
                <wp:effectExtent l="0" t="0" r="0" b="0"/>
                <wp:wrapNone/>
                <wp:docPr id="1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2240" cy="0"/>
                        </a:xfrm>
                        <a:prstGeom prst="straightConnector1">
                          <a:avLst/>
                        </a:prstGeom>
                        <a:noFill/>
                        <a:ln w="9525">
                          <a:solidFill>
                            <a:schemeClr val="tx1">
                              <a:lumMod val="75000"/>
                              <a:lumOff val="2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F5968B" id="AutoShape 5" o:spid="_x0000_s1026" type="#_x0000_t32" style="position:absolute;margin-left:-1pt;margin-top:12.85pt;width:511.2pt;height:0;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0M10AEAAJADAAAOAAAAZHJzL2Uyb0RvYy54bWysU01v2zAMvQ/YfxB0X+wYTbcacXpI1126&#10;LUC7H8DIsi1MFgVJiZ1/P0qOva9b0Ysgkebj4+Pz9n7sNTtL5xWaiq9XOWfSCKyVaSv+4+XxwyfO&#10;fABTg0YjK36Rnt/v3r/bDraUBXaoa+kYgRhfDrbiXQi2zDIvOtmDX6GVhpINuh4CPV2b1Q4GQu91&#10;VuT5bTagq61DIb2n6MOU5LuE3zRShO9N42VguuLELaTTpfMYz2y3hbJ1YDslrjTgFSx6UIaaLlAP&#10;EICdnPoPqlfCoccmrAT2GTaNEjLNQNOs83+mee7AyjQLiePtIpN/O1jx7bw3Bxepi9E82ycUPz0z&#10;uO/AtDIReLlYWtw6SpUN1pdLSXx4e3DsOHzFmr6BU8Ckwti4PkLSfGxMYl8WseUYmKDg7c1dUdzQ&#10;TsScy6CcC63z4YvEnsVLxX1woNou7NEYWim6dWoD5ycfIi0o54LY1eCj0jptVhs2VPxuU2xSgUet&#10;6piMnyWPyb127AzkjjBOoPrU0zRT7OMmz68eoTA5aQoXc5gaLyiJxl8NHJ5MnWh0EurP13sApac7&#10;VWtzFTXqGE3ryyPWl4Obxaa1J+CrRaOv/nyn6t8/0u4XAAAA//8DAFBLAwQUAAYACAAAACEAvPB3&#10;SN4AAAAJAQAADwAAAGRycy9kb3ducmV2LnhtbEyPwU7DMBBE70j9B2uRuKDWbkRpG+JUCAnRE1Jb&#10;RK9OvCQR9jqy3TT8Pa56gOPsrGbeFJvRGjagD50jCfOZAIZUO91RI+Hj8DpdAQtRkVbGEUr4wQCb&#10;cnJTqFy7M+1w2MeGpRAKuZLQxtjnnIe6RavCzPVIyfty3qqYpG+49uqcwq3hmRCP3KqOUkOrenxp&#10;sf7en6yE+5UfzbZaHj4rH4UdFsf3tzVJeXc7Pj8BizjGv2e44Cd0KBNT5U6kAzMSplmaEiVkiyWw&#10;iy8y8QCsul54WfD/C8pfAAAA//8DAFBLAQItABQABgAIAAAAIQC2gziS/gAAAOEBAAATAAAAAAAA&#10;AAAAAAAAAAAAAABbQ29udGVudF9UeXBlc10ueG1sUEsBAi0AFAAGAAgAAAAhADj9If/WAAAAlAEA&#10;AAsAAAAAAAAAAAAAAAAALwEAAF9yZWxzLy5yZWxzUEsBAi0AFAAGAAgAAAAhAGP3QzXQAQAAkAMA&#10;AA4AAAAAAAAAAAAAAAAALgIAAGRycy9lMm9Eb2MueG1sUEsBAi0AFAAGAAgAAAAhALzwd0jeAAAA&#10;CQEAAA8AAAAAAAAAAAAAAAAAKgQAAGRycy9kb3ducmV2LnhtbFBLBQYAAAAABAAEAPMAAAA1BQAA&#10;AAA=&#10;" strokecolor="#404040 [2429]">
                <w10:wrap anchorx="margin"/>
              </v:shape>
            </w:pict>
          </mc:Fallback>
        </mc:AlternateContent>
      </w:r>
      <w:r w:rsidR="00963909" w:rsidRPr="00CD4BAE">
        <w:rPr>
          <w:color w:val="8CA4A4" w:themeColor="accent5"/>
          <w:sz w:val="22"/>
          <w:szCs w:val="22"/>
          <w:highlight w:val="green"/>
        </w:rPr>
        <w:t>Bridge Logistics Properties</w:t>
      </w:r>
      <w:bookmarkEnd w:id="22"/>
    </w:p>
    <w:p w14:paraId="6780A7DE" w14:textId="42CC42E7" w:rsidR="0057741D" w:rsidRDefault="0057741D" w:rsidP="00836490">
      <w:pPr>
        <w:jc w:val="both"/>
        <w:rPr>
          <w:rFonts w:ascii="Calibri" w:hAnsi="Calibri"/>
          <w:bCs/>
          <w:iCs/>
          <w:color w:val="404040" w:themeColor="text1" w:themeTint="BF"/>
          <w:szCs w:val="22"/>
        </w:rPr>
      </w:pPr>
      <w:r w:rsidRPr="0057741D">
        <w:rPr>
          <w:rFonts w:ascii="Calibri" w:hAnsi="Calibri"/>
          <w:bCs/>
          <w:iCs/>
          <w:color w:val="404040" w:themeColor="text1" w:themeTint="BF"/>
          <w:szCs w:val="22"/>
        </w:rPr>
        <w:t xml:space="preserve"> </w:t>
      </w:r>
      <w:r w:rsidR="00E9119F">
        <w:rPr>
          <w:rFonts w:ascii="Calibri" w:hAnsi="Calibri"/>
          <w:bCs/>
          <w:iCs/>
          <w:color w:val="404040" w:themeColor="text1" w:themeTint="BF"/>
          <w:szCs w:val="22"/>
        </w:rPr>
        <w:t xml:space="preserve">Bridge Logistics </w:t>
      </w:r>
      <w:r w:rsidR="00E9119F" w:rsidRPr="0052025C">
        <w:rPr>
          <w:rFonts w:ascii="Calibri" w:hAnsi="Calibri"/>
          <w:bCs/>
          <w:iCs/>
          <w:color w:val="404040" w:themeColor="text1" w:themeTint="BF"/>
          <w:szCs w:val="22"/>
        </w:rPr>
        <w:t xml:space="preserve">Properties is </w:t>
      </w:r>
      <w:r w:rsidR="00E9119F" w:rsidRPr="00FB3174">
        <w:rPr>
          <w:rFonts w:ascii="Calibri" w:hAnsi="Calibri"/>
          <w:bCs/>
          <w:iCs/>
          <w:color w:val="404040" w:themeColor="text1" w:themeTint="BF"/>
          <w:szCs w:val="22"/>
        </w:rPr>
        <w:t>a</w:t>
      </w:r>
      <w:r w:rsidR="0052025C" w:rsidRPr="00FB3174">
        <w:rPr>
          <w:rFonts w:ascii="Calibri" w:hAnsi="Calibri"/>
          <w:bCs/>
          <w:iCs/>
          <w:color w:val="404040" w:themeColor="text1" w:themeTint="BF"/>
          <w:szCs w:val="22"/>
        </w:rPr>
        <w:t xml:space="preserve"> </w:t>
      </w:r>
      <w:r w:rsidR="00364009" w:rsidRPr="00FB3174">
        <w:rPr>
          <w:rFonts w:ascii="Calibri" w:hAnsi="Calibri"/>
          <w:bCs/>
          <w:iCs/>
          <w:color w:val="404040" w:themeColor="text1" w:themeTint="BF"/>
          <w:szCs w:val="22"/>
        </w:rPr>
        <w:t xml:space="preserve">subsidiary of </w:t>
      </w:r>
      <w:r w:rsidR="0034374D" w:rsidRPr="00FB3174">
        <w:rPr>
          <w:rFonts w:ascii="Calibri" w:hAnsi="Calibri"/>
          <w:bCs/>
          <w:iCs/>
          <w:color w:val="404040" w:themeColor="text1" w:themeTint="BF"/>
          <w:szCs w:val="22"/>
        </w:rPr>
        <w:t>Bridge Investment Group founded in 2021</w:t>
      </w:r>
      <w:r w:rsidR="0071284B" w:rsidRPr="00FB3174">
        <w:rPr>
          <w:rFonts w:ascii="Calibri" w:hAnsi="Calibri"/>
          <w:bCs/>
          <w:iCs/>
          <w:color w:val="404040" w:themeColor="text1" w:themeTint="BF"/>
          <w:szCs w:val="22"/>
        </w:rPr>
        <w:t xml:space="preserve"> to expand Bridge’s </w:t>
      </w:r>
      <w:r w:rsidR="00E7223E" w:rsidRPr="00FB3174">
        <w:rPr>
          <w:rFonts w:ascii="Calibri" w:hAnsi="Calibri"/>
          <w:bCs/>
          <w:iCs/>
          <w:color w:val="404040" w:themeColor="text1" w:themeTint="BF"/>
          <w:szCs w:val="22"/>
        </w:rPr>
        <w:t>existing sector footprint by building and growing</w:t>
      </w:r>
      <w:r w:rsidR="00E7223E">
        <w:rPr>
          <w:rFonts w:ascii="Calibri" w:hAnsi="Calibri"/>
          <w:bCs/>
          <w:iCs/>
          <w:color w:val="404040" w:themeColor="text1" w:themeTint="BF"/>
          <w:szCs w:val="22"/>
        </w:rPr>
        <w:t xml:space="preserve"> a vertically integrated sector-focused logistics platform. </w:t>
      </w:r>
      <w:r w:rsidR="00396AD4">
        <w:rPr>
          <w:rFonts w:ascii="Calibri" w:hAnsi="Calibri"/>
          <w:bCs/>
          <w:iCs/>
          <w:color w:val="404040" w:themeColor="text1" w:themeTint="BF"/>
          <w:szCs w:val="22"/>
        </w:rPr>
        <w:t>Bridge hired Jay Cornforth and Brian Gag</w:t>
      </w:r>
      <w:r w:rsidR="00E25375">
        <w:rPr>
          <w:rFonts w:ascii="Calibri" w:hAnsi="Calibri"/>
          <w:bCs/>
          <w:iCs/>
          <w:color w:val="404040" w:themeColor="text1" w:themeTint="BF"/>
          <w:szCs w:val="22"/>
        </w:rPr>
        <w:t xml:space="preserve">ne, industry </w:t>
      </w:r>
      <w:r w:rsidR="00F95C7B">
        <w:rPr>
          <w:rFonts w:ascii="Calibri" w:hAnsi="Calibri"/>
          <w:bCs/>
          <w:iCs/>
          <w:color w:val="404040" w:themeColor="text1" w:themeTint="BF"/>
          <w:szCs w:val="22"/>
        </w:rPr>
        <w:t xml:space="preserve">veterans most recently holding key </w:t>
      </w:r>
      <w:r w:rsidR="00F806CF">
        <w:rPr>
          <w:rFonts w:ascii="Calibri" w:hAnsi="Calibri"/>
          <w:bCs/>
          <w:iCs/>
          <w:color w:val="404040" w:themeColor="text1" w:themeTint="BF"/>
          <w:szCs w:val="22"/>
        </w:rPr>
        <w:t>positions within Brookfield’s logistics investment platform</w:t>
      </w:r>
      <w:r w:rsidR="00FB52DF">
        <w:rPr>
          <w:rFonts w:ascii="Calibri" w:hAnsi="Calibri"/>
          <w:bCs/>
          <w:iCs/>
          <w:color w:val="404040" w:themeColor="text1" w:themeTint="BF"/>
          <w:szCs w:val="22"/>
        </w:rPr>
        <w:t xml:space="preserve"> with previous working </w:t>
      </w:r>
      <w:r w:rsidR="00955B91">
        <w:rPr>
          <w:rFonts w:ascii="Calibri" w:hAnsi="Calibri"/>
          <w:bCs/>
          <w:iCs/>
          <w:color w:val="404040" w:themeColor="text1" w:themeTint="BF"/>
          <w:szCs w:val="22"/>
        </w:rPr>
        <w:t>history</w:t>
      </w:r>
      <w:r w:rsidR="00FB52DF">
        <w:rPr>
          <w:rFonts w:ascii="Calibri" w:hAnsi="Calibri"/>
          <w:bCs/>
          <w:iCs/>
          <w:color w:val="404040" w:themeColor="text1" w:themeTint="BF"/>
          <w:szCs w:val="22"/>
        </w:rPr>
        <w:t xml:space="preserve"> at IDI </w:t>
      </w:r>
      <w:proofErr w:type="spellStart"/>
      <w:r w:rsidR="00955B91">
        <w:rPr>
          <w:rFonts w:ascii="Calibri" w:hAnsi="Calibri"/>
          <w:bCs/>
          <w:iCs/>
          <w:color w:val="404040" w:themeColor="text1" w:themeTint="BF"/>
          <w:szCs w:val="22"/>
        </w:rPr>
        <w:t>Gazeley</w:t>
      </w:r>
      <w:proofErr w:type="spellEnd"/>
      <w:r w:rsidR="00955B91">
        <w:rPr>
          <w:rFonts w:ascii="Calibri" w:hAnsi="Calibri"/>
          <w:bCs/>
          <w:iCs/>
          <w:color w:val="404040" w:themeColor="text1" w:themeTint="BF"/>
          <w:szCs w:val="22"/>
        </w:rPr>
        <w:t xml:space="preserve">. </w:t>
      </w:r>
      <w:r w:rsidR="00E25375">
        <w:rPr>
          <w:rFonts w:ascii="Calibri" w:hAnsi="Calibri"/>
          <w:bCs/>
          <w:iCs/>
          <w:color w:val="404040" w:themeColor="text1" w:themeTint="BF"/>
          <w:szCs w:val="22"/>
        </w:rPr>
        <w:t xml:space="preserve"> </w:t>
      </w:r>
      <w:r w:rsidR="00C86E59">
        <w:rPr>
          <w:rFonts w:ascii="Calibri" w:hAnsi="Calibri"/>
          <w:bCs/>
          <w:iCs/>
          <w:color w:val="404040" w:themeColor="text1" w:themeTint="BF"/>
          <w:szCs w:val="22"/>
        </w:rPr>
        <w:t xml:space="preserve">The </w:t>
      </w:r>
      <w:r w:rsidR="00EC2174">
        <w:rPr>
          <w:rFonts w:ascii="Calibri" w:hAnsi="Calibri"/>
          <w:bCs/>
          <w:iCs/>
          <w:color w:val="404040" w:themeColor="text1" w:themeTint="BF"/>
          <w:szCs w:val="22"/>
        </w:rPr>
        <w:t xml:space="preserve">team has been built out to total </w:t>
      </w:r>
      <w:r w:rsidR="0002349B">
        <w:rPr>
          <w:rFonts w:ascii="Calibri" w:hAnsi="Calibri"/>
          <w:bCs/>
          <w:iCs/>
          <w:color w:val="404040" w:themeColor="text1" w:themeTint="BF"/>
          <w:szCs w:val="22"/>
        </w:rPr>
        <w:t>34</w:t>
      </w:r>
      <w:r w:rsidR="00EC2174">
        <w:rPr>
          <w:rFonts w:ascii="Calibri" w:hAnsi="Calibri"/>
          <w:bCs/>
          <w:iCs/>
          <w:color w:val="404040" w:themeColor="text1" w:themeTint="BF"/>
          <w:szCs w:val="22"/>
        </w:rPr>
        <w:t xml:space="preserve"> dedicated professionals in offices across the U.S. </w:t>
      </w:r>
      <w:r w:rsidR="000205DE">
        <w:rPr>
          <w:rFonts w:ascii="Calibri" w:hAnsi="Calibri"/>
          <w:bCs/>
          <w:iCs/>
          <w:color w:val="404040" w:themeColor="text1" w:themeTint="BF"/>
          <w:szCs w:val="22"/>
        </w:rPr>
        <w:t xml:space="preserve">including Newport Beach, Dallas, New Jersey, Atlanta, and Miami. </w:t>
      </w:r>
    </w:p>
    <w:p w14:paraId="2672AFEC" w14:textId="12C84D34" w:rsidR="0052025C" w:rsidRDefault="0052025C" w:rsidP="00A91DCC">
      <w:pPr>
        <w:pStyle w:val="ListParagraph"/>
        <w:numPr>
          <w:ilvl w:val="0"/>
          <w:numId w:val="15"/>
        </w:numPr>
        <w:jc w:val="both"/>
        <w:rPr>
          <w:rFonts w:ascii="Calibri" w:hAnsi="Calibri"/>
          <w:bCs/>
          <w:iCs/>
          <w:color w:val="404040" w:themeColor="text1" w:themeTint="BF"/>
          <w:szCs w:val="22"/>
        </w:rPr>
      </w:pPr>
      <w:r>
        <w:rPr>
          <w:rFonts w:ascii="Calibri" w:hAnsi="Calibri"/>
          <w:bCs/>
          <w:iCs/>
          <w:color w:val="404040" w:themeColor="text1" w:themeTint="BF"/>
          <w:szCs w:val="22"/>
        </w:rPr>
        <w:t xml:space="preserve">Ownership: 60% by Bridge Investment Group Holdings and 40% by Bridge’s </w:t>
      </w:r>
      <w:r w:rsidR="00F14529">
        <w:rPr>
          <w:rFonts w:ascii="Calibri" w:hAnsi="Calibri"/>
          <w:bCs/>
          <w:iCs/>
          <w:color w:val="404040" w:themeColor="text1" w:themeTint="BF"/>
          <w:szCs w:val="22"/>
        </w:rPr>
        <w:t>partners</w:t>
      </w:r>
      <w:r w:rsidR="00511676">
        <w:rPr>
          <w:rFonts w:ascii="Calibri" w:hAnsi="Calibri"/>
          <w:bCs/>
          <w:iCs/>
          <w:color w:val="404040" w:themeColor="text1" w:themeTint="BF"/>
          <w:szCs w:val="22"/>
        </w:rPr>
        <w:t>:</w:t>
      </w:r>
      <w:r w:rsidR="00F14529">
        <w:rPr>
          <w:rFonts w:ascii="Calibri" w:hAnsi="Calibri"/>
          <w:bCs/>
          <w:iCs/>
          <w:color w:val="404040" w:themeColor="text1" w:themeTint="BF"/>
          <w:szCs w:val="22"/>
        </w:rPr>
        <w:t xml:space="preserve"> Brian Gagne, Jay Cornforth, </w:t>
      </w:r>
      <w:r w:rsidR="00511676">
        <w:rPr>
          <w:rFonts w:ascii="Calibri" w:hAnsi="Calibri"/>
          <w:bCs/>
          <w:iCs/>
          <w:color w:val="404040" w:themeColor="text1" w:themeTint="BF"/>
          <w:szCs w:val="22"/>
        </w:rPr>
        <w:t xml:space="preserve">Matt Berger, Paul Jones, Conner Tamlyn. </w:t>
      </w:r>
    </w:p>
    <w:p w14:paraId="22F31413" w14:textId="33217AD9" w:rsidR="00857840" w:rsidRDefault="00857840" w:rsidP="00A91DCC">
      <w:pPr>
        <w:pStyle w:val="ListParagraph"/>
        <w:numPr>
          <w:ilvl w:val="0"/>
          <w:numId w:val="15"/>
        </w:numPr>
        <w:jc w:val="both"/>
        <w:rPr>
          <w:rFonts w:ascii="Calibri" w:hAnsi="Calibri"/>
          <w:bCs/>
          <w:iCs/>
          <w:color w:val="404040" w:themeColor="text1" w:themeTint="BF"/>
          <w:szCs w:val="22"/>
        </w:rPr>
      </w:pPr>
      <w:r>
        <w:rPr>
          <w:rFonts w:ascii="Calibri" w:hAnsi="Calibri"/>
          <w:bCs/>
          <w:iCs/>
          <w:color w:val="404040" w:themeColor="text1" w:themeTint="BF"/>
          <w:szCs w:val="22"/>
        </w:rPr>
        <w:t>AUM:</w:t>
      </w:r>
      <w:r w:rsidR="002023E3">
        <w:rPr>
          <w:rFonts w:ascii="Calibri" w:hAnsi="Calibri"/>
          <w:bCs/>
          <w:iCs/>
          <w:color w:val="404040" w:themeColor="text1" w:themeTint="BF"/>
          <w:szCs w:val="22"/>
        </w:rPr>
        <w:t xml:space="preserve"> </w:t>
      </w:r>
      <w:r w:rsidR="002023E3" w:rsidRPr="00CD4BAE">
        <w:rPr>
          <w:rFonts w:ascii="Calibri" w:hAnsi="Calibri"/>
          <w:bCs/>
          <w:iCs/>
          <w:color w:val="404040" w:themeColor="text1" w:themeTint="BF"/>
          <w:szCs w:val="22"/>
          <w:highlight w:val="cyan"/>
        </w:rPr>
        <w:t>$983</w:t>
      </w:r>
      <w:r w:rsidR="00DE6019" w:rsidRPr="00CD4BAE">
        <w:rPr>
          <w:rFonts w:ascii="Calibri" w:hAnsi="Calibri"/>
          <w:bCs/>
          <w:iCs/>
          <w:color w:val="404040" w:themeColor="text1" w:themeTint="BF"/>
          <w:szCs w:val="22"/>
          <w:highlight w:val="cyan"/>
        </w:rPr>
        <w:t xml:space="preserve"> million</w:t>
      </w:r>
      <w:r w:rsidR="002023E3" w:rsidRPr="00CD4BAE">
        <w:rPr>
          <w:rFonts w:ascii="Calibri" w:hAnsi="Calibri"/>
          <w:bCs/>
          <w:iCs/>
          <w:color w:val="404040" w:themeColor="text1" w:themeTint="BF"/>
          <w:szCs w:val="22"/>
          <w:highlight w:val="cyan"/>
        </w:rPr>
        <w:t xml:space="preserve"> gross</w:t>
      </w:r>
      <w:r w:rsidR="003B3748" w:rsidRPr="00CD4BAE">
        <w:rPr>
          <w:rFonts w:ascii="Calibri" w:hAnsi="Calibri"/>
          <w:bCs/>
          <w:iCs/>
          <w:color w:val="404040" w:themeColor="text1" w:themeTint="BF"/>
          <w:szCs w:val="22"/>
          <w:highlight w:val="cyan"/>
        </w:rPr>
        <w:t xml:space="preserve"> and</w:t>
      </w:r>
      <w:r w:rsidR="002023E3" w:rsidRPr="00CD4BAE">
        <w:rPr>
          <w:rFonts w:ascii="Calibri" w:hAnsi="Calibri"/>
          <w:bCs/>
          <w:iCs/>
          <w:color w:val="404040" w:themeColor="text1" w:themeTint="BF"/>
          <w:szCs w:val="22"/>
          <w:highlight w:val="cyan"/>
        </w:rPr>
        <w:t xml:space="preserve"> $392 million net</w:t>
      </w:r>
      <w:r w:rsidR="00DE6019" w:rsidRPr="00CD4BAE">
        <w:rPr>
          <w:rFonts w:ascii="Calibri" w:hAnsi="Calibri"/>
          <w:bCs/>
          <w:iCs/>
          <w:color w:val="404040" w:themeColor="text1" w:themeTint="BF"/>
          <w:szCs w:val="22"/>
          <w:highlight w:val="cyan"/>
        </w:rPr>
        <w:t xml:space="preserve"> across two </w:t>
      </w:r>
      <w:r w:rsidR="004450EC" w:rsidRPr="00CD4BAE">
        <w:rPr>
          <w:rFonts w:ascii="Calibri" w:hAnsi="Calibri"/>
          <w:bCs/>
          <w:iCs/>
          <w:color w:val="404040" w:themeColor="text1" w:themeTint="BF"/>
          <w:szCs w:val="22"/>
          <w:highlight w:val="cyan"/>
        </w:rPr>
        <w:t>non-core closed</w:t>
      </w:r>
      <w:r w:rsidR="003B3748" w:rsidRPr="00CD4BAE">
        <w:rPr>
          <w:rFonts w:ascii="Calibri" w:hAnsi="Calibri"/>
          <w:bCs/>
          <w:iCs/>
          <w:color w:val="404040" w:themeColor="text1" w:themeTint="BF"/>
          <w:szCs w:val="22"/>
          <w:highlight w:val="cyan"/>
        </w:rPr>
        <w:t>-</w:t>
      </w:r>
      <w:r w:rsidR="004450EC" w:rsidRPr="00CD4BAE">
        <w:rPr>
          <w:rFonts w:ascii="Calibri" w:hAnsi="Calibri"/>
          <w:bCs/>
          <w:iCs/>
          <w:color w:val="404040" w:themeColor="text1" w:themeTint="BF"/>
          <w:szCs w:val="22"/>
          <w:highlight w:val="cyan"/>
        </w:rPr>
        <w:t xml:space="preserve">end </w:t>
      </w:r>
      <w:r w:rsidR="00E00E54" w:rsidRPr="00CD4BAE">
        <w:rPr>
          <w:rFonts w:ascii="Calibri" w:hAnsi="Calibri"/>
          <w:bCs/>
          <w:iCs/>
          <w:color w:val="404040" w:themeColor="text1" w:themeTint="BF"/>
          <w:szCs w:val="22"/>
          <w:highlight w:val="cyan"/>
        </w:rPr>
        <w:t>fund ventures</w:t>
      </w:r>
      <w:r w:rsidR="00DD0C97" w:rsidRPr="00CD4BAE">
        <w:rPr>
          <w:rFonts w:ascii="Calibri" w:hAnsi="Calibri"/>
          <w:bCs/>
          <w:iCs/>
          <w:color w:val="404040" w:themeColor="text1" w:themeTint="BF"/>
          <w:szCs w:val="22"/>
          <w:highlight w:val="cyan"/>
        </w:rPr>
        <w:t xml:space="preserve"> and </w:t>
      </w:r>
      <w:r w:rsidR="00E00E54" w:rsidRPr="00CD4BAE">
        <w:rPr>
          <w:rFonts w:ascii="Calibri" w:hAnsi="Calibri"/>
          <w:bCs/>
          <w:iCs/>
          <w:color w:val="404040" w:themeColor="text1" w:themeTint="BF"/>
          <w:szCs w:val="22"/>
          <w:highlight w:val="cyan"/>
        </w:rPr>
        <w:t xml:space="preserve">one-off </w:t>
      </w:r>
      <w:r w:rsidR="00DD0C97" w:rsidRPr="00CD4BAE">
        <w:rPr>
          <w:rFonts w:ascii="Calibri" w:hAnsi="Calibri"/>
          <w:bCs/>
          <w:iCs/>
          <w:color w:val="404040" w:themeColor="text1" w:themeTint="BF"/>
          <w:szCs w:val="22"/>
          <w:highlight w:val="cyan"/>
        </w:rPr>
        <w:t>joint ventures with Clarion LIT</w:t>
      </w:r>
      <w:r w:rsidR="00E00E54" w:rsidRPr="00CD4BAE">
        <w:rPr>
          <w:rFonts w:ascii="Calibri" w:hAnsi="Calibri"/>
          <w:bCs/>
          <w:iCs/>
          <w:color w:val="404040" w:themeColor="text1" w:themeTint="BF"/>
          <w:szCs w:val="22"/>
          <w:highlight w:val="cyan"/>
        </w:rPr>
        <w:t>.</w:t>
      </w:r>
      <w:r w:rsidR="00816128">
        <w:rPr>
          <w:rFonts w:ascii="Calibri" w:hAnsi="Calibri"/>
          <w:bCs/>
          <w:iCs/>
          <w:color w:val="404040" w:themeColor="text1" w:themeTint="BF"/>
          <w:szCs w:val="22"/>
        </w:rPr>
        <w:t xml:space="preserve"> </w:t>
      </w:r>
    </w:p>
    <w:p w14:paraId="5AF48FA2" w14:textId="032BE948" w:rsidR="00857840" w:rsidRDefault="00920F57" w:rsidP="00A91DCC">
      <w:pPr>
        <w:pStyle w:val="ListParagraph"/>
        <w:numPr>
          <w:ilvl w:val="0"/>
          <w:numId w:val="15"/>
        </w:numPr>
        <w:jc w:val="both"/>
        <w:rPr>
          <w:rFonts w:ascii="Calibri" w:hAnsi="Calibri"/>
          <w:bCs/>
          <w:iCs/>
          <w:color w:val="404040" w:themeColor="text1" w:themeTint="BF"/>
          <w:szCs w:val="22"/>
        </w:rPr>
      </w:pPr>
      <w:r>
        <w:rPr>
          <w:rFonts w:ascii="Calibri" w:hAnsi="Calibri"/>
          <w:bCs/>
          <w:iCs/>
          <w:color w:val="404040" w:themeColor="text1" w:themeTint="BF"/>
          <w:szCs w:val="22"/>
        </w:rPr>
        <w:t xml:space="preserve">Staffing </w:t>
      </w:r>
      <w:r w:rsidR="00407EA4">
        <w:rPr>
          <w:rFonts w:ascii="Calibri" w:hAnsi="Calibri"/>
          <w:bCs/>
          <w:iCs/>
          <w:color w:val="404040" w:themeColor="text1" w:themeTint="BF"/>
          <w:szCs w:val="22"/>
        </w:rPr>
        <w:t xml:space="preserve">is organized regionally with coverage divided into West, Northeast, Central, and Southeast Regions and </w:t>
      </w:r>
      <w:r w:rsidR="00570919">
        <w:rPr>
          <w:rFonts w:ascii="Calibri" w:hAnsi="Calibri"/>
          <w:bCs/>
          <w:iCs/>
          <w:color w:val="404040" w:themeColor="text1" w:themeTint="BF"/>
          <w:szCs w:val="22"/>
        </w:rPr>
        <w:t xml:space="preserve">roles covering Investments, Development, Asset Management, </w:t>
      </w:r>
      <w:r w:rsidR="005C32AD">
        <w:rPr>
          <w:rFonts w:ascii="Calibri" w:hAnsi="Calibri"/>
          <w:bCs/>
          <w:iCs/>
          <w:color w:val="404040" w:themeColor="text1" w:themeTint="BF"/>
          <w:szCs w:val="22"/>
        </w:rPr>
        <w:t>and Construction.</w:t>
      </w:r>
    </w:p>
    <w:p w14:paraId="2FDFA556" w14:textId="46364DB5" w:rsidR="009666DF" w:rsidRPr="00321A26" w:rsidRDefault="003B01D1" w:rsidP="00A91DCC">
      <w:pPr>
        <w:pStyle w:val="ListParagraph"/>
        <w:numPr>
          <w:ilvl w:val="1"/>
          <w:numId w:val="15"/>
        </w:numPr>
        <w:jc w:val="both"/>
        <w:rPr>
          <w:rFonts w:ascii="Calibri" w:hAnsi="Calibri"/>
          <w:bCs/>
          <w:iCs/>
          <w:color w:val="404040" w:themeColor="text1" w:themeTint="BF"/>
          <w:szCs w:val="22"/>
          <w:highlight w:val="yellow"/>
        </w:rPr>
      </w:pPr>
      <w:r w:rsidRPr="00321A26">
        <w:rPr>
          <w:rFonts w:ascii="Calibri" w:hAnsi="Calibri"/>
          <w:bCs/>
          <w:iCs/>
          <w:color w:val="404040" w:themeColor="text1" w:themeTint="BF"/>
          <w:szCs w:val="22"/>
          <w:highlight w:val="yellow"/>
        </w:rPr>
        <w:t xml:space="preserve">The team includes eight </w:t>
      </w:r>
      <w:r w:rsidR="00F10449" w:rsidRPr="00321A26">
        <w:rPr>
          <w:rFonts w:ascii="Calibri" w:hAnsi="Calibri"/>
          <w:bCs/>
          <w:iCs/>
          <w:color w:val="404040" w:themeColor="text1" w:themeTint="BF"/>
          <w:szCs w:val="22"/>
          <w:highlight w:val="yellow"/>
        </w:rPr>
        <w:t xml:space="preserve">senior employees </w:t>
      </w:r>
      <w:r w:rsidR="005A4084" w:rsidRPr="00321A26">
        <w:rPr>
          <w:rFonts w:ascii="Calibri" w:hAnsi="Calibri"/>
          <w:bCs/>
          <w:iCs/>
          <w:color w:val="404040" w:themeColor="text1" w:themeTint="BF"/>
          <w:szCs w:val="22"/>
          <w:highlight w:val="yellow"/>
        </w:rPr>
        <w:t>contributing</w:t>
      </w:r>
      <w:r w:rsidR="00F10449" w:rsidRPr="00321A26">
        <w:rPr>
          <w:rFonts w:ascii="Calibri" w:hAnsi="Calibri"/>
          <w:bCs/>
          <w:iCs/>
          <w:color w:val="404040" w:themeColor="text1" w:themeTint="BF"/>
          <w:szCs w:val="22"/>
          <w:highlight w:val="yellow"/>
        </w:rPr>
        <w:t xml:space="preserve"> to the platform’s development activity</w:t>
      </w:r>
      <w:r w:rsidR="00203F7B" w:rsidRPr="00321A26">
        <w:rPr>
          <w:rFonts w:ascii="Calibri" w:hAnsi="Calibri"/>
          <w:bCs/>
          <w:iCs/>
          <w:color w:val="404040" w:themeColor="text1" w:themeTint="BF"/>
          <w:szCs w:val="22"/>
          <w:highlight w:val="yellow"/>
        </w:rPr>
        <w:t xml:space="preserve"> across programs</w:t>
      </w:r>
      <w:r w:rsidR="00543501" w:rsidRPr="00321A26">
        <w:rPr>
          <w:rFonts w:ascii="Calibri" w:hAnsi="Calibri"/>
          <w:bCs/>
          <w:iCs/>
          <w:color w:val="404040" w:themeColor="text1" w:themeTint="BF"/>
          <w:szCs w:val="22"/>
          <w:highlight w:val="yellow"/>
        </w:rPr>
        <w:t xml:space="preserve"> including </w:t>
      </w:r>
      <w:r w:rsidR="00A37FEF" w:rsidRPr="00321A26">
        <w:rPr>
          <w:rFonts w:ascii="Calibri" w:hAnsi="Calibri"/>
          <w:bCs/>
          <w:iCs/>
          <w:color w:val="404040" w:themeColor="text1" w:themeTint="BF"/>
          <w:szCs w:val="22"/>
          <w:highlight w:val="yellow"/>
        </w:rPr>
        <w:t>four</w:t>
      </w:r>
      <w:r w:rsidR="005A4084" w:rsidRPr="00321A26">
        <w:rPr>
          <w:rFonts w:ascii="Calibri" w:hAnsi="Calibri"/>
          <w:bCs/>
          <w:iCs/>
          <w:color w:val="404040" w:themeColor="text1" w:themeTint="BF"/>
          <w:szCs w:val="22"/>
          <w:highlight w:val="yellow"/>
        </w:rPr>
        <w:t xml:space="preserve"> fully dedicated senior professionals:</w:t>
      </w:r>
    </w:p>
    <w:p w14:paraId="477FE831" w14:textId="1FB6FBAF" w:rsidR="005A4084" w:rsidRDefault="005A4084" w:rsidP="00A91DCC">
      <w:pPr>
        <w:pStyle w:val="ListParagraph"/>
        <w:numPr>
          <w:ilvl w:val="2"/>
          <w:numId w:val="15"/>
        </w:numPr>
        <w:jc w:val="both"/>
        <w:rPr>
          <w:rFonts w:ascii="Calibri" w:hAnsi="Calibri"/>
          <w:bCs/>
          <w:iCs/>
          <w:color w:val="404040" w:themeColor="text1" w:themeTint="BF"/>
          <w:szCs w:val="22"/>
        </w:rPr>
      </w:pPr>
      <w:r>
        <w:rPr>
          <w:rFonts w:ascii="Calibri" w:hAnsi="Calibri"/>
          <w:bCs/>
          <w:iCs/>
          <w:color w:val="404040" w:themeColor="text1" w:themeTint="BF"/>
          <w:szCs w:val="22"/>
        </w:rPr>
        <w:t>Bob Close, Director</w:t>
      </w:r>
      <w:r w:rsidR="004C2EA1">
        <w:rPr>
          <w:rFonts w:ascii="Calibri" w:hAnsi="Calibri"/>
          <w:bCs/>
          <w:iCs/>
          <w:color w:val="404040" w:themeColor="text1" w:themeTint="BF"/>
          <w:szCs w:val="22"/>
        </w:rPr>
        <w:t>, Development &amp; Construction</w:t>
      </w:r>
    </w:p>
    <w:p w14:paraId="1291664B" w14:textId="51706558" w:rsidR="00871A07" w:rsidRDefault="00871A07" w:rsidP="00A91DCC">
      <w:pPr>
        <w:pStyle w:val="ListParagraph"/>
        <w:numPr>
          <w:ilvl w:val="2"/>
          <w:numId w:val="15"/>
        </w:numPr>
        <w:jc w:val="both"/>
        <w:rPr>
          <w:rFonts w:ascii="Calibri" w:hAnsi="Calibri"/>
          <w:bCs/>
          <w:iCs/>
          <w:color w:val="404040" w:themeColor="text1" w:themeTint="BF"/>
          <w:szCs w:val="22"/>
        </w:rPr>
      </w:pPr>
      <w:r>
        <w:rPr>
          <w:rFonts w:ascii="Calibri" w:hAnsi="Calibri"/>
          <w:bCs/>
          <w:iCs/>
          <w:color w:val="404040" w:themeColor="text1" w:themeTint="BF"/>
          <w:szCs w:val="22"/>
        </w:rPr>
        <w:t xml:space="preserve">Matt </w:t>
      </w:r>
      <w:proofErr w:type="spellStart"/>
      <w:r>
        <w:rPr>
          <w:rFonts w:ascii="Calibri" w:hAnsi="Calibri"/>
          <w:bCs/>
          <w:iCs/>
          <w:color w:val="404040" w:themeColor="text1" w:themeTint="BF"/>
          <w:szCs w:val="22"/>
        </w:rPr>
        <w:t>Toia</w:t>
      </w:r>
      <w:proofErr w:type="spellEnd"/>
      <w:r>
        <w:rPr>
          <w:rFonts w:ascii="Calibri" w:hAnsi="Calibri"/>
          <w:bCs/>
          <w:iCs/>
          <w:color w:val="404040" w:themeColor="text1" w:themeTint="BF"/>
          <w:szCs w:val="22"/>
        </w:rPr>
        <w:t xml:space="preserve">, VP, </w:t>
      </w:r>
      <w:r w:rsidR="00A60090">
        <w:rPr>
          <w:rFonts w:ascii="Calibri" w:hAnsi="Calibri"/>
          <w:bCs/>
          <w:iCs/>
          <w:color w:val="404040" w:themeColor="text1" w:themeTint="BF"/>
          <w:szCs w:val="22"/>
        </w:rPr>
        <w:t xml:space="preserve">Northeast Region </w:t>
      </w:r>
      <w:r>
        <w:rPr>
          <w:rFonts w:ascii="Calibri" w:hAnsi="Calibri"/>
          <w:bCs/>
          <w:iCs/>
          <w:color w:val="404040" w:themeColor="text1" w:themeTint="BF"/>
          <w:szCs w:val="22"/>
        </w:rPr>
        <w:t>Development</w:t>
      </w:r>
    </w:p>
    <w:p w14:paraId="1CE534B8" w14:textId="74CA8E34" w:rsidR="00871A07" w:rsidRDefault="00871A07" w:rsidP="00A91DCC">
      <w:pPr>
        <w:pStyle w:val="ListParagraph"/>
        <w:numPr>
          <w:ilvl w:val="2"/>
          <w:numId w:val="15"/>
        </w:numPr>
        <w:jc w:val="both"/>
        <w:rPr>
          <w:rFonts w:ascii="Calibri" w:hAnsi="Calibri"/>
          <w:bCs/>
          <w:iCs/>
          <w:color w:val="404040" w:themeColor="text1" w:themeTint="BF"/>
          <w:szCs w:val="22"/>
        </w:rPr>
      </w:pPr>
      <w:proofErr w:type="spellStart"/>
      <w:r>
        <w:rPr>
          <w:rFonts w:ascii="Calibri" w:hAnsi="Calibri"/>
          <w:bCs/>
          <w:iCs/>
          <w:color w:val="404040" w:themeColor="text1" w:themeTint="BF"/>
          <w:szCs w:val="22"/>
        </w:rPr>
        <w:t>Arlin</w:t>
      </w:r>
      <w:proofErr w:type="spellEnd"/>
      <w:r>
        <w:rPr>
          <w:rFonts w:ascii="Calibri" w:hAnsi="Calibri"/>
          <w:bCs/>
          <w:iCs/>
          <w:color w:val="404040" w:themeColor="text1" w:themeTint="BF"/>
          <w:szCs w:val="22"/>
        </w:rPr>
        <w:t xml:space="preserve"> </w:t>
      </w:r>
      <w:proofErr w:type="spellStart"/>
      <w:r>
        <w:rPr>
          <w:rFonts w:ascii="Calibri" w:hAnsi="Calibri"/>
          <w:bCs/>
          <w:iCs/>
          <w:color w:val="404040" w:themeColor="text1" w:themeTint="BF"/>
          <w:szCs w:val="22"/>
        </w:rPr>
        <w:t>Pischke</w:t>
      </w:r>
      <w:proofErr w:type="spellEnd"/>
      <w:r>
        <w:rPr>
          <w:rFonts w:ascii="Calibri" w:hAnsi="Calibri"/>
          <w:bCs/>
          <w:iCs/>
          <w:color w:val="404040" w:themeColor="text1" w:themeTint="BF"/>
          <w:szCs w:val="22"/>
        </w:rPr>
        <w:t>, VP</w:t>
      </w:r>
      <w:r w:rsidR="00A37FEF">
        <w:rPr>
          <w:rFonts w:ascii="Calibri" w:hAnsi="Calibri"/>
          <w:bCs/>
          <w:iCs/>
          <w:color w:val="404040" w:themeColor="text1" w:themeTint="BF"/>
          <w:szCs w:val="22"/>
        </w:rPr>
        <w:t xml:space="preserve">, </w:t>
      </w:r>
      <w:r w:rsidR="00A60090">
        <w:rPr>
          <w:rFonts w:ascii="Calibri" w:hAnsi="Calibri"/>
          <w:bCs/>
          <w:iCs/>
          <w:color w:val="404040" w:themeColor="text1" w:themeTint="BF"/>
          <w:szCs w:val="22"/>
        </w:rPr>
        <w:t xml:space="preserve">Central Region </w:t>
      </w:r>
      <w:r w:rsidR="00A37FEF">
        <w:rPr>
          <w:rFonts w:ascii="Calibri" w:hAnsi="Calibri"/>
          <w:bCs/>
          <w:iCs/>
          <w:color w:val="404040" w:themeColor="text1" w:themeTint="BF"/>
          <w:szCs w:val="22"/>
        </w:rPr>
        <w:t>Development</w:t>
      </w:r>
    </w:p>
    <w:p w14:paraId="026E648E" w14:textId="5A028740" w:rsidR="00A37FEF" w:rsidRDefault="00A37FEF" w:rsidP="00A91DCC">
      <w:pPr>
        <w:pStyle w:val="ListParagraph"/>
        <w:numPr>
          <w:ilvl w:val="2"/>
          <w:numId w:val="15"/>
        </w:numPr>
        <w:jc w:val="both"/>
        <w:rPr>
          <w:rFonts w:ascii="Calibri" w:hAnsi="Calibri"/>
          <w:bCs/>
          <w:iCs/>
          <w:color w:val="404040" w:themeColor="text1" w:themeTint="BF"/>
          <w:szCs w:val="22"/>
        </w:rPr>
      </w:pPr>
      <w:r>
        <w:rPr>
          <w:rFonts w:ascii="Calibri" w:hAnsi="Calibri"/>
          <w:bCs/>
          <w:iCs/>
          <w:color w:val="404040" w:themeColor="text1" w:themeTint="BF"/>
          <w:szCs w:val="22"/>
        </w:rPr>
        <w:t xml:space="preserve">Eddy </w:t>
      </w:r>
      <w:proofErr w:type="spellStart"/>
      <w:r>
        <w:rPr>
          <w:rFonts w:ascii="Calibri" w:hAnsi="Calibri"/>
          <w:bCs/>
          <w:iCs/>
          <w:color w:val="404040" w:themeColor="text1" w:themeTint="BF"/>
          <w:szCs w:val="22"/>
        </w:rPr>
        <w:t>Santamarina</w:t>
      </w:r>
      <w:proofErr w:type="spellEnd"/>
      <w:r>
        <w:rPr>
          <w:rFonts w:ascii="Calibri" w:hAnsi="Calibri"/>
          <w:bCs/>
          <w:iCs/>
          <w:color w:val="404040" w:themeColor="text1" w:themeTint="BF"/>
          <w:szCs w:val="22"/>
        </w:rPr>
        <w:t>, VP</w:t>
      </w:r>
      <w:r w:rsidR="00A60090">
        <w:rPr>
          <w:rFonts w:ascii="Calibri" w:hAnsi="Calibri"/>
          <w:bCs/>
          <w:iCs/>
          <w:color w:val="404040" w:themeColor="text1" w:themeTint="BF"/>
          <w:szCs w:val="22"/>
        </w:rPr>
        <w:t>, Southeast Region</w:t>
      </w:r>
      <w:r>
        <w:rPr>
          <w:rFonts w:ascii="Calibri" w:hAnsi="Calibri"/>
          <w:bCs/>
          <w:iCs/>
          <w:color w:val="404040" w:themeColor="text1" w:themeTint="BF"/>
          <w:szCs w:val="22"/>
        </w:rPr>
        <w:t xml:space="preserve"> Development</w:t>
      </w:r>
    </w:p>
    <w:p w14:paraId="3CC36E5D" w14:textId="47A4C9B2" w:rsidR="005016A3" w:rsidRDefault="005016A3" w:rsidP="00A91DCC">
      <w:pPr>
        <w:pStyle w:val="ListParagraph"/>
        <w:numPr>
          <w:ilvl w:val="0"/>
          <w:numId w:val="15"/>
        </w:numPr>
        <w:jc w:val="both"/>
        <w:rPr>
          <w:rFonts w:ascii="Calibri" w:hAnsi="Calibri"/>
          <w:bCs/>
          <w:iCs/>
          <w:color w:val="404040" w:themeColor="text1" w:themeTint="BF"/>
          <w:szCs w:val="22"/>
        </w:rPr>
      </w:pPr>
      <w:r>
        <w:rPr>
          <w:rFonts w:ascii="Calibri" w:hAnsi="Calibri"/>
          <w:bCs/>
          <w:iCs/>
          <w:color w:val="404040" w:themeColor="text1" w:themeTint="BF"/>
          <w:szCs w:val="22"/>
        </w:rPr>
        <w:t xml:space="preserve">BLP has active acquisitions or development activity in </w:t>
      </w:r>
      <w:r w:rsidR="00396165">
        <w:rPr>
          <w:rFonts w:ascii="Calibri" w:hAnsi="Calibri"/>
          <w:bCs/>
          <w:iCs/>
          <w:color w:val="404040" w:themeColor="text1" w:themeTint="BF"/>
          <w:szCs w:val="22"/>
        </w:rPr>
        <w:t>13 markets including Boston, NYC/</w:t>
      </w:r>
      <w:r w:rsidR="00AE38C8">
        <w:rPr>
          <w:rFonts w:ascii="Calibri" w:hAnsi="Calibri"/>
          <w:bCs/>
          <w:iCs/>
          <w:color w:val="404040" w:themeColor="text1" w:themeTint="BF"/>
          <w:szCs w:val="22"/>
        </w:rPr>
        <w:t xml:space="preserve">Northern NJ, Southern NJ, Eastern PA, Atlanta, Orlando, South Florida, Dallas, Houston, Austin, Southern California, </w:t>
      </w:r>
      <w:r w:rsidR="00502570">
        <w:rPr>
          <w:rFonts w:ascii="Calibri" w:hAnsi="Calibri"/>
          <w:bCs/>
          <w:iCs/>
          <w:color w:val="404040" w:themeColor="text1" w:themeTint="BF"/>
          <w:szCs w:val="22"/>
        </w:rPr>
        <w:t xml:space="preserve">the SF Bay Area, and Seattle. </w:t>
      </w:r>
    </w:p>
    <w:p w14:paraId="2891873B" w14:textId="092C0714" w:rsidR="002233DB" w:rsidRPr="00857840" w:rsidRDefault="002233DB" w:rsidP="00A91DCC">
      <w:pPr>
        <w:pStyle w:val="ListParagraph"/>
        <w:numPr>
          <w:ilvl w:val="0"/>
          <w:numId w:val="15"/>
        </w:numPr>
        <w:jc w:val="both"/>
        <w:rPr>
          <w:rFonts w:ascii="Calibri" w:hAnsi="Calibri"/>
          <w:bCs/>
          <w:iCs/>
          <w:color w:val="404040" w:themeColor="text1" w:themeTint="BF"/>
          <w:szCs w:val="22"/>
        </w:rPr>
      </w:pPr>
      <w:r>
        <w:rPr>
          <w:rFonts w:ascii="Calibri" w:hAnsi="Calibri"/>
          <w:bCs/>
          <w:iCs/>
          <w:color w:val="404040" w:themeColor="text1" w:themeTint="BF"/>
          <w:szCs w:val="22"/>
        </w:rPr>
        <w:t xml:space="preserve">An organizational </w:t>
      </w:r>
      <w:r w:rsidRPr="00BC163E">
        <w:rPr>
          <w:rFonts w:ascii="Calibri" w:hAnsi="Calibri"/>
          <w:bCs/>
          <w:iCs/>
          <w:color w:val="404040" w:themeColor="text1" w:themeTint="BF"/>
          <w:szCs w:val="22"/>
        </w:rPr>
        <w:t xml:space="preserve">chart of the platform is included in </w:t>
      </w:r>
      <w:r w:rsidRPr="00BC163E">
        <w:rPr>
          <w:rFonts w:ascii="Calibri" w:hAnsi="Calibri"/>
          <w:b/>
          <w:iCs/>
          <w:color w:val="404040" w:themeColor="text1" w:themeTint="BF"/>
          <w:szCs w:val="22"/>
        </w:rPr>
        <w:t xml:space="preserve">Exhibit </w:t>
      </w:r>
      <w:r w:rsidR="00BC163E" w:rsidRPr="00BC163E">
        <w:rPr>
          <w:rFonts w:ascii="Calibri" w:hAnsi="Calibri"/>
          <w:b/>
          <w:iCs/>
          <w:color w:val="404040" w:themeColor="text1" w:themeTint="BF"/>
          <w:szCs w:val="22"/>
        </w:rPr>
        <w:t>D</w:t>
      </w:r>
      <w:r w:rsidRPr="00BC163E">
        <w:rPr>
          <w:rFonts w:ascii="Calibri" w:hAnsi="Calibri"/>
          <w:bCs/>
          <w:iCs/>
          <w:color w:val="404040" w:themeColor="text1" w:themeTint="BF"/>
          <w:szCs w:val="22"/>
        </w:rPr>
        <w:t xml:space="preserve">. Biographies for </w:t>
      </w:r>
      <w:r w:rsidR="00252D54" w:rsidRPr="00BC163E">
        <w:rPr>
          <w:rFonts w:ascii="Calibri" w:hAnsi="Calibri"/>
          <w:bCs/>
          <w:iCs/>
          <w:color w:val="404040" w:themeColor="text1" w:themeTint="BF"/>
          <w:szCs w:val="22"/>
        </w:rPr>
        <w:t>k</w:t>
      </w:r>
      <w:r w:rsidRPr="00BC163E">
        <w:rPr>
          <w:rFonts w:ascii="Calibri" w:hAnsi="Calibri"/>
          <w:bCs/>
          <w:iCs/>
          <w:color w:val="404040" w:themeColor="text1" w:themeTint="BF"/>
          <w:szCs w:val="22"/>
        </w:rPr>
        <w:t xml:space="preserve">ey BLP personnel are </w:t>
      </w:r>
      <w:r w:rsidR="00252D54" w:rsidRPr="00BC163E">
        <w:rPr>
          <w:rFonts w:ascii="Calibri" w:hAnsi="Calibri"/>
          <w:bCs/>
          <w:iCs/>
          <w:color w:val="404040" w:themeColor="text1" w:themeTint="BF"/>
          <w:szCs w:val="22"/>
        </w:rPr>
        <w:t xml:space="preserve">included in </w:t>
      </w:r>
      <w:r w:rsidR="00252D54" w:rsidRPr="00BC163E">
        <w:rPr>
          <w:rFonts w:ascii="Calibri" w:hAnsi="Calibri"/>
          <w:b/>
          <w:iCs/>
          <w:color w:val="404040" w:themeColor="text1" w:themeTint="BF"/>
          <w:szCs w:val="22"/>
        </w:rPr>
        <w:t xml:space="preserve">Exhibit </w:t>
      </w:r>
      <w:r w:rsidR="00BC163E" w:rsidRPr="00BC163E">
        <w:rPr>
          <w:rFonts w:ascii="Calibri" w:hAnsi="Calibri"/>
          <w:b/>
          <w:iCs/>
          <w:color w:val="404040" w:themeColor="text1" w:themeTint="BF"/>
          <w:szCs w:val="22"/>
        </w:rPr>
        <w:t>E</w:t>
      </w:r>
      <w:r w:rsidR="00252D54" w:rsidRPr="00BC163E">
        <w:rPr>
          <w:rFonts w:ascii="Calibri" w:hAnsi="Calibri"/>
          <w:b/>
          <w:iCs/>
          <w:color w:val="404040" w:themeColor="text1" w:themeTint="BF"/>
          <w:szCs w:val="22"/>
        </w:rPr>
        <w:t>.</w:t>
      </w:r>
    </w:p>
    <w:p w14:paraId="4A056F53" w14:textId="77777777" w:rsidR="00836490" w:rsidRDefault="00836490" w:rsidP="00AB3623">
      <w:pPr>
        <w:jc w:val="both"/>
        <w:rPr>
          <w:color w:val="404040" w:themeColor="text1" w:themeTint="BF"/>
        </w:rPr>
      </w:pPr>
    </w:p>
    <w:p w14:paraId="42E9A3B9" w14:textId="695FB6AA" w:rsidR="001B5755" w:rsidRDefault="001B5755" w:rsidP="00AB3623">
      <w:pPr>
        <w:jc w:val="both"/>
        <w:rPr>
          <w:color w:val="404040" w:themeColor="text1" w:themeTint="BF"/>
        </w:rPr>
      </w:pPr>
      <w:r>
        <w:rPr>
          <w:color w:val="404040" w:themeColor="text1" w:themeTint="BF"/>
        </w:rPr>
        <w:t xml:space="preserve">The </w:t>
      </w:r>
      <w:r w:rsidR="00960217">
        <w:rPr>
          <w:color w:val="404040" w:themeColor="text1" w:themeTint="BF"/>
        </w:rPr>
        <w:t>BLP Investment Committee is detailed below, comprised of leadership from the Broader Bridge Investment Group platform and BLP</w:t>
      </w:r>
      <w:r w:rsidR="00DC7348">
        <w:rPr>
          <w:color w:val="404040" w:themeColor="text1" w:themeTint="BF"/>
        </w:rPr>
        <w:t>’</w:t>
      </w:r>
      <w:r w:rsidR="00960217">
        <w:rPr>
          <w:color w:val="404040" w:themeColor="text1" w:themeTint="BF"/>
        </w:rPr>
        <w:t>s founding partners:</w:t>
      </w:r>
    </w:p>
    <w:p w14:paraId="2E49C749" w14:textId="77777777" w:rsidR="001B5755" w:rsidRDefault="001B5755" w:rsidP="00AB3623">
      <w:pPr>
        <w:jc w:val="both"/>
        <w:rPr>
          <w:color w:val="404040" w:themeColor="text1" w:themeTint="BF"/>
        </w:rPr>
      </w:pPr>
    </w:p>
    <w:tbl>
      <w:tblPr>
        <w:tblW w:w="92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5"/>
        <w:gridCol w:w="2880"/>
        <w:gridCol w:w="1710"/>
        <w:gridCol w:w="1820"/>
      </w:tblGrid>
      <w:tr w:rsidR="00AB3623" w14:paraId="7F4A6A7E" w14:textId="77777777" w:rsidTr="002070FC">
        <w:trPr>
          <w:trHeight w:val="474"/>
          <w:jc w:val="center"/>
        </w:trPr>
        <w:tc>
          <w:tcPr>
            <w:tcW w:w="2875" w:type="dxa"/>
            <w:shd w:val="clear" w:color="auto" w:fill="003A5D" w:themeFill="accent1"/>
            <w:vAlign w:val="center"/>
          </w:tcPr>
          <w:p w14:paraId="0C614AA6" w14:textId="0FFA8017" w:rsidR="00AB3623" w:rsidRPr="00DF3601" w:rsidRDefault="00AE36C6" w:rsidP="00436768">
            <w:pPr>
              <w:pStyle w:val="TableParagraph"/>
              <w:jc w:val="center"/>
              <w:rPr>
                <w:b/>
                <w:sz w:val="20"/>
                <w:szCs w:val="20"/>
              </w:rPr>
            </w:pPr>
            <w:r>
              <w:rPr>
                <w:b/>
                <w:color w:val="FFFFFF"/>
                <w:sz w:val="20"/>
                <w:szCs w:val="20"/>
              </w:rPr>
              <w:lastRenderedPageBreak/>
              <w:t>Committee Member</w:t>
            </w:r>
          </w:p>
        </w:tc>
        <w:tc>
          <w:tcPr>
            <w:tcW w:w="2880" w:type="dxa"/>
            <w:shd w:val="clear" w:color="auto" w:fill="003A5D" w:themeFill="accent1"/>
          </w:tcPr>
          <w:p w14:paraId="0B796AB2" w14:textId="6B5628E1" w:rsidR="00AB3623" w:rsidRPr="00DF3601" w:rsidRDefault="00436768" w:rsidP="00436768">
            <w:pPr>
              <w:pStyle w:val="TableParagraph"/>
              <w:spacing w:before="133"/>
              <w:ind w:right="239"/>
              <w:jc w:val="center"/>
              <w:rPr>
                <w:b/>
                <w:sz w:val="20"/>
                <w:szCs w:val="20"/>
              </w:rPr>
            </w:pPr>
            <w:r>
              <w:rPr>
                <w:b/>
                <w:color w:val="FFFFFF"/>
                <w:sz w:val="20"/>
                <w:szCs w:val="20"/>
              </w:rPr>
              <w:t>Title</w:t>
            </w:r>
          </w:p>
        </w:tc>
        <w:tc>
          <w:tcPr>
            <w:tcW w:w="1710" w:type="dxa"/>
            <w:shd w:val="clear" w:color="auto" w:fill="003A5D" w:themeFill="accent1"/>
          </w:tcPr>
          <w:p w14:paraId="4BFEDE78" w14:textId="64673989" w:rsidR="00AB3623" w:rsidRPr="00DF3601" w:rsidRDefault="00AB3623" w:rsidP="00436768">
            <w:pPr>
              <w:pStyle w:val="TableParagraph"/>
              <w:spacing w:before="133"/>
              <w:ind w:right="175"/>
              <w:jc w:val="center"/>
              <w:rPr>
                <w:b/>
                <w:sz w:val="20"/>
                <w:szCs w:val="20"/>
              </w:rPr>
            </w:pPr>
            <w:r>
              <w:rPr>
                <w:b/>
                <w:color w:val="FFFFFF"/>
                <w:sz w:val="20"/>
                <w:szCs w:val="20"/>
              </w:rPr>
              <w:t>Years of Experience</w:t>
            </w:r>
          </w:p>
        </w:tc>
        <w:tc>
          <w:tcPr>
            <w:tcW w:w="1820" w:type="dxa"/>
            <w:shd w:val="clear" w:color="auto" w:fill="003A5D" w:themeFill="accent1"/>
          </w:tcPr>
          <w:p w14:paraId="0BA97717" w14:textId="04235900" w:rsidR="00AB3623" w:rsidRPr="00DF3601" w:rsidRDefault="00AB3623" w:rsidP="00436768">
            <w:pPr>
              <w:pStyle w:val="TableParagraph"/>
              <w:spacing w:before="133"/>
              <w:ind w:left="390" w:right="268" w:hanging="99"/>
              <w:jc w:val="center"/>
              <w:rPr>
                <w:b/>
                <w:sz w:val="20"/>
                <w:szCs w:val="20"/>
              </w:rPr>
            </w:pPr>
            <w:r>
              <w:rPr>
                <w:b/>
                <w:color w:val="FFFFFF"/>
                <w:sz w:val="20"/>
                <w:szCs w:val="20"/>
              </w:rPr>
              <w:t xml:space="preserve">Years with </w:t>
            </w:r>
            <w:r w:rsidR="006F12AC">
              <w:rPr>
                <w:b/>
                <w:color w:val="FFFFFF"/>
                <w:sz w:val="20"/>
                <w:szCs w:val="20"/>
              </w:rPr>
              <w:t>Bridge</w:t>
            </w:r>
          </w:p>
        </w:tc>
      </w:tr>
      <w:tr w:rsidR="00436768" w14:paraId="6E19EF7F" w14:textId="77777777" w:rsidTr="002070FC">
        <w:trPr>
          <w:trHeight w:val="248"/>
          <w:jc w:val="center"/>
        </w:trPr>
        <w:tc>
          <w:tcPr>
            <w:tcW w:w="2875" w:type="dxa"/>
          </w:tcPr>
          <w:p w14:paraId="09880CD9" w14:textId="7028EDA7" w:rsidR="00436768" w:rsidRDefault="00F927CF" w:rsidP="00F13521">
            <w:pPr>
              <w:pStyle w:val="TableParagraph"/>
              <w:spacing w:before="1" w:line="249" w:lineRule="exact"/>
              <w:ind w:left="107"/>
              <w:jc w:val="center"/>
              <w:rPr>
                <w:sz w:val="20"/>
                <w:szCs w:val="20"/>
              </w:rPr>
            </w:pPr>
            <w:r>
              <w:rPr>
                <w:sz w:val="20"/>
                <w:szCs w:val="20"/>
              </w:rPr>
              <w:t>Robert Morse</w:t>
            </w:r>
          </w:p>
        </w:tc>
        <w:tc>
          <w:tcPr>
            <w:tcW w:w="2880" w:type="dxa"/>
          </w:tcPr>
          <w:p w14:paraId="43618B78" w14:textId="2B569463" w:rsidR="00436768" w:rsidRDefault="007A2E94" w:rsidP="00F13521">
            <w:pPr>
              <w:pStyle w:val="TableParagraph"/>
              <w:spacing w:before="1" w:line="249" w:lineRule="exact"/>
              <w:ind w:left="107"/>
              <w:jc w:val="center"/>
              <w:rPr>
                <w:sz w:val="20"/>
                <w:szCs w:val="20"/>
              </w:rPr>
            </w:pPr>
            <w:r>
              <w:rPr>
                <w:sz w:val="20"/>
                <w:szCs w:val="20"/>
              </w:rPr>
              <w:t>Executive</w:t>
            </w:r>
            <w:r w:rsidR="00A57BFE">
              <w:rPr>
                <w:sz w:val="20"/>
                <w:szCs w:val="20"/>
              </w:rPr>
              <w:t xml:space="preserve"> Chairman, BIG</w:t>
            </w:r>
          </w:p>
        </w:tc>
        <w:tc>
          <w:tcPr>
            <w:tcW w:w="1710" w:type="dxa"/>
          </w:tcPr>
          <w:p w14:paraId="10304723" w14:textId="3E2C6A56" w:rsidR="00436768" w:rsidRDefault="007C41D7" w:rsidP="00F13521">
            <w:pPr>
              <w:pStyle w:val="TableParagraph"/>
              <w:spacing w:before="1" w:line="249" w:lineRule="exact"/>
              <w:ind w:left="107"/>
              <w:jc w:val="center"/>
              <w:rPr>
                <w:sz w:val="20"/>
                <w:szCs w:val="20"/>
              </w:rPr>
            </w:pPr>
            <w:r>
              <w:rPr>
                <w:sz w:val="20"/>
                <w:szCs w:val="20"/>
              </w:rPr>
              <w:t>35</w:t>
            </w:r>
          </w:p>
        </w:tc>
        <w:tc>
          <w:tcPr>
            <w:tcW w:w="1820" w:type="dxa"/>
          </w:tcPr>
          <w:p w14:paraId="2725BEEA" w14:textId="62CCC417" w:rsidR="00436768" w:rsidRDefault="00A57BFE" w:rsidP="00F13521">
            <w:pPr>
              <w:pStyle w:val="TableParagraph"/>
              <w:spacing w:before="1" w:line="249" w:lineRule="exact"/>
              <w:ind w:left="106"/>
              <w:jc w:val="center"/>
              <w:rPr>
                <w:sz w:val="20"/>
                <w:szCs w:val="20"/>
              </w:rPr>
            </w:pPr>
            <w:r>
              <w:rPr>
                <w:sz w:val="20"/>
                <w:szCs w:val="20"/>
              </w:rPr>
              <w:t>15</w:t>
            </w:r>
          </w:p>
        </w:tc>
      </w:tr>
      <w:tr w:rsidR="00AB3623" w14:paraId="38EE0D55" w14:textId="77777777" w:rsidTr="002070FC">
        <w:trPr>
          <w:trHeight w:val="248"/>
          <w:jc w:val="center"/>
        </w:trPr>
        <w:tc>
          <w:tcPr>
            <w:tcW w:w="2875" w:type="dxa"/>
          </w:tcPr>
          <w:p w14:paraId="64E46C5E" w14:textId="18762395" w:rsidR="00AB3623" w:rsidRPr="00DF3601" w:rsidRDefault="00A57BFE" w:rsidP="00F13521">
            <w:pPr>
              <w:pStyle w:val="TableParagraph"/>
              <w:spacing w:before="1" w:line="249" w:lineRule="exact"/>
              <w:ind w:left="107"/>
              <w:jc w:val="center"/>
              <w:rPr>
                <w:sz w:val="20"/>
                <w:szCs w:val="20"/>
              </w:rPr>
            </w:pPr>
            <w:r>
              <w:rPr>
                <w:sz w:val="20"/>
                <w:szCs w:val="20"/>
              </w:rPr>
              <w:t xml:space="preserve">Jonathan </w:t>
            </w:r>
            <w:proofErr w:type="spellStart"/>
            <w:r>
              <w:rPr>
                <w:sz w:val="20"/>
                <w:szCs w:val="20"/>
              </w:rPr>
              <w:t>Slager</w:t>
            </w:r>
            <w:proofErr w:type="spellEnd"/>
          </w:p>
        </w:tc>
        <w:tc>
          <w:tcPr>
            <w:tcW w:w="2880" w:type="dxa"/>
          </w:tcPr>
          <w:p w14:paraId="2A1E3116" w14:textId="7014E5BE" w:rsidR="00AB3623" w:rsidRPr="00DF3601" w:rsidRDefault="00A57BFE" w:rsidP="00F13521">
            <w:pPr>
              <w:pStyle w:val="TableParagraph"/>
              <w:spacing w:before="1" w:line="249" w:lineRule="exact"/>
              <w:ind w:left="107"/>
              <w:jc w:val="center"/>
              <w:rPr>
                <w:sz w:val="20"/>
                <w:szCs w:val="20"/>
              </w:rPr>
            </w:pPr>
            <w:r>
              <w:rPr>
                <w:sz w:val="20"/>
                <w:szCs w:val="20"/>
              </w:rPr>
              <w:t>CEO, BIG</w:t>
            </w:r>
          </w:p>
        </w:tc>
        <w:tc>
          <w:tcPr>
            <w:tcW w:w="1710" w:type="dxa"/>
          </w:tcPr>
          <w:p w14:paraId="634DD1C9" w14:textId="23C727A1" w:rsidR="00AB3623" w:rsidRPr="00DF3601" w:rsidRDefault="007C41D7" w:rsidP="00F13521">
            <w:pPr>
              <w:pStyle w:val="TableParagraph"/>
              <w:spacing w:before="1" w:line="249" w:lineRule="exact"/>
              <w:ind w:left="107"/>
              <w:jc w:val="center"/>
              <w:rPr>
                <w:sz w:val="20"/>
                <w:szCs w:val="20"/>
              </w:rPr>
            </w:pPr>
            <w:r>
              <w:rPr>
                <w:sz w:val="20"/>
                <w:szCs w:val="20"/>
              </w:rPr>
              <w:t>35</w:t>
            </w:r>
          </w:p>
        </w:tc>
        <w:tc>
          <w:tcPr>
            <w:tcW w:w="1820" w:type="dxa"/>
          </w:tcPr>
          <w:p w14:paraId="3B760016" w14:textId="75E99722" w:rsidR="00AB3623" w:rsidRPr="00DF3601" w:rsidRDefault="00A57BFE" w:rsidP="00F13521">
            <w:pPr>
              <w:pStyle w:val="TableParagraph"/>
              <w:spacing w:before="1" w:line="249" w:lineRule="exact"/>
              <w:ind w:left="106"/>
              <w:jc w:val="center"/>
              <w:rPr>
                <w:sz w:val="20"/>
                <w:szCs w:val="20"/>
              </w:rPr>
            </w:pPr>
            <w:r>
              <w:rPr>
                <w:sz w:val="20"/>
                <w:szCs w:val="20"/>
              </w:rPr>
              <w:t>15</w:t>
            </w:r>
          </w:p>
        </w:tc>
      </w:tr>
      <w:tr w:rsidR="00AB3623" w14:paraId="46C3F0CA" w14:textId="77777777" w:rsidTr="002070FC">
        <w:trPr>
          <w:trHeight w:val="246"/>
          <w:jc w:val="center"/>
        </w:trPr>
        <w:tc>
          <w:tcPr>
            <w:tcW w:w="2875" w:type="dxa"/>
          </w:tcPr>
          <w:p w14:paraId="1F823858" w14:textId="5891EF93" w:rsidR="00AB3623" w:rsidRPr="00DF3601" w:rsidRDefault="007C41D7" w:rsidP="00F13521">
            <w:pPr>
              <w:pStyle w:val="TableParagraph"/>
              <w:spacing w:line="249" w:lineRule="exact"/>
              <w:ind w:left="107"/>
              <w:jc w:val="center"/>
              <w:rPr>
                <w:sz w:val="20"/>
                <w:szCs w:val="20"/>
              </w:rPr>
            </w:pPr>
            <w:r>
              <w:rPr>
                <w:sz w:val="20"/>
                <w:szCs w:val="20"/>
              </w:rPr>
              <w:t>Adam O’Farrell</w:t>
            </w:r>
          </w:p>
        </w:tc>
        <w:tc>
          <w:tcPr>
            <w:tcW w:w="2880" w:type="dxa"/>
          </w:tcPr>
          <w:p w14:paraId="61B83FDD" w14:textId="0927A9B5" w:rsidR="00AB3623" w:rsidRPr="00DF3601" w:rsidRDefault="006F12AC" w:rsidP="00F13521">
            <w:pPr>
              <w:pStyle w:val="TableParagraph"/>
              <w:spacing w:line="249" w:lineRule="exact"/>
              <w:ind w:left="107"/>
              <w:jc w:val="center"/>
              <w:rPr>
                <w:sz w:val="20"/>
                <w:szCs w:val="20"/>
              </w:rPr>
            </w:pPr>
            <w:r>
              <w:rPr>
                <w:sz w:val="20"/>
                <w:szCs w:val="20"/>
              </w:rPr>
              <w:t>COO, BIG</w:t>
            </w:r>
          </w:p>
        </w:tc>
        <w:tc>
          <w:tcPr>
            <w:tcW w:w="1710" w:type="dxa"/>
          </w:tcPr>
          <w:p w14:paraId="7476EE74" w14:textId="5233154E" w:rsidR="00AB3623" w:rsidRPr="00DF3601" w:rsidRDefault="00A57BFE" w:rsidP="00F13521">
            <w:pPr>
              <w:pStyle w:val="TableParagraph"/>
              <w:spacing w:line="249" w:lineRule="exact"/>
              <w:ind w:left="107"/>
              <w:jc w:val="center"/>
              <w:rPr>
                <w:sz w:val="20"/>
                <w:szCs w:val="20"/>
              </w:rPr>
            </w:pPr>
            <w:r>
              <w:rPr>
                <w:sz w:val="20"/>
                <w:szCs w:val="20"/>
              </w:rPr>
              <w:t>20</w:t>
            </w:r>
          </w:p>
        </w:tc>
        <w:tc>
          <w:tcPr>
            <w:tcW w:w="1820" w:type="dxa"/>
          </w:tcPr>
          <w:p w14:paraId="11A6CAEF" w14:textId="7C56BCE5" w:rsidR="00AB3623" w:rsidRPr="00DF3601" w:rsidRDefault="007C41D7" w:rsidP="00F13521">
            <w:pPr>
              <w:pStyle w:val="TableParagraph"/>
              <w:spacing w:line="249" w:lineRule="exact"/>
              <w:ind w:left="106"/>
              <w:jc w:val="center"/>
              <w:rPr>
                <w:sz w:val="20"/>
                <w:szCs w:val="20"/>
              </w:rPr>
            </w:pPr>
            <w:r>
              <w:rPr>
                <w:sz w:val="20"/>
                <w:szCs w:val="20"/>
              </w:rPr>
              <w:t>12</w:t>
            </w:r>
          </w:p>
        </w:tc>
      </w:tr>
      <w:tr w:rsidR="00AB3623" w14:paraId="6B1B4D44" w14:textId="77777777" w:rsidTr="002070FC">
        <w:trPr>
          <w:trHeight w:val="246"/>
          <w:jc w:val="center"/>
        </w:trPr>
        <w:tc>
          <w:tcPr>
            <w:tcW w:w="2875" w:type="dxa"/>
          </w:tcPr>
          <w:p w14:paraId="65F95789" w14:textId="3B12EB11" w:rsidR="00AB3623" w:rsidRPr="00DF3601" w:rsidRDefault="006F12AC" w:rsidP="00F13521">
            <w:pPr>
              <w:pStyle w:val="TableParagraph"/>
              <w:spacing w:line="248" w:lineRule="exact"/>
              <w:ind w:left="107"/>
              <w:jc w:val="center"/>
              <w:rPr>
                <w:sz w:val="20"/>
                <w:szCs w:val="20"/>
              </w:rPr>
            </w:pPr>
            <w:r>
              <w:rPr>
                <w:sz w:val="20"/>
                <w:szCs w:val="20"/>
              </w:rPr>
              <w:t>Jay Cornforth</w:t>
            </w:r>
          </w:p>
        </w:tc>
        <w:tc>
          <w:tcPr>
            <w:tcW w:w="2880" w:type="dxa"/>
          </w:tcPr>
          <w:p w14:paraId="29A02106" w14:textId="18375DF3" w:rsidR="00AB3623" w:rsidRPr="00DF3601" w:rsidRDefault="006F12AC" w:rsidP="00F13521">
            <w:pPr>
              <w:pStyle w:val="TableParagraph"/>
              <w:spacing w:line="248" w:lineRule="exact"/>
              <w:ind w:left="107"/>
              <w:jc w:val="center"/>
              <w:rPr>
                <w:sz w:val="20"/>
                <w:szCs w:val="20"/>
              </w:rPr>
            </w:pPr>
            <w:r>
              <w:rPr>
                <w:sz w:val="20"/>
                <w:szCs w:val="20"/>
              </w:rPr>
              <w:t>CEO and CIO of BLP</w:t>
            </w:r>
          </w:p>
        </w:tc>
        <w:tc>
          <w:tcPr>
            <w:tcW w:w="1710" w:type="dxa"/>
          </w:tcPr>
          <w:p w14:paraId="7F1FBF7D" w14:textId="1A9ADC8B" w:rsidR="00AB3623" w:rsidRPr="00DF3601" w:rsidRDefault="007C41D7" w:rsidP="00F13521">
            <w:pPr>
              <w:pStyle w:val="TableParagraph"/>
              <w:spacing w:line="248" w:lineRule="exact"/>
              <w:ind w:left="107"/>
              <w:jc w:val="center"/>
              <w:rPr>
                <w:sz w:val="20"/>
                <w:szCs w:val="20"/>
              </w:rPr>
            </w:pPr>
            <w:r>
              <w:rPr>
                <w:sz w:val="20"/>
                <w:szCs w:val="20"/>
              </w:rPr>
              <w:t>27</w:t>
            </w:r>
          </w:p>
        </w:tc>
        <w:tc>
          <w:tcPr>
            <w:tcW w:w="1820" w:type="dxa"/>
          </w:tcPr>
          <w:p w14:paraId="0002163A" w14:textId="5032BDAD" w:rsidR="00AB3623" w:rsidRPr="00DF3601" w:rsidRDefault="007C41D7" w:rsidP="00F13521">
            <w:pPr>
              <w:pStyle w:val="TableParagraph"/>
              <w:spacing w:line="248" w:lineRule="exact"/>
              <w:ind w:left="106"/>
              <w:jc w:val="center"/>
              <w:rPr>
                <w:sz w:val="20"/>
                <w:szCs w:val="20"/>
              </w:rPr>
            </w:pPr>
            <w:r>
              <w:rPr>
                <w:sz w:val="20"/>
                <w:szCs w:val="20"/>
              </w:rPr>
              <w:t>4</w:t>
            </w:r>
          </w:p>
        </w:tc>
      </w:tr>
      <w:tr w:rsidR="00AB3623" w14:paraId="3D3D0CFA" w14:textId="77777777" w:rsidTr="002070FC">
        <w:trPr>
          <w:trHeight w:val="246"/>
          <w:jc w:val="center"/>
        </w:trPr>
        <w:tc>
          <w:tcPr>
            <w:tcW w:w="2875" w:type="dxa"/>
          </w:tcPr>
          <w:p w14:paraId="11700B44" w14:textId="0F399241" w:rsidR="00AB3623" w:rsidRPr="00DF3601" w:rsidRDefault="006F12AC" w:rsidP="00F13521">
            <w:pPr>
              <w:pStyle w:val="TableParagraph"/>
              <w:spacing w:line="248" w:lineRule="exact"/>
              <w:ind w:left="107"/>
              <w:jc w:val="center"/>
              <w:rPr>
                <w:sz w:val="20"/>
                <w:szCs w:val="20"/>
              </w:rPr>
            </w:pPr>
            <w:r>
              <w:rPr>
                <w:sz w:val="20"/>
                <w:szCs w:val="20"/>
              </w:rPr>
              <w:t>Brian Gagne</w:t>
            </w:r>
          </w:p>
        </w:tc>
        <w:tc>
          <w:tcPr>
            <w:tcW w:w="2880" w:type="dxa"/>
          </w:tcPr>
          <w:p w14:paraId="126CDDCA" w14:textId="38AE52A6" w:rsidR="00AB3623" w:rsidRPr="00DF3601" w:rsidRDefault="006F12AC" w:rsidP="00F13521">
            <w:pPr>
              <w:pStyle w:val="TableParagraph"/>
              <w:spacing w:line="248" w:lineRule="exact"/>
              <w:ind w:left="107"/>
              <w:jc w:val="center"/>
              <w:rPr>
                <w:sz w:val="20"/>
                <w:szCs w:val="20"/>
              </w:rPr>
            </w:pPr>
            <w:r>
              <w:rPr>
                <w:sz w:val="20"/>
                <w:szCs w:val="20"/>
              </w:rPr>
              <w:t>Co-CIO of BLP</w:t>
            </w:r>
          </w:p>
        </w:tc>
        <w:tc>
          <w:tcPr>
            <w:tcW w:w="1710" w:type="dxa"/>
          </w:tcPr>
          <w:p w14:paraId="758536B1" w14:textId="09C590DE" w:rsidR="00AB3623" w:rsidRPr="00DF3601" w:rsidRDefault="007C41D7" w:rsidP="00F13521">
            <w:pPr>
              <w:pStyle w:val="TableParagraph"/>
              <w:spacing w:line="248" w:lineRule="exact"/>
              <w:ind w:left="107"/>
              <w:jc w:val="center"/>
              <w:rPr>
                <w:sz w:val="20"/>
                <w:szCs w:val="20"/>
              </w:rPr>
            </w:pPr>
            <w:r>
              <w:rPr>
                <w:sz w:val="20"/>
                <w:szCs w:val="20"/>
              </w:rPr>
              <w:t>21</w:t>
            </w:r>
          </w:p>
        </w:tc>
        <w:tc>
          <w:tcPr>
            <w:tcW w:w="1820" w:type="dxa"/>
          </w:tcPr>
          <w:p w14:paraId="129019DE" w14:textId="29654B98" w:rsidR="00AB3623" w:rsidRPr="00DF3601" w:rsidRDefault="007C41D7" w:rsidP="00F13521">
            <w:pPr>
              <w:pStyle w:val="TableParagraph"/>
              <w:spacing w:line="248" w:lineRule="exact"/>
              <w:ind w:left="106"/>
              <w:jc w:val="center"/>
              <w:rPr>
                <w:sz w:val="20"/>
                <w:szCs w:val="20"/>
              </w:rPr>
            </w:pPr>
            <w:r>
              <w:rPr>
                <w:sz w:val="20"/>
                <w:szCs w:val="20"/>
              </w:rPr>
              <w:t>4</w:t>
            </w:r>
          </w:p>
        </w:tc>
      </w:tr>
    </w:tbl>
    <w:p w14:paraId="1D47B3DD" w14:textId="77777777" w:rsidR="00193DAD" w:rsidRPr="00783925" w:rsidRDefault="00193DAD" w:rsidP="00D1585D">
      <w:pPr>
        <w:jc w:val="both"/>
        <w:rPr>
          <w:rFonts w:ascii="Calibri" w:hAnsi="Calibri"/>
          <w:bCs/>
          <w:iCs/>
          <w:color w:val="404040" w:themeColor="text1" w:themeTint="BF"/>
          <w:szCs w:val="22"/>
        </w:rPr>
      </w:pPr>
    </w:p>
    <w:bookmarkStart w:id="23" w:name="_Toc179797288"/>
    <w:p w14:paraId="290B145B" w14:textId="228B37E8" w:rsidR="00C91BF7" w:rsidRPr="004C0B4E" w:rsidRDefault="00F15CEB" w:rsidP="00F15CEB">
      <w:pPr>
        <w:pStyle w:val="Heading2"/>
        <w:rPr>
          <w:color w:val="8CA4A4" w:themeColor="accent5"/>
          <w:sz w:val="22"/>
          <w:szCs w:val="22"/>
        </w:rPr>
      </w:pPr>
      <w:r w:rsidRPr="00CD4BAE">
        <w:rPr>
          <w:noProof/>
          <w:szCs w:val="22"/>
          <w:highlight w:val="green"/>
        </w:rPr>
        <mc:AlternateContent>
          <mc:Choice Requires="wps">
            <w:drawing>
              <wp:anchor distT="0" distB="0" distL="114300" distR="114300" simplePos="0" relativeHeight="251648000" behindDoc="0" locked="0" layoutInCell="1" allowOverlap="1" wp14:anchorId="6C42E481" wp14:editId="5D451F06">
                <wp:simplePos x="0" y="0"/>
                <wp:positionH relativeFrom="margin">
                  <wp:posOffset>-12700</wp:posOffset>
                </wp:positionH>
                <wp:positionV relativeFrom="paragraph">
                  <wp:posOffset>163407</wp:posOffset>
                </wp:positionV>
                <wp:extent cx="6492240" cy="0"/>
                <wp:effectExtent l="0" t="0" r="0" b="0"/>
                <wp:wrapNone/>
                <wp:docPr id="6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2240" cy="0"/>
                        </a:xfrm>
                        <a:prstGeom prst="straightConnector1">
                          <a:avLst/>
                        </a:prstGeom>
                        <a:noFill/>
                        <a:ln w="9525">
                          <a:solidFill>
                            <a:schemeClr val="tx1">
                              <a:lumMod val="75000"/>
                              <a:lumOff val="2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D72B33" id="AutoShape 5" o:spid="_x0000_s1026" type="#_x0000_t32" style="position:absolute;margin-left:-1pt;margin-top:12.85pt;width:511.2pt;height:0;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0M10AEAAJADAAAOAAAAZHJzL2Uyb0RvYy54bWysU01v2zAMvQ/YfxB0X+wYTbcacXpI1126&#10;LUC7H8DIsi1MFgVJiZ1/P0qOva9b0Ysgkebj4+Pz9n7sNTtL5xWaiq9XOWfSCKyVaSv+4+XxwyfO&#10;fABTg0YjK36Rnt/v3r/bDraUBXaoa+kYgRhfDrbiXQi2zDIvOtmDX6GVhpINuh4CPV2b1Q4GQu91&#10;VuT5bTagq61DIb2n6MOU5LuE3zRShO9N42VguuLELaTTpfMYz2y3hbJ1YDslrjTgFSx6UIaaLlAP&#10;EICdnPoPqlfCoccmrAT2GTaNEjLNQNOs83+mee7AyjQLiePtIpN/O1jx7bw3Bxepi9E82ycUPz0z&#10;uO/AtDIReLlYWtw6SpUN1pdLSXx4e3DsOHzFmr6BU8Ckwti4PkLSfGxMYl8WseUYmKDg7c1dUdzQ&#10;TsScy6CcC63z4YvEnsVLxX1woNou7NEYWim6dWoD5ycfIi0o54LY1eCj0jptVhs2VPxuU2xSgUet&#10;6piMnyWPyb127AzkjjBOoPrU0zRT7OMmz68eoTA5aQoXc5gaLyiJxl8NHJ5MnWh0EurP13sApac7&#10;VWtzFTXqGE3ryyPWl4Obxaa1J+CrRaOv/nyn6t8/0u4XAAAA//8DAFBLAwQUAAYACAAAACEAvPB3&#10;SN4AAAAJAQAADwAAAGRycy9kb3ducmV2LnhtbEyPwU7DMBBE70j9B2uRuKDWbkRpG+JUCAnRE1Jb&#10;RK9OvCQR9jqy3TT8Pa56gOPsrGbeFJvRGjagD50jCfOZAIZUO91RI+Hj8DpdAQtRkVbGEUr4wQCb&#10;cnJTqFy7M+1w2MeGpRAKuZLQxtjnnIe6RavCzPVIyfty3qqYpG+49uqcwq3hmRCP3KqOUkOrenxp&#10;sf7en6yE+5UfzbZaHj4rH4UdFsf3tzVJeXc7Pj8BizjGv2e44Cd0KBNT5U6kAzMSplmaEiVkiyWw&#10;iy8y8QCsul54WfD/C8pfAAAA//8DAFBLAQItABQABgAIAAAAIQC2gziS/gAAAOEBAAATAAAAAAAA&#10;AAAAAAAAAAAAAABbQ29udGVudF9UeXBlc10ueG1sUEsBAi0AFAAGAAgAAAAhADj9If/WAAAAlAEA&#10;AAsAAAAAAAAAAAAAAAAALwEAAF9yZWxzLy5yZWxzUEsBAi0AFAAGAAgAAAAhAGP3QzXQAQAAkAMA&#10;AA4AAAAAAAAAAAAAAAAALgIAAGRycy9lMm9Eb2MueG1sUEsBAi0AFAAGAAgAAAAhALzwd0jeAAAA&#10;CQEAAA8AAAAAAAAAAAAAAAAAKgQAAGRycy9kb3ducmV2LnhtbFBLBQYAAAAABAAEAPMAAAA1BQAA&#10;AAA=&#10;" strokecolor="#404040 [2429]">
                <w10:wrap anchorx="margin"/>
              </v:shape>
            </w:pict>
          </mc:Fallback>
        </mc:AlternateContent>
      </w:r>
      <w:r w:rsidRPr="00CD4BAE">
        <w:rPr>
          <w:color w:val="8CA4A4" w:themeColor="accent5"/>
          <w:sz w:val="22"/>
          <w:szCs w:val="22"/>
          <w:highlight w:val="green"/>
        </w:rPr>
        <w:t>Turnover/Compensation</w:t>
      </w:r>
      <w:r w:rsidR="00CC57A2" w:rsidRPr="00CD4BAE">
        <w:rPr>
          <w:color w:val="8CA4A4" w:themeColor="accent5"/>
          <w:sz w:val="22"/>
          <w:szCs w:val="22"/>
          <w:highlight w:val="green"/>
        </w:rPr>
        <w:t>/Retention</w:t>
      </w:r>
      <w:bookmarkEnd w:id="23"/>
    </w:p>
    <w:p w14:paraId="5850D1D0" w14:textId="271DB462" w:rsidR="00B63A64" w:rsidRPr="00F83B13" w:rsidRDefault="004D1E8B" w:rsidP="00A91DCC">
      <w:pPr>
        <w:pStyle w:val="ListParagraph"/>
        <w:numPr>
          <w:ilvl w:val="0"/>
          <w:numId w:val="6"/>
        </w:numPr>
        <w:autoSpaceDE w:val="0"/>
        <w:autoSpaceDN w:val="0"/>
        <w:adjustRightInd w:val="0"/>
        <w:jc w:val="both"/>
        <w:rPr>
          <w:rFonts w:ascii="Calibri" w:hAnsi="Calibri"/>
          <w:color w:val="404040" w:themeColor="text1" w:themeTint="BF"/>
        </w:rPr>
      </w:pPr>
      <w:r w:rsidRPr="00CD4BAE">
        <w:rPr>
          <w:rFonts w:ascii="Calibri" w:hAnsi="Calibri"/>
          <w:color w:val="404040" w:themeColor="text1" w:themeTint="BF"/>
          <w:highlight w:val="cyan"/>
        </w:rPr>
        <w:t>Turnover:</w:t>
      </w:r>
      <w:r w:rsidRPr="004C0B4E">
        <w:rPr>
          <w:rFonts w:ascii="Calibri" w:hAnsi="Calibri"/>
          <w:color w:val="404040" w:themeColor="text1" w:themeTint="BF"/>
        </w:rPr>
        <w:t xml:space="preserve"> </w:t>
      </w:r>
      <w:r w:rsidR="004E1359">
        <w:rPr>
          <w:rFonts w:ascii="Calibri" w:hAnsi="Calibri"/>
          <w:color w:val="404040" w:themeColor="text1" w:themeTint="BF"/>
        </w:rPr>
        <w:t xml:space="preserve">Departures have generally been at a standard level for an organization of this size and stage in </w:t>
      </w:r>
      <w:r w:rsidR="00355E6B">
        <w:rPr>
          <w:rFonts w:ascii="Calibri" w:hAnsi="Calibri"/>
          <w:color w:val="404040" w:themeColor="text1" w:themeTint="BF"/>
        </w:rPr>
        <w:t>its development</w:t>
      </w:r>
      <w:r w:rsidR="00355E6B" w:rsidRPr="00F83B13">
        <w:rPr>
          <w:rFonts w:ascii="Calibri" w:hAnsi="Calibri"/>
          <w:color w:val="404040" w:themeColor="text1" w:themeTint="BF"/>
        </w:rPr>
        <w:t xml:space="preserve">. At the broader company, 31 professionals at the Managing Director or above level have departed </w:t>
      </w:r>
      <w:r w:rsidR="001679FB" w:rsidRPr="00F83B13">
        <w:rPr>
          <w:rFonts w:ascii="Calibri" w:hAnsi="Calibri"/>
          <w:color w:val="404040" w:themeColor="text1" w:themeTint="BF"/>
        </w:rPr>
        <w:t>since 2018. This includes on</w:t>
      </w:r>
      <w:r w:rsidR="005978A3" w:rsidRPr="00F83B13">
        <w:rPr>
          <w:rFonts w:ascii="Calibri" w:hAnsi="Calibri"/>
          <w:color w:val="404040" w:themeColor="text1" w:themeTint="BF"/>
        </w:rPr>
        <w:t>e</w:t>
      </w:r>
      <w:r w:rsidR="001679FB" w:rsidRPr="00F83B13">
        <w:rPr>
          <w:rFonts w:ascii="Calibri" w:hAnsi="Calibri"/>
          <w:color w:val="404040" w:themeColor="text1" w:themeTint="BF"/>
        </w:rPr>
        <w:t xml:space="preserve"> member of the Bridge Logistics team departing in 2023</w:t>
      </w:r>
      <w:r w:rsidR="00D46542" w:rsidRPr="00F83B13">
        <w:rPr>
          <w:rFonts w:ascii="Calibri" w:hAnsi="Calibri"/>
          <w:color w:val="404040" w:themeColor="text1" w:themeTint="BF"/>
        </w:rPr>
        <w:t xml:space="preserve"> after roughly one and half years. The role was </w:t>
      </w:r>
      <w:r w:rsidR="008A2260" w:rsidRPr="00F83B13">
        <w:rPr>
          <w:rFonts w:ascii="Calibri" w:hAnsi="Calibri"/>
          <w:color w:val="404040" w:themeColor="text1" w:themeTint="BF"/>
        </w:rPr>
        <w:t xml:space="preserve">backfilled internally. </w:t>
      </w:r>
      <w:r w:rsidR="005978A3" w:rsidRPr="00F83B13">
        <w:rPr>
          <w:rFonts w:ascii="Calibri" w:hAnsi="Calibri"/>
          <w:color w:val="404040" w:themeColor="text1" w:themeTint="BF"/>
        </w:rPr>
        <w:t xml:space="preserve">Bridge has added </w:t>
      </w:r>
      <w:r w:rsidR="00657C2F" w:rsidRPr="00F83B13">
        <w:rPr>
          <w:rFonts w:ascii="Calibri" w:hAnsi="Calibri"/>
          <w:color w:val="404040" w:themeColor="text1" w:themeTint="BF"/>
        </w:rPr>
        <w:t xml:space="preserve">63 MD level employees over this </w:t>
      </w:r>
      <w:proofErr w:type="gramStart"/>
      <w:r w:rsidR="00657C2F" w:rsidRPr="00F83B13">
        <w:rPr>
          <w:rFonts w:ascii="Calibri" w:hAnsi="Calibri"/>
          <w:color w:val="404040" w:themeColor="text1" w:themeTint="BF"/>
        </w:rPr>
        <w:t>time period</w:t>
      </w:r>
      <w:proofErr w:type="gramEnd"/>
      <w:r w:rsidR="00657C2F" w:rsidRPr="00F83B13">
        <w:rPr>
          <w:rFonts w:ascii="Calibri" w:hAnsi="Calibri"/>
          <w:color w:val="404040" w:themeColor="text1" w:themeTint="BF"/>
        </w:rPr>
        <w:t xml:space="preserve"> for net growth of 32 senior personal. </w:t>
      </w:r>
    </w:p>
    <w:p w14:paraId="61C79A66" w14:textId="64048BD5" w:rsidR="0036796C" w:rsidRPr="00F83B13" w:rsidRDefault="00A80149" w:rsidP="00A91DCC">
      <w:pPr>
        <w:pStyle w:val="ListParagraph"/>
        <w:numPr>
          <w:ilvl w:val="0"/>
          <w:numId w:val="6"/>
        </w:numPr>
        <w:autoSpaceDE w:val="0"/>
        <w:autoSpaceDN w:val="0"/>
        <w:adjustRightInd w:val="0"/>
        <w:jc w:val="both"/>
        <w:rPr>
          <w:rFonts w:ascii="Calibri" w:hAnsi="Calibri"/>
          <w:color w:val="404040" w:themeColor="text1" w:themeTint="BF"/>
        </w:rPr>
      </w:pPr>
      <w:r w:rsidRPr="00F83B13">
        <w:rPr>
          <w:rFonts w:ascii="Calibri" w:hAnsi="Calibri"/>
          <w:color w:val="404040" w:themeColor="text1" w:themeTint="BF"/>
        </w:rPr>
        <w:t>Compensation</w:t>
      </w:r>
      <w:r w:rsidR="0036796C" w:rsidRPr="00F83B13">
        <w:rPr>
          <w:rFonts w:ascii="Calibri" w:hAnsi="Calibri"/>
          <w:color w:val="404040" w:themeColor="text1" w:themeTint="BF"/>
        </w:rPr>
        <w:t xml:space="preserve"> practices are within the range of industry standards</w:t>
      </w:r>
      <w:r w:rsidR="0064410A" w:rsidRPr="00F83B13">
        <w:rPr>
          <w:rFonts w:ascii="Calibri" w:hAnsi="Calibri"/>
          <w:color w:val="404040" w:themeColor="text1" w:themeTint="BF"/>
        </w:rPr>
        <w:t>. Compensation consists of base salary, cash bonus, restricted stock awards, and carried interest participation determined by position/seniority.</w:t>
      </w:r>
    </w:p>
    <w:p w14:paraId="3C196CB7" w14:textId="14B7AF93" w:rsidR="0064410A" w:rsidRDefault="0007261C" w:rsidP="00A91DCC">
      <w:pPr>
        <w:pStyle w:val="ListParagraph"/>
        <w:numPr>
          <w:ilvl w:val="1"/>
          <w:numId w:val="6"/>
        </w:numPr>
        <w:autoSpaceDE w:val="0"/>
        <w:autoSpaceDN w:val="0"/>
        <w:adjustRightInd w:val="0"/>
        <w:jc w:val="both"/>
        <w:rPr>
          <w:rFonts w:ascii="Calibri" w:hAnsi="Calibri"/>
          <w:color w:val="404040" w:themeColor="text1" w:themeTint="BF"/>
        </w:rPr>
      </w:pPr>
      <w:r w:rsidRPr="00F83B13">
        <w:rPr>
          <w:rFonts w:ascii="Calibri" w:hAnsi="Calibri"/>
          <w:color w:val="404040" w:themeColor="text1" w:themeTint="BF"/>
        </w:rPr>
        <w:t>Carried interest is awarded on a points basis at the commencement of the vehicle</w:t>
      </w:r>
      <w:r w:rsidR="006F4A2C" w:rsidRPr="00F83B13">
        <w:rPr>
          <w:rFonts w:ascii="Calibri" w:hAnsi="Calibri"/>
          <w:color w:val="404040" w:themeColor="text1" w:themeTint="BF"/>
        </w:rPr>
        <w:t>s’ life. Senior management retains</w:t>
      </w:r>
      <w:r w:rsidR="006F4A2C">
        <w:rPr>
          <w:rFonts w:ascii="Calibri" w:hAnsi="Calibri"/>
          <w:color w:val="404040" w:themeColor="text1" w:themeTint="BF"/>
        </w:rPr>
        <w:t xml:space="preserve"> an </w:t>
      </w:r>
      <w:r w:rsidR="003E4329">
        <w:rPr>
          <w:rFonts w:ascii="Calibri" w:hAnsi="Calibri"/>
          <w:color w:val="404040" w:themeColor="text1" w:themeTint="BF"/>
        </w:rPr>
        <w:t xml:space="preserve">unallocated pool to reward </w:t>
      </w:r>
      <w:r w:rsidR="00DD2D21">
        <w:rPr>
          <w:rFonts w:ascii="Calibri" w:hAnsi="Calibri"/>
          <w:color w:val="404040" w:themeColor="text1" w:themeTint="BF"/>
        </w:rPr>
        <w:t xml:space="preserve">employees making outstanding contributions to fund the vehicle’s success. </w:t>
      </w:r>
      <w:r w:rsidR="00F953D5">
        <w:rPr>
          <w:rFonts w:ascii="Calibri" w:hAnsi="Calibri"/>
          <w:color w:val="404040" w:themeColor="text1" w:themeTint="BF"/>
        </w:rPr>
        <w:t xml:space="preserve">Bridge Logistics Partners retains 40% of carried interest </w:t>
      </w:r>
      <w:r w:rsidR="00F303E4">
        <w:rPr>
          <w:rFonts w:ascii="Calibri" w:hAnsi="Calibri"/>
          <w:color w:val="404040" w:themeColor="text1" w:themeTint="BF"/>
        </w:rPr>
        <w:t xml:space="preserve">for direct allocations to team members </w:t>
      </w:r>
      <w:r w:rsidR="00F953D5">
        <w:rPr>
          <w:rFonts w:ascii="Calibri" w:hAnsi="Calibri"/>
          <w:color w:val="404040" w:themeColor="text1" w:themeTint="BF"/>
        </w:rPr>
        <w:t>and 60% flows to the parent company</w:t>
      </w:r>
      <w:r w:rsidR="00F303E4">
        <w:rPr>
          <w:rFonts w:ascii="Calibri" w:hAnsi="Calibri"/>
          <w:color w:val="404040" w:themeColor="text1" w:themeTint="BF"/>
        </w:rPr>
        <w:t xml:space="preserve"> balance sheet</w:t>
      </w:r>
      <w:r w:rsidR="00B93094">
        <w:rPr>
          <w:rFonts w:ascii="Calibri" w:hAnsi="Calibri"/>
          <w:color w:val="404040" w:themeColor="text1" w:themeTint="BF"/>
        </w:rPr>
        <w:t>, contributing to corporate</w:t>
      </w:r>
      <w:r w:rsidR="006B7AE5">
        <w:rPr>
          <w:rFonts w:ascii="Calibri" w:hAnsi="Calibri"/>
          <w:color w:val="404040" w:themeColor="text1" w:themeTint="BF"/>
        </w:rPr>
        <w:t xml:space="preserve"> level</w:t>
      </w:r>
      <w:r w:rsidR="00B93094">
        <w:rPr>
          <w:rFonts w:ascii="Calibri" w:hAnsi="Calibri"/>
          <w:color w:val="404040" w:themeColor="text1" w:themeTint="BF"/>
        </w:rPr>
        <w:t xml:space="preserve"> incentive compensation and earnings for public and employee </w:t>
      </w:r>
      <w:r w:rsidR="006B7AE5">
        <w:rPr>
          <w:rFonts w:ascii="Calibri" w:hAnsi="Calibri"/>
          <w:color w:val="404040" w:themeColor="text1" w:themeTint="BF"/>
        </w:rPr>
        <w:t xml:space="preserve">interests in Bridge Investment Management. </w:t>
      </w:r>
      <w:r w:rsidR="00D52856">
        <w:rPr>
          <w:rFonts w:ascii="Calibri" w:hAnsi="Calibri"/>
          <w:color w:val="404040" w:themeColor="text1" w:themeTint="BF"/>
        </w:rPr>
        <w:t xml:space="preserve"> </w:t>
      </w:r>
    </w:p>
    <w:p w14:paraId="6EF67C10" w14:textId="22641FCC" w:rsidR="00D52856" w:rsidRDefault="00D67421" w:rsidP="00A91DCC">
      <w:pPr>
        <w:pStyle w:val="ListParagraph"/>
        <w:numPr>
          <w:ilvl w:val="1"/>
          <w:numId w:val="6"/>
        </w:numPr>
        <w:autoSpaceDE w:val="0"/>
        <w:autoSpaceDN w:val="0"/>
        <w:adjustRightInd w:val="0"/>
        <w:jc w:val="both"/>
        <w:rPr>
          <w:rFonts w:ascii="Calibri" w:hAnsi="Calibri"/>
          <w:color w:val="404040" w:themeColor="text1" w:themeTint="BF"/>
        </w:rPr>
      </w:pPr>
      <w:r>
        <w:rPr>
          <w:rFonts w:ascii="Calibri" w:hAnsi="Calibri"/>
          <w:color w:val="404040" w:themeColor="text1" w:themeTint="BF"/>
        </w:rPr>
        <w:t xml:space="preserve">Other Bridge personnel outside of the logistics team are also eligible for carried interest grants </w:t>
      </w:r>
      <w:r w:rsidR="00F2758D">
        <w:rPr>
          <w:rFonts w:ascii="Calibri" w:hAnsi="Calibri"/>
          <w:color w:val="404040" w:themeColor="text1" w:themeTint="BF"/>
        </w:rPr>
        <w:t xml:space="preserve">to promote the collaboration of non-dedicated personnel across the firm. </w:t>
      </w:r>
      <w:r w:rsidR="005175E8">
        <w:rPr>
          <w:rFonts w:ascii="Calibri" w:hAnsi="Calibri"/>
          <w:color w:val="404040" w:themeColor="text1" w:themeTint="BF"/>
        </w:rPr>
        <w:t>All employees are eligible for grants of restricted stock units</w:t>
      </w:r>
      <w:r w:rsidR="00C60E7E">
        <w:rPr>
          <w:rFonts w:ascii="Calibri" w:hAnsi="Calibri"/>
          <w:color w:val="404040" w:themeColor="text1" w:themeTint="BF"/>
        </w:rPr>
        <w:t>.</w:t>
      </w:r>
    </w:p>
    <w:p w14:paraId="3BBBCFBA" w14:textId="18F03AF8" w:rsidR="003E57AA" w:rsidRDefault="00BA099A" w:rsidP="00A91DCC">
      <w:pPr>
        <w:pStyle w:val="ListParagraph"/>
        <w:numPr>
          <w:ilvl w:val="0"/>
          <w:numId w:val="6"/>
        </w:numPr>
        <w:autoSpaceDE w:val="0"/>
        <w:autoSpaceDN w:val="0"/>
        <w:adjustRightInd w:val="0"/>
        <w:jc w:val="both"/>
        <w:rPr>
          <w:rFonts w:ascii="Calibri" w:hAnsi="Calibri"/>
          <w:color w:val="404040" w:themeColor="text1" w:themeTint="BF"/>
        </w:rPr>
      </w:pPr>
      <w:r w:rsidRPr="00F35E13">
        <w:rPr>
          <w:rFonts w:ascii="Calibri" w:hAnsi="Calibri"/>
          <w:color w:val="404040" w:themeColor="text1" w:themeTint="BF"/>
        </w:rPr>
        <w:t xml:space="preserve">Retention: </w:t>
      </w:r>
      <w:r w:rsidR="008B4135">
        <w:rPr>
          <w:rFonts w:ascii="Calibri" w:hAnsi="Calibri"/>
          <w:color w:val="404040" w:themeColor="text1" w:themeTint="BF"/>
        </w:rPr>
        <w:t xml:space="preserve">Vesting of restricted stock units is </w:t>
      </w:r>
      <w:r w:rsidR="00D1487F">
        <w:rPr>
          <w:rFonts w:ascii="Calibri" w:hAnsi="Calibri"/>
          <w:color w:val="404040" w:themeColor="text1" w:themeTint="BF"/>
        </w:rPr>
        <w:t xml:space="preserve">typically a between one and five years. Carried interest vesting </w:t>
      </w:r>
      <w:r w:rsidR="00C22A24">
        <w:rPr>
          <w:rFonts w:ascii="Calibri" w:hAnsi="Calibri"/>
          <w:color w:val="404040" w:themeColor="text1" w:themeTint="BF"/>
        </w:rPr>
        <w:t xml:space="preserve">is typically on a </w:t>
      </w:r>
      <w:r w:rsidR="005E3CBC">
        <w:rPr>
          <w:rFonts w:ascii="Calibri" w:hAnsi="Calibri"/>
          <w:color w:val="404040" w:themeColor="text1" w:themeTint="BF"/>
        </w:rPr>
        <w:t>three-to-five-year</w:t>
      </w:r>
      <w:r w:rsidR="00C22A24">
        <w:rPr>
          <w:rFonts w:ascii="Calibri" w:hAnsi="Calibri"/>
          <w:color w:val="404040" w:themeColor="text1" w:themeTint="BF"/>
        </w:rPr>
        <w:t xml:space="preserve"> schedu</w:t>
      </w:r>
      <w:r w:rsidR="00881B59">
        <w:rPr>
          <w:rFonts w:ascii="Calibri" w:hAnsi="Calibri"/>
          <w:color w:val="404040" w:themeColor="text1" w:themeTint="BF"/>
        </w:rPr>
        <w:t>le.</w:t>
      </w:r>
    </w:p>
    <w:p w14:paraId="47BCD7B8" w14:textId="3E180D1C" w:rsidR="00CA453C" w:rsidRPr="003E57AA" w:rsidRDefault="00881B59" w:rsidP="003E57AA">
      <w:pPr>
        <w:autoSpaceDE w:val="0"/>
        <w:autoSpaceDN w:val="0"/>
        <w:adjustRightInd w:val="0"/>
        <w:jc w:val="both"/>
        <w:rPr>
          <w:rFonts w:ascii="Calibri" w:hAnsi="Calibri"/>
          <w:color w:val="404040" w:themeColor="text1" w:themeTint="BF"/>
        </w:rPr>
      </w:pPr>
      <w:r w:rsidRPr="003E57AA">
        <w:rPr>
          <w:rFonts w:ascii="Calibri" w:hAnsi="Calibri"/>
          <w:color w:val="404040" w:themeColor="text1" w:themeTint="BF"/>
        </w:rPr>
        <w:t xml:space="preserve"> </w:t>
      </w:r>
    </w:p>
    <w:bookmarkStart w:id="24" w:name="_Toc179797289"/>
    <w:p w14:paraId="181F4AE0" w14:textId="055181A0" w:rsidR="00AF4F79" w:rsidRPr="005D7C48" w:rsidRDefault="003160CE" w:rsidP="003160CE">
      <w:pPr>
        <w:pStyle w:val="Heading2"/>
        <w:rPr>
          <w:color w:val="8CA4A4" w:themeColor="accent5"/>
          <w:sz w:val="22"/>
          <w:szCs w:val="22"/>
        </w:rPr>
      </w:pPr>
      <w:r w:rsidRPr="00CD4BAE">
        <w:rPr>
          <w:noProof/>
          <w:szCs w:val="22"/>
          <w:highlight w:val="green"/>
        </w:rPr>
        <mc:AlternateContent>
          <mc:Choice Requires="wps">
            <w:drawing>
              <wp:anchor distT="0" distB="0" distL="114300" distR="114300" simplePos="0" relativeHeight="251649024" behindDoc="0" locked="0" layoutInCell="1" allowOverlap="1" wp14:anchorId="3FC41441" wp14:editId="6049CABE">
                <wp:simplePos x="0" y="0"/>
                <wp:positionH relativeFrom="margin">
                  <wp:posOffset>-12700</wp:posOffset>
                </wp:positionH>
                <wp:positionV relativeFrom="paragraph">
                  <wp:posOffset>163407</wp:posOffset>
                </wp:positionV>
                <wp:extent cx="6492240" cy="0"/>
                <wp:effectExtent l="0" t="0" r="0" b="0"/>
                <wp:wrapNone/>
                <wp:docPr id="6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2240" cy="0"/>
                        </a:xfrm>
                        <a:prstGeom prst="straightConnector1">
                          <a:avLst/>
                        </a:prstGeom>
                        <a:noFill/>
                        <a:ln w="9525">
                          <a:solidFill>
                            <a:schemeClr val="tx1">
                              <a:lumMod val="75000"/>
                              <a:lumOff val="2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967D9B" id="AutoShape 5" o:spid="_x0000_s1026" type="#_x0000_t32" style="position:absolute;margin-left:-1pt;margin-top:12.85pt;width:511.2pt;height: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0M10AEAAJADAAAOAAAAZHJzL2Uyb0RvYy54bWysU01v2zAMvQ/YfxB0X+wYTbcacXpI1126&#10;LUC7H8DIsi1MFgVJiZ1/P0qOva9b0Ysgkebj4+Pz9n7sNTtL5xWaiq9XOWfSCKyVaSv+4+XxwyfO&#10;fABTg0YjK36Rnt/v3r/bDraUBXaoa+kYgRhfDrbiXQi2zDIvOtmDX6GVhpINuh4CPV2b1Q4GQu91&#10;VuT5bTagq61DIb2n6MOU5LuE3zRShO9N42VguuLELaTTpfMYz2y3hbJ1YDslrjTgFSx6UIaaLlAP&#10;EICdnPoPqlfCoccmrAT2GTaNEjLNQNOs83+mee7AyjQLiePtIpN/O1jx7bw3Bxepi9E82ycUPz0z&#10;uO/AtDIReLlYWtw6SpUN1pdLSXx4e3DsOHzFmr6BU8Ckwti4PkLSfGxMYl8WseUYmKDg7c1dUdzQ&#10;TsScy6CcC63z4YvEnsVLxX1woNou7NEYWim6dWoD5ycfIi0o54LY1eCj0jptVhs2VPxuU2xSgUet&#10;6piMnyWPyb127AzkjjBOoPrU0zRT7OMmz68eoTA5aQoXc5gaLyiJxl8NHJ5MnWh0EurP13sApac7&#10;VWtzFTXqGE3ryyPWl4Obxaa1J+CrRaOv/nyn6t8/0u4XAAAA//8DAFBLAwQUAAYACAAAACEAvPB3&#10;SN4AAAAJAQAADwAAAGRycy9kb3ducmV2LnhtbEyPwU7DMBBE70j9B2uRuKDWbkRpG+JUCAnRE1Jb&#10;RK9OvCQR9jqy3TT8Pa56gOPsrGbeFJvRGjagD50jCfOZAIZUO91RI+Hj8DpdAQtRkVbGEUr4wQCb&#10;cnJTqFy7M+1w2MeGpRAKuZLQxtjnnIe6RavCzPVIyfty3qqYpG+49uqcwq3hmRCP3KqOUkOrenxp&#10;sf7en6yE+5UfzbZaHj4rH4UdFsf3tzVJeXc7Pj8BizjGv2e44Cd0KBNT5U6kAzMSplmaEiVkiyWw&#10;iy8y8QCsul54WfD/C8pfAAAA//8DAFBLAQItABQABgAIAAAAIQC2gziS/gAAAOEBAAATAAAAAAAA&#10;AAAAAAAAAAAAAABbQ29udGVudF9UeXBlc10ueG1sUEsBAi0AFAAGAAgAAAAhADj9If/WAAAAlAEA&#10;AAsAAAAAAAAAAAAAAAAALwEAAF9yZWxzLy5yZWxzUEsBAi0AFAAGAAgAAAAhAGP3QzXQAQAAkAMA&#10;AA4AAAAAAAAAAAAAAAAALgIAAGRycy9lMm9Eb2MueG1sUEsBAi0AFAAGAAgAAAAhALzwd0jeAAAA&#10;CQEAAA8AAAAAAAAAAAAAAAAAKgQAAGRycy9kb3ducmV2LnhtbFBLBQYAAAAABAAEAPMAAAA1BQAA&#10;AAA=&#10;" strokecolor="#404040 [2429]">
                <w10:wrap anchorx="margin"/>
              </v:shape>
            </w:pict>
          </mc:Fallback>
        </mc:AlternateContent>
      </w:r>
      <w:r w:rsidR="00DE61CE" w:rsidRPr="00CD4BAE">
        <w:rPr>
          <w:color w:val="8CA4A4" w:themeColor="accent5"/>
          <w:sz w:val="22"/>
          <w:szCs w:val="22"/>
          <w:highlight w:val="green"/>
        </w:rPr>
        <w:t>Investor Base</w:t>
      </w:r>
      <w:bookmarkEnd w:id="24"/>
    </w:p>
    <w:p w14:paraId="37D2934F" w14:textId="494FA6AE" w:rsidR="005D7C48" w:rsidRDefault="00CC2F57" w:rsidP="007A6E95">
      <w:pPr>
        <w:jc w:val="both"/>
        <w:rPr>
          <w:color w:val="404040" w:themeColor="text1" w:themeTint="BF"/>
        </w:rPr>
      </w:pPr>
      <w:r w:rsidRPr="00CC2F57">
        <w:rPr>
          <w:color w:val="404040" w:themeColor="text1" w:themeTint="BF"/>
        </w:rPr>
        <w:t>Historically, the investor base for BLP has consisted of a mix of Public Pensions, Private Pensions, Endowments, Foundations, Family Offices, RIAs, Wealth Managers, and Banks.</w:t>
      </w:r>
    </w:p>
    <w:p w14:paraId="571553B6" w14:textId="77777777" w:rsidR="009D160B" w:rsidRDefault="009D160B" w:rsidP="00AF4F79"/>
    <w:bookmarkStart w:id="25" w:name="_Toc179797290"/>
    <w:p w14:paraId="7FDA3CC0" w14:textId="7CAF62F4" w:rsidR="003160CE" w:rsidRPr="006E4A17" w:rsidRDefault="003160CE" w:rsidP="003160CE">
      <w:pPr>
        <w:pStyle w:val="Heading2"/>
        <w:rPr>
          <w:color w:val="8CA4A4" w:themeColor="accent5"/>
          <w:sz w:val="22"/>
          <w:szCs w:val="22"/>
        </w:rPr>
      </w:pPr>
      <w:r w:rsidRPr="00CD4BAE">
        <w:rPr>
          <w:noProof/>
          <w:szCs w:val="22"/>
          <w:highlight w:val="green"/>
        </w:rPr>
        <mc:AlternateContent>
          <mc:Choice Requires="wps">
            <w:drawing>
              <wp:anchor distT="0" distB="0" distL="114300" distR="114300" simplePos="0" relativeHeight="251650048" behindDoc="0" locked="0" layoutInCell="1" allowOverlap="1" wp14:anchorId="09F3BFA8" wp14:editId="670C4155">
                <wp:simplePos x="0" y="0"/>
                <wp:positionH relativeFrom="margin">
                  <wp:posOffset>-12700</wp:posOffset>
                </wp:positionH>
                <wp:positionV relativeFrom="paragraph">
                  <wp:posOffset>163407</wp:posOffset>
                </wp:positionV>
                <wp:extent cx="6492240" cy="0"/>
                <wp:effectExtent l="0" t="0" r="0" b="0"/>
                <wp:wrapNone/>
                <wp:docPr id="6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2240" cy="0"/>
                        </a:xfrm>
                        <a:prstGeom prst="straightConnector1">
                          <a:avLst/>
                        </a:prstGeom>
                        <a:noFill/>
                        <a:ln w="9525">
                          <a:solidFill>
                            <a:schemeClr val="tx1">
                              <a:lumMod val="75000"/>
                              <a:lumOff val="2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C117B5" id="AutoShape 5" o:spid="_x0000_s1026" type="#_x0000_t32" style="position:absolute;margin-left:-1pt;margin-top:12.85pt;width:511.2pt;height:0;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0M10AEAAJADAAAOAAAAZHJzL2Uyb0RvYy54bWysU01v2zAMvQ/YfxB0X+wYTbcacXpI1126&#10;LUC7H8DIsi1MFgVJiZ1/P0qOva9b0Ysgkebj4+Pz9n7sNTtL5xWaiq9XOWfSCKyVaSv+4+XxwyfO&#10;fABTg0YjK36Rnt/v3r/bDraUBXaoa+kYgRhfDrbiXQi2zDIvOtmDX6GVhpINuh4CPV2b1Q4GQu91&#10;VuT5bTagq61DIb2n6MOU5LuE3zRShO9N42VguuLELaTTpfMYz2y3hbJ1YDslrjTgFSx6UIaaLlAP&#10;EICdnPoPqlfCoccmrAT2GTaNEjLNQNOs83+mee7AyjQLiePtIpN/O1jx7bw3Bxepi9E82ycUPz0z&#10;uO/AtDIReLlYWtw6SpUN1pdLSXx4e3DsOHzFmr6BU8Ckwti4PkLSfGxMYl8WseUYmKDg7c1dUdzQ&#10;TsScy6CcC63z4YvEnsVLxX1woNou7NEYWim6dWoD5ycfIi0o54LY1eCj0jptVhs2VPxuU2xSgUet&#10;6piMnyWPyb127AzkjjBOoPrU0zRT7OMmz68eoTA5aQoXc5gaLyiJxl8NHJ5MnWh0EurP13sApac7&#10;VWtzFTXqGE3ryyPWl4Obxaa1J+CrRaOv/nyn6t8/0u4XAAAA//8DAFBLAwQUAAYACAAAACEAvPB3&#10;SN4AAAAJAQAADwAAAGRycy9kb3ducmV2LnhtbEyPwU7DMBBE70j9B2uRuKDWbkRpG+JUCAnRE1Jb&#10;RK9OvCQR9jqy3TT8Pa56gOPsrGbeFJvRGjagD50jCfOZAIZUO91RI+Hj8DpdAQtRkVbGEUr4wQCb&#10;cnJTqFy7M+1w2MeGpRAKuZLQxtjnnIe6RavCzPVIyfty3qqYpG+49uqcwq3hmRCP3KqOUkOrenxp&#10;sf7en6yE+5UfzbZaHj4rH4UdFsf3tzVJeXc7Pj8BizjGv2e44Cd0KBNT5U6kAzMSplmaEiVkiyWw&#10;iy8y8QCsul54WfD/C8pfAAAA//8DAFBLAQItABQABgAIAAAAIQC2gziS/gAAAOEBAAATAAAAAAAA&#10;AAAAAAAAAAAAAABbQ29udGVudF9UeXBlc10ueG1sUEsBAi0AFAAGAAgAAAAhADj9If/WAAAAlAEA&#10;AAsAAAAAAAAAAAAAAAAALwEAAF9yZWxzLy5yZWxzUEsBAi0AFAAGAAgAAAAhAGP3QzXQAQAAkAMA&#10;AA4AAAAAAAAAAAAAAAAALgIAAGRycy9lMm9Eb2MueG1sUEsBAi0AFAAGAAgAAAAhALzwd0jeAAAA&#10;CQEAAA8AAAAAAAAAAAAAAAAAKgQAAGRycy9kb3ducmV2LnhtbFBLBQYAAAAABAAEAPMAAAA1BQAA&#10;AAA=&#10;" strokecolor="#404040 [2429]">
                <w10:wrap anchorx="margin"/>
              </v:shape>
            </w:pict>
          </mc:Fallback>
        </mc:AlternateContent>
      </w:r>
      <w:r w:rsidRPr="00CD4BAE">
        <w:rPr>
          <w:color w:val="8CA4A4" w:themeColor="accent5"/>
          <w:sz w:val="22"/>
          <w:szCs w:val="22"/>
          <w:highlight w:val="green"/>
        </w:rPr>
        <w:t>Compliance / Litigation Disclosures</w:t>
      </w:r>
      <w:bookmarkEnd w:id="25"/>
    </w:p>
    <w:p w14:paraId="50DF0C14" w14:textId="1C4AFD12" w:rsidR="004F04F2" w:rsidRDefault="00E45501" w:rsidP="00A91DCC">
      <w:pPr>
        <w:pStyle w:val="ListParagraph"/>
        <w:numPr>
          <w:ilvl w:val="0"/>
          <w:numId w:val="4"/>
        </w:numPr>
        <w:autoSpaceDE w:val="0"/>
        <w:autoSpaceDN w:val="0"/>
        <w:adjustRightInd w:val="0"/>
        <w:jc w:val="both"/>
        <w:rPr>
          <w:color w:val="404040" w:themeColor="text1" w:themeTint="BF"/>
          <w:szCs w:val="22"/>
        </w:rPr>
      </w:pPr>
      <w:r>
        <w:rPr>
          <w:color w:val="404040" w:themeColor="text1" w:themeTint="BF"/>
          <w:szCs w:val="22"/>
        </w:rPr>
        <w:t>Bridge</w:t>
      </w:r>
      <w:r w:rsidR="00764680" w:rsidRPr="006E4A17">
        <w:rPr>
          <w:color w:val="404040" w:themeColor="text1" w:themeTint="BF"/>
          <w:szCs w:val="22"/>
        </w:rPr>
        <w:t xml:space="preserve"> </w:t>
      </w:r>
      <w:r w:rsidR="002B6A16">
        <w:rPr>
          <w:color w:val="404040" w:themeColor="text1" w:themeTint="BF"/>
          <w:szCs w:val="22"/>
        </w:rPr>
        <w:t>re</w:t>
      </w:r>
      <w:r w:rsidR="00764680" w:rsidRPr="006E4A17">
        <w:rPr>
          <w:color w:val="404040" w:themeColor="text1" w:themeTint="BF"/>
          <w:szCs w:val="22"/>
        </w:rPr>
        <w:t xml:space="preserve">presents that (i) no member </w:t>
      </w:r>
      <w:r w:rsidR="005215A2" w:rsidRPr="006E4A17">
        <w:rPr>
          <w:color w:val="404040" w:themeColor="text1" w:themeTint="BF"/>
          <w:szCs w:val="22"/>
        </w:rPr>
        <w:t xml:space="preserve">of the firm has been reported to or investigated by a </w:t>
      </w:r>
      <w:r w:rsidR="0032037C" w:rsidRPr="006E4A17">
        <w:rPr>
          <w:color w:val="404040" w:themeColor="text1" w:themeTint="BF"/>
          <w:szCs w:val="22"/>
        </w:rPr>
        <w:t>regulatory</w:t>
      </w:r>
      <w:r w:rsidR="005215A2" w:rsidRPr="006E4A17">
        <w:rPr>
          <w:color w:val="404040" w:themeColor="text1" w:themeTint="BF"/>
          <w:szCs w:val="22"/>
        </w:rPr>
        <w:t xml:space="preserve"> authority within the past ten years, (ii) </w:t>
      </w:r>
      <w:r w:rsidR="007D385B" w:rsidRPr="006E4A17">
        <w:rPr>
          <w:color w:val="404040" w:themeColor="text1" w:themeTint="BF"/>
          <w:szCs w:val="22"/>
        </w:rPr>
        <w:t xml:space="preserve">neither the firm nor </w:t>
      </w:r>
      <w:r w:rsidR="0032037C" w:rsidRPr="006E4A17">
        <w:rPr>
          <w:color w:val="404040" w:themeColor="text1" w:themeTint="BF"/>
          <w:szCs w:val="22"/>
        </w:rPr>
        <w:t xml:space="preserve">key individuals </w:t>
      </w:r>
      <w:r w:rsidR="005F6BA7" w:rsidRPr="006E4A17">
        <w:rPr>
          <w:color w:val="404040" w:themeColor="text1" w:themeTint="BF"/>
          <w:szCs w:val="22"/>
        </w:rPr>
        <w:t xml:space="preserve">of the firm </w:t>
      </w:r>
      <w:r w:rsidR="0032037C" w:rsidRPr="006E4A17">
        <w:rPr>
          <w:color w:val="404040" w:themeColor="text1" w:themeTint="BF"/>
          <w:szCs w:val="22"/>
        </w:rPr>
        <w:t>have filed for bankruptcy or had judgements entered agai</w:t>
      </w:r>
      <w:r w:rsidR="0032037C" w:rsidRPr="00AF3298">
        <w:rPr>
          <w:color w:val="404040"/>
          <w:szCs w:val="22"/>
        </w:rPr>
        <w:t>nst them</w:t>
      </w:r>
      <w:r w:rsidR="0044240B" w:rsidRPr="00AF3298">
        <w:rPr>
          <w:color w:val="404040"/>
          <w:szCs w:val="22"/>
        </w:rPr>
        <w:t>,</w:t>
      </w:r>
      <w:r w:rsidR="00053591" w:rsidRPr="00AF3298">
        <w:rPr>
          <w:color w:val="404040"/>
          <w:szCs w:val="22"/>
        </w:rPr>
        <w:t xml:space="preserve"> </w:t>
      </w:r>
      <w:r w:rsidR="00F22362">
        <w:rPr>
          <w:color w:val="404040"/>
          <w:szCs w:val="22"/>
        </w:rPr>
        <w:t xml:space="preserve">and </w:t>
      </w:r>
      <w:r w:rsidR="0032037C" w:rsidRPr="00AF3298">
        <w:rPr>
          <w:color w:val="404040"/>
          <w:szCs w:val="22"/>
        </w:rPr>
        <w:t xml:space="preserve">(iii) </w:t>
      </w:r>
      <w:r w:rsidR="00562468" w:rsidRPr="00AF3298">
        <w:rPr>
          <w:color w:val="404040"/>
          <w:szCs w:val="22"/>
        </w:rPr>
        <w:t xml:space="preserve">no </w:t>
      </w:r>
      <w:r w:rsidR="002B6A16">
        <w:rPr>
          <w:color w:val="404040"/>
          <w:szCs w:val="22"/>
        </w:rPr>
        <w:t>Bridge</w:t>
      </w:r>
      <w:r w:rsidR="006E4A17" w:rsidRPr="00AF3298">
        <w:rPr>
          <w:color w:val="404040"/>
          <w:szCs w:val="22"/>
        </w:rPr>
        <w:t xml:space="preserve"> </w:t>
      </w:r>
      <w:r w:rsidR="00562468" w:rsidRPr="00AF3298">
        <w:rPr>
          <w:color w:val="404040"/>
          <w:szCs w:val="22"/>
        </w:rPr>
        <w:t>investment professional has been disqualified as a</w:t>
      </w:r>
      <w:r w:rsidR="00B40D24" w:rsidRPr="00AF3298">
        <w:rPr>
          <w:color w:val="404040"/>
          <w:szCs w:val="22"/>
        </w:rPr>
        <w:t xml:space="preserve"> portfolio</w:t>
      </w:r>
      <w:r w:rsidR="00562468" w:rsidRPr="00AF3298">
        <w:rPr>
          <w:color w:val="404040"/>
          <w:szCs w:val="22"/>
        </w:rPr>
        <w:t xml:space="preserve"> company director within the</w:t>
      </w:r>
      <w:r w:rsidR="00562468" w:rsidRPr="006E4A17">
        <w:rPr>
          <w:color w:val="404040" w:themeColor="text1" w:themeTint="BF"/>
          <w:szCs w:val="22"/>
        </w:rPr>
        <w:t xml:space="preserve"> last ten year</w:t>
      </w:r>
      <w:r w:rsidR="00F22362">
        <w:rPr>
          <w:color w:val="404040" w:themeColor="text1" w:themeTint="BF"/>
          <w:szCs w:val="22"/>
        </w:rPr>
        <w:t>s.</w:t>
      </w:r>
    </w:p>
    <w:p w14:paraId="17D51F1D" w14:textId="0A5390B9" w:rsidR="00967A25" w:rsidRPr="00F83B13" w:rsidRDefault="004F04F2" w:rsidP="00A91DCC">
      <w:pPr>
        <w:pStyle w:val="ListParagraph"/>
        <w:numPr>
          <w:ilvl w:val="0"/>
          <w:numId w:val="4"/>
        </w:numPr>
        <w:autoSpaceDE w:val="0"/>
        <w:autoSpaceDN w:val="0"/>
        <w:adjustRightInd w:val="0"/>
        <w:jc w:val="both"/>
        <w:rPr>
          <w:color w:val="404040" w:themeColor="text1" w:themeTint="BF"/>
          <w:szCs w:val="22"/>
        </w:rPr>
      </w:pPr>
      <w:r>
        <w:rPr>
          <w:color w:val="404040" w:themeColor="text1" w:themeTint="BF"/>
          <w:szCs w:val="22"/>
        </w:rPr>
        <w:t>Bridge represents that while assets managed by the firm are subject to routine claims and litigation</w:t>
      </w:r>
      <w:r w:rsidR="003C7F07">
        <w:rPr>
          <w:color w:val="404040" w:themeColor="text1" w:themeTint="BF"/>
          <w:szCs w:val="22"/>
        </w:rPr>
        <w:t xml:space="preserve"> within the course of business, </w:t>
      </w:r>
      <w:r>
        <w:rPr>
          <w:color w:val="404040" w:themeColor="text1" w:themeTint="BF"/>
          <w:szCs w:val="22"/>
        </w:rPr>
        <w:t>t</w:t>
      </w:r>
      <w:r w:rsidR="00E842D8" w:rsidRPr="006E4A17">
        <w:rPr>
          <w:color w:val="404040" w:themeColor="text1" w:themeTint="BF"/>
          <w:szCs w:val="22"/>
        </w:rPr>
        <w:t xml:space="preserve">here has been no </w:t>
      </w:r>
      <w:r w:rsidR="00053591" w:rsidRPr="006E4A17">
        <w:rPr>
          <w:color w:val="404040" w:themeColor="text1" w:themeTint="BF"/>
          <w:szCs w:val="22"/>
        </w:rPr>
        <w:t>past or pending legal activity against the firm</w:t>
      </w:r>
      <w:r w:rsidR="00BA0B07" w:rsidRPr="006E4A17">
        <w:rPr>
          <w:color w:val="404040" w:themeColor="text1" w:themeTint="BF"/>
          <w:szCs w:val="22"/>
        </w:rPr>
        <w:t>, funds,</w:t>
      </w:r>
      <w:r w:rsidR="00053591" w:rsidRPr="006E4A17">
        <w:rPr>
          <w:color w:val="404040" w:themeColor="text1" w:themeTint="BF"/>
          <w:szCs w:val="22"/>
        </w:rPr>
        <w:t xml:space="preserve"> or affiliates </w:t>
      </w:r>
      <w:r w:rsidR="002D1029" w:rsidRPr="006E4A17">
        <w:rPr>
          <w:color w:val="404040" w:themeColor="text1" w:themeTint="BF"/>
          <w:szCs w:val="22"/>
        </w:rPr>
        <w:t>that is expected to have a material adverse effect on the firm</w:t>
      </w:r>
      <w:r w:rsidR="00B66DFE" w:rsidRPr="0014121B">
        <w:rPr>
          <w:color w:val="404040" w:themeColor="text1" w:themeTint="BF"/>
          <w:szCs w:val="22"/>
        </w:rPr>
        <w:t xml:space="preserve"> or funds.</w:t>
      </w:r>
      <w:r w:rsidR="00256C13" w:rsidRPr="0014121B">
        <w:rPr>
          <w:color w:val="404040" w:themeColor="text1" w:themeTint="BF"/>
          <w:szCs w:val="22"/>
        </w:rPr>
        <w:t xml:space="preserve"> In addition to routine, asset-level disputes, the Firm’s property management affiliate, Bridge Property Management, L.C. (“BPM”), was recently named in an antitrust lawsuit filed against one of our key vendors (Yardi Systems, Inc.) and various other property managers. The suit relates to a Yardi product designed to analyze and recommend rent prices in multifamily </w:t>
      </w:r>
      <w:r w:rsidR="00256C13" w:rsidRPr="00F83B13">
        <w:rPr>
          <w:color w:val="404040" w:themeColor="text1" w:themeTint="BF"/>
          <w:szCs w:val="22"/>
        </w:rPr>
        <w:t>residential communities. While BPM no longer uses the Yardi product in question and stopped using it before the suit was filed, we do not believe BPM’s use of the product demonstrates any wrongdoing. BPM and the other named defendants are aggressively defending against the lawsuit.</w:t>
      </w:r>
    </w:p>
    <w:p w14:paraId="5C172DE4" w14:textId="238A1B2A" w:rsidR="004D76CD" w:rsidRPr="00836A47" w:rsidRDefault="00EA6092" w:rsidP="00A91DCC">
      <w:pPr>
        <w:pStyle w:val="ListParagraph"/>
        <w:numPr>
          <w:ilvl w:val="0"/>
          <w:numId w:val="4"/>
        </w:numPr>
        <w:autoSpaceDE w:val="0"/>
        <w:autoSpaceDN w:val="0"/>
        <w:adjustRightInd w:val="0"/>
        <w:jc w:val="both"/>
        <w:rPr>
          <w:color w:val="404040" w:themeColor="text1" w:themeTint="BF"/>
          <w:szCs w:val="22"/>
        </w:rPr>
      </w:pPr>
      <w:r w:rsidRPr="00F83B13">
        <w:rPr>
          <w:color w:val="404040" w:themeColor="text1" w:themeTint="BF"/>
          <w:szCs w:val="22"/>
        </w:rPr>
        <w:lastRenderedPageBreak/>
        <w:t>Bridge Logistics Properties Fund Manager LLC is a Registered Investment A</w:t>
      </w:r>
      <w:r w:rsidR="00785E55" w:rsidRPr="00F83B13">
        <w:rPr>
          <w:color w:val="404040" w:themeColor="text1" w:themeTint="BF"/>
          <w:szCs w:val="22"/>
        </w:rPr>
        <w:t xml:space="preserve">dviser with the SEC. </w:t>
      </w:r>
      <w:r w:rsidR="00957A33" w:rsidRPr="00F83B13">
        <w:rPr>
          <w:color w:val="404040" w:themeColor="text1" w:themeTint="BF"/>
          <w:szCs w:val="22"/>
        </w:rPr>
        <w:t xml:space="preserve">The </w:t>
      </w:r>
      <w:r w:rsidR="00785E55" w:rsidRPr="00F83B13">
        <w:rPr>
          <w:color w:val="404040" w:themeColor="text1" w:themeTint="BF"/>
          <w:szCs w:val="22"/>
        </w:rPr>
        <w:t xml:space="preserve">broader </w:t>
      </w:r>
      <w:r w:rsidR="00957A33" w:rsidRPr="00F83B13">
        <w:rPr>
          <w:color w:val="404040" w:themeColor="text1" w:themeTint="BF"/>
          <w:szCs w:val="22"/>
        </w:rPr>
        <w:t xml:space="preserve">Firm has had three routine examinations from the SEC, most recently in 2013, 2018 and one currently underway. During </w:t>
      </w:r>
      <w:r w:rsidR="008C1945">
        <w:rPr>
          <w:color w:val="404040" w:themeColor="text1" w:themeTint="BF"/>
          <w:szCs w:val="22"/>
        </w:rPr>
        <w:t>the</w:t>
      </w:r>
      <w:r w:rsidR="00957A33" w:rsidRPr="00F83B13">
        <w:rPr>
          <w:color w:val="404040" w:themeColor="text1" w:themeTint="BF"/>
          <w:szCs w:val="22"/>
        </w:rPr>
        <w:t xml:space="preserve"> 2013 and 2018 examinations, </w:t>
      </w:r>
      <w:r w:rsidR="005313AA" w:rsidRPr="00F83B13">
        <w:rPr>
          <w:color w:val="404040" w:themeColor="text1" w:themeTint="BF"/>
          <w:szCs w:val="22"/>
        </w:rPr>
        <w:t xml:space="preserve">Bridge </w:t>
      </w:r>
      <w:r w:rsidR="00957A33" w:rsidRPr="00F83B13">
        <w:rPr>
          <w:color w:val="404040" w:themeColor="text1" w:themeTint="BF"/>
          <w:szCs w:val="22"/>
        </w:rPr>
        <w:t>received certain</w:t>
      </w:r>
      <w:r w:rsidR="00957A33" w:rsidRPr="00957A33">
        <w:rPr>
          <w:color w:val="404040" w:themeColor="text1" w:themeTint="BF"/>
          <w:szCs w:val="22"/>
        </w:rPr>
        <w:t xml:space="preserve"> non-material comments, which were remediated shortly thereafter. As of July 2024, Bridge is under a routine SEC review</w:t>
      </w:r>
      <w:r w:rsidR="00957A33" w:rsidRPr="00836A47">
        <w:rPr>
          <w:color w:val="404040" w:themeColor="text1" w:themeTint="BF"/>
          <w:szCs w:val="22"/>
        </w:rPr>
        <w:t>.</w:t>
      </w:r>
    </w:p>
    <w:p w14:paraId="1EF6CDCE" w14:textId="77777777" w:rsidR="00957A33" w:rsidRPr="00836A47" w:rsidRDefault="00957A33" w:rsidP="00957A33">
      <w:pPr>
        <w:autoSpaceDE w:val="0"/>
        <w:autoSpaceDN w:val="0"/>
        <w:adjustRightInd w:val="0"/>
        <w:jc w:val="both"/>
        <w:rPr>
          <w:color w:val="404040" w:themeColor="text1" w:themeTint="BF"/>
          <w:szCs w:val="22"/>
        </w:rPr>
      </w:pPr>
    </w:p>
    <w:p w14:paraId="4E83E5ED" w14:textId="3DA41DED" w:rsidR="009E0276" w:rsidRPr="00825E82" w:rsidRDefault="009E0276" w:rsidP="00446366">
      <w:pPr>
        <w:pStyle w:val="Heading1"/>
        <w:spacing w:after="0"/>
        <w:rPr>
          <w:kern w:val="28"/>
          <w:sz w:val="28"/>
          <w:szCs w:val="28"/>
        </w:rPr>
      </w:pPr>
      <w:bookmarkStart w:id="26" w:name="_Toc179797291"/>
      <w:bookmarkStart w:id="27" w:name="_Hlk79137011"/>
      <w:r w:rsidRPr="00CD4BAE">
        <w:rPr>
          <w:kern w:val="28"/>
          <w:sz w:val="28"/>
          <w:szCs w:val="28"/>
          <w:highlight w:val="green"/>
        </w:rPr>
        <w:t>E</w:t>
      </w:r>
      <w:r w:rsidR="000D73A0" w:rsidRPr="00CD4BAE">
        <w:rPr>
          <w:kern w:val="28"/>
          <w:sz w:val="28"/>
          <w:szCs w:val="28"/>
          <w:highlight w:val="green"/>
        </w:rPr>
        <w:t>nvi</w:t>
      </w:r>
      <w:r w:rsidR="00AE6938" w:rsidRPr="00CD4BAE">
        <w:rPr>
          <w:kern w:val="28"/>
          <w:sz w:val="28"/>
          <w:szCs w:val="28"/>
          <w:highlight w:val="green"/>
        </w:rPr>
        <w:t>ronmental and Social and Governance</w:t>
      </w:r>
      <w:r w:rsidRPr="00CD4BAE">
        <w:rPr>
          <w:kern w:val="28"/>
          <w:sz w:val="28"/>
          <w:szCs w:val="28"/>
          <w:highlight w:val="green"/>
        </w:rPr>
        <w:t xml:space="preserve"> Policies and Practices</w:t>
      </w:r>
      <w:bookmarkEnd w:id="26"/>
    </w:p>
    <w:p w14:paraId="35188F63" w14:textId="6D4901BA" w:rsidR="003160CE" w:rsidRPr="00825E82" w:rsidRDefault="003160CE" w:rsidP="003160CE">
      <w:pPr>
        <w:pStyle w:val="Heading2"/>
        <w:rPr>
          <w:color w:val="8CA4A4" w:themeColor="accent5"/>
          <w:sz w:val="22"/>
          <w:szCs w:val="22"/>
        </w:rPr>
      </w:pPr>
      <w:bookmarkStart w:id="28" w:name="_Toc130296613"/>
      <w:bookmarkStart w:id="29" w:name="_Toc179797292"/>
      <w:r w:rsidRPr="00825E82">
        <w:rPr>
          <w:color w:val="8CA4A4" w:themeColor="accent5"/>
          <w:sz w:val="22"/>
          <w:szCs w:val="22"/>
        </w:rPr>
        <w:t>Summary</w:t>
      </w:r>
      <w:bookmarkEnd w:id="28"/>
      <w:bookmarkEnd w:id="29"/>
    </w:p>
    <w:bookmarkStart w:id="30" w:name="_Hlk80020278"/>
    <w:bookmarkEnd w:id="27"/>
    <w:p w14:paraId="1DD70F0F" w14:textId="50B7B2FA" w:rsidR="009F68B1" w:rsidRDefault="00B31699" w:rsidP="004022F5">
      <w:pPr>
        <w:autoSpaceDE w:val="0"/>
        <w:autoSpaceDN w:val="0"/>
        <w:adjustRightInd w:val="0"/>
        <w:jc w:val="both"/>
        <w:rPr>
          <w:rFonts w:ascii="Calibri" w:eastAsia="Calibri" w:hAnsi="Calibri" w:cs="Calibri"/>
          <w:color w:val="404040"/>
          <w:sz w:val="16"/>
          <w:szCs w:val="16"/>
        </w:rPr>
      </w:pPr>
      <w:r w:rsidRPr="00B31699">
        <w:rPr>
          <w:noProof/>
        </w:rPr>
        <mc:AlternateContent>
          <mc:Choice Requires="wps">
            <w:drawing>
              <wp:anchor distT="0" distB="0" distL="114300" distR="114300" simplePos="0" relativeHeight="251679744" behindDoc="0" locked="0" layoutInCell="1" allowOverlap="1" wp14:anchorId="02D1E8AE" wp14:editId="21DB1A72">
                <wp:simplePos x="0" y="0"/>
                <wp:positionH relativeFrom="margin">
                  <wp:align>center</wp:align>
                </wp:positionH>
                <wp:positionV relativeFrom="paragraph">
                  <wp:posOffset>5715</wp:posOffset>
                </wp:positionV>
                <wp:extent cx="6492240" cy="0"/>
                <wp:effectExtent l="0" t="0" r="0" b="0"/>
                <wp:wrapNone/>
                <wp:docPr id="1608549005" name="Straight Arrow Connector 1608549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2240" cy="0"/>
                        </a:xfrm>
                        <a:prstGeom prst="straightConnector1">
                          <a:avLst/>
                        </a:prstGeom>
                        <a:noFill/>
                        <a:ln w="9525">
                          <a:solidFill>
                            <a:sysClr val="windowText" lastClr="000000">
                              <a:lumMod val="75000"/>
                              <a:lumOff val="25000"/>
                            </a:sys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A1D5CD3" id="_x0000_t32" coordsize="21600,21600" o:spt="32" o:oned="t" path="m,l21600,21600e" filled="f">
                <v:path arrowok="t" fillok="f" o:connecttype="none"/>
                <o:lock v:ext="edit" shapetype="t"/>
              </v:shapetype>
              <v:shape id="Straight Arrow Connector 1608549005" o:spid="_x0000_s1026" type="#_x0000_t32" style="position:absolute;margin-left:0;margin-top:.45pt;width:511.2pt;height:0;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W13AEAAKIDAAAOAAAAZHJzL2Uyb0RvYy54bWysU8uO2zAMvBfoPwi6N06MzbZrxNlDttvL&#10;tg2w6QcwshwLlUVBVOLk70vJcfq6FfVBkEhxOByNV4/n3oqTDmTQ1XIxm0uhncLGuEMtv+2e332Q&#10;giK4Biw6XcuLJvm4fvtmNfhKl9ihbXQQDOKoGnwtuxh9VRSkOt0DzdBrx8kWQw+Rj+FQNAEGRu9t&#10;Uc7n98WAofEBlSbi6NOYlOuM37Zaxa9tSzoKW0vmFvMa8rpPa7FeQXUI4DujrjTgH1j0YBw3vUE9&#10;QQRxDOYvqN6ogIRtnCnsC2xbo3SegadZzP+Y5rUDr/MsLA75m0z0/2DVl9PGbUOirs7u1b+g+k7C&#10;4aYDd9CZwO7i+eEWSapi8FTdStKB/DaI/fAZG74Dx4hZhXMb+gTJ84lzFvtyE1ufo1AcvL97KMs7&#10;fhM15QqopkIfKH7S2Iu0qSXFAObQxQ06x0+KYZHbwOmFYqIF1VSQujp8Ntbml7VODLV8WJbLXEBo&#10;TZOS6RpdaGODOAFbgx3V4LBjblJYoMgJJpy/XGiPPY843n2/5PhoHA6zvcZwOYWZzQidif3WMuDR&#10;NZlYp6H5eN1HMHbcc6l1V5mTssnGVO2xuWzDJD8bIQNfTZuc9us5V//8tdY/AAAA//8DAFBLAwQU&#10;AAYACAAAACEAc1/mt9kAAAADAQAADwAAAGRycy9kb3ducmV2LnhtbEyPQUvDQBSE74L/YXmCN7tp&#10;LFLTbIqIPRRPtiL29pp9TUKzb0P2tYn/3s1Jj8MMM9/k69G16kp9aDwbmM8SUMSltw1XBj73m4cl&#10;qCDIFlvPZOCHAqyL25scM+sH/qDrTioVSzhkaKAW6TKtQ1mTwzDzHXH0Tr53KFH2lbY9DrHctTpN&#10;kiftsOG4UGNHrzWV593FGThRL1scNvP3r0O3PG/L70d5Wxhzfze+rEAJjfIXhgk/okMRmY7+wjao&#10;1kA8IgaeQU1ekqYLUMdJ6yLX/9mLXwAAAP//AwBQSwECLQAUAAYACAAAACEAtoM4kv4AAADhAQAA&#10;EwAAAAAAAAAAAAAAAAAAAAAAW0NvbnRlbnRfVHlwZXNdLnhtbFBLAQItABQABgAIAAAAIQA4/SH/&#10;1gAAAJQBAAALAAAAAAAAAAAAAAAAAC8BAABfcmVscy8ucmVsc1BLAQItABQABgAIAAAAIQAZBcW1&#10;3AEAAKIDAAAOAAAAAAAAAAAAAAAAAC4CAABkcnMvZTJvRG9jLnhtbFBLAQItABQABgAIAAAAIQBz&#10;X+a32QAAAAMBAAAPAAAAAAAAAAAAAAAAADYEAABkcnMvZG93bnJldi54bWxQSwUGAAAAAAQABADz&#10;AAAAPAUAAAAA&#10;" strokecolor="#404040">
                <w10:wrap anchorx="margin"/>
              </v:shape>
            </w:pict>
          </mc:Fallback>
        </mc:AlternateContent>
      </w:r>
      <w:r w:rsidRPr="00B31699">
        <w:rPr>
          <w:rFonts w:ascii="Calibri" w:eastAsia="Calibri" w:hAnsi="Calibri" w:cs="Calibri"/>
          <w:color w:val="404040"/>
          <w:szCs w:val="22"/>
        </w:rPr>
        <w:t xml:space="preserve">The firm has taken steps to identify, evaluate, and mitigate potential financially material risks; with monitoring/tracking and reporting of ESG data in various stages of implementation across the three areas.   </w:t>
      </w:r>
      <w:proofErr w:type="gramStart"/>
      <w:r w:rsidRPr="00B31699">
        <w:rPr>
          <w:rFonts w:ascii="Calibri" w:eastAsia="MS Mincho" w:hAnsi="Calibri"/>
          <w:color w:val="404040"/>
          <w:szCs w:val="22"/>
        </w:rPr>
        <w:t>Overall</w:t>
      </w:r>
      <w:proofErr w:type="gramEnd"/>
      <w:r w:rsidRPr="00B31699">
        <w:rPr>
          <w:rFonts w:ascii="Calibri" w:eastAsia="MS Mincho" w:hAnsi="Calibri"/>
          <w:color w:val="404040"/>
          <w:szCs w:val="22"/>
        </w:rPr>
        <w:t xml:space="preserve"> across these three broad areas collectively, each as they pertain to real estate, b</w:t>
      </w:r>
      <w:r w:rsidRPr="00B31699">
        <w:rPr>
          <w:rFonts w:ascii="Calibri" w:eastAsia="Calibri" w:hAnsi="Calibri" w:cs="Calibri"/>
          <w:color w:val="404040"/>
          <w:szCs w:val="22"/>
        </w:rPr>
        <w:t xml:space="preserve">ased on the below referenced factors, the Sponsor garners an ESG assessment of </w:t>
      </w:r>
      <w:r w:rsidRPr="00B31699">
        <w:rPr>
          <w:rFonts w:ascii="Calibri" w:eastAsia="Calibri" w:hAnsi="Calibri" w:cs="Calibri"/>
          <w:i/>
          <w:iCs/>
          <w:color w:val="404040"/>
          <w:szCs w:val="22"/>
        </w:rPr>
        <w:t>Integrated</w:t>
      </w:r>
      <w:r w:rsidRPr="00B31699">
        <w:rPr>
          <w:rFonts w:ascii="Calibri" w:eastAsia="Calibri" w:hAnsi="Calibri" w:cs="Calibri"/>
          <w:color w:val="404040"/>
          <w:szCs w:val="22"/>
        </w:rPr>
        <w:t xml:space="preserve"> (as defined in the </w:t>
      </w:r>
      <w:r w:rsidRPr="00B31699">
        <w:rPr>
          <w:rFonts w:ascii="Calibri" w:eastAsia="Calibri" w:hAnsi="Calibri" w:cs="Calibri"/>
          <w:i/>
          <w:iCs/>
          <w:color w:val="404040"/>
          <w:szCs w:val="22"/>
        </w:rPr>
        <w:t>Appendix</w:t>
      </w:r>
      <w:r w:rsidRPr="00B31699">
        <w:rPr>
          <w:rFonts w:ascii="Calibri" w:eastAsia="Calibri" w:hAnsi="Calibri" w:cs="Calibri"/>
          <w:color w:val="404040"/>
          <w:szCs w:val="22"/>
        </w:rPr>
        <w:t xml:space="preserve">). </w:t>
      </w:r>
      <w:r w:rsidRPr="00B31699">
        <w:rPr>
          <w:rFonts w:ascii="Calibri" w:eastAsia="Calibri" w:hAnsi="Calibri" w:cs="Calibri"/>
          <w:color w:val="404040"/>
          <w:sz w:val="16"/>
          <w:szCs w:val="16"/>
        </w:rPr>
        <w:t xml:space="preserve"> </w:t>
      </w:r>
      <w:bookmarkStart w:id="31" w:name="_Hlk178254026"/>
      <w:bookmarkEnd w:id="30"/>
    </w:p>
    <w:p w14:paraId="0E55314E" w14:textId="0310F9D1" w:rsidR="009F68B1" w:rsidRDefault="00B31699" w:rsidP="004022F5">
      <w:pPr>
        <w:autoSpaceDE w:val="0"/>
        <w:autoSpaceDN w:val="0"/>
        <w:adjustRightInd w:val="0"/>
        <w:jc w:val="both"/>
        <w:rPr>
          <w:rFonts w:ascii="Calibri" w:hAnsi="Calibri"/>
          <w:color w:val="404040" w:themeColor="text1" w:themeTint="BF"/>
          <w:szCs w:val="22"/>
        </w:rPr>
      </w:pPr>
      <w:r w:rsidRPr="00B31699">
        <w:rPr>
          <w:rFonts w:ascii="Calibri" w:hAnsi="Calibri" w:cs="Calibri"/>
          <w:i/>
          <w:iCs/>
          <w:color w:val="404040"/>
        </w:rPr>
        <w:t>Policies:</w:t>
      </w:r>
      <w:r w:rsidRPr="00B31699">
        <w:rPr>
          <w:rFonts w:ascii="Calibri" w:hAnsi="Calibri" w:cs="Calibri"/>
          <w:color w:val="404040"/>
        </w:rPr>
        <w:t xml:space="preserve"> Bridge has an annually reviewed ESG and Responsible Investment Policy adopted initially in 2018 and was recently updated in March 2024. In 2020, the firm became a UN PRI signatory. In 2021, the firm completed its first GRESB reporting submission. Senior management intends the firm to operate in accordance with its Code of Ethics, Diversity &amp; Inclusion Policy, and </w:t>
      </w:r>
      <w:r w:rsidRPr="00B31699">
        <w:rPr>
          <w:rFonts w:ascii="Calibri" w:hAnsi="Calibri" w:cs="Calibri"/>
          <w:color w:val="404040" w:themeColor="text1" w:themeTint="BF"/>
        </w:rPr>
        <w:t xml:space="preserve">Responsible Supplier Policy.  </w:t>
      </w:r>
      <w:r w:rsidRPr="00B31699">
        <w:rPr>
          <w:rFonts w:ascii="Calibri" w:hAnsi="Calibri" w:cs="Calibri"/>
          <w:color w:val="404040" w:themeColor="text1" w:themeTint="BF"/>
          <w:szCs w:val="22"/>
        </w:rPr>
        <w:t>Bridge became a supporter of the Task Force on Climate-related Financial Disclosures (“TCFD”) in 2021</w:t>
      </w:r>
      <w:r w:rsidRPr="00B31699">
        <w:rPr>
          <w:rFonts w:ascii="Calibri" w:hAnsi="Calibri"/>
          <w:color w:val="404040" w:themeColor="text1" w:themeTint="BF"/>
          <w:szCs w:val="22"/>
        </w:rPr>
        <w:t>.</w:t>
      </w:r>
    </w:p>
    <w:p w14:paraId="7A4F64DE" w14:textId="77777777" w:rsidR="009F68B1" w:rsidRDefault="009F68B1" w:rsidP="004022F5">
      <w:pPr>
        <w:autoSpaceDE w:val="0"/>
        <w:autoSpaceDN w:val="0"/>
        <w:adjustRightInd w:val="0"/>
        <w:jc w:val="both"/>
        <w:rPr>
          <w:rFonts w:ascii="Calibri" w:hAnsi="Calibri"/>
          <w:color w:val="404040" w:themeColor="text1" w:themeTint="BF"/>
          <w:szCs w:val="22"/>
        </w:rPr>
      </w:pPr>
    </w:p>
    <w:p w14:paraId="21286833" w14:textId="1AA92D39" w:rsidR="009F68B1" w:rsidRPr="00FA3126" w:rsidRDefault="00B31699" w:rsidP="009F68B1">
      <w:pPr>
        <w:jc w:val="both"/>
        <w:rPr>
          <w:rFonts w:ascii="Calibri" w:hAnsi="Calibri" w:cs="Calibri"/>
          <w:color w:val="404040" w:themeColor="text1" w:themeTint="BF"/>
          <w:szCs w:val="22"/>
        </w:rPr>
      </w:pPr>
      <w:r w:rsidRPr="00406CAC">
        <w:rPr>
          <w:rFonts w:ascii="Calibri" w:hAnsi="Calibri" w:cs="Calibri"/>
          <w:i/>
          <w:iCs/>
          <w:color w:val="404040" w:themeColor="text1" w:themeTint="BF"/>
          <w:szCs w:val="22"/>
        </w:rPr>
        <w:t>Staffing:</w:t>
      </w:r>
      <w:r w:rsidRPr="00406CAC">
        <w:rPr>
          <w:rFonts w:ascii="Calibri" w:hAnsi="Calibri" w:cs="Calibri"/>
          <w:color w:val="404040" w:themeColor="text1" w:themeTint="BF"/>
          <w:szCs w:val="22"/>
        </w:rPr>
        <w:t xml:space="preserve"> The firm has </w:t>
      </w:r>
      <w:r w:rsidR="00E53B68" w:rsidRPr="00406CAC">
        <w:rPr>
          <w:rFonts w:ascii="Calibri" w:hAnsi="Calibri" w:cs="Calibri"/>
          <w:color w:val="404040" w:themeColor="text1" w:themeTint="BF"/>
          <w:szCs w:val="22"/>
        </w:rPr>
        <w:t xml:space="preserve">Global </w:t>
      </w:r>
      <w:r w:rsidRPr="00406CAC">
        <w:rPr>
          <w:rFonts w:ascii="Calibri" w:hAnsi="Calibri" w:cs="Calibri"/>
          <w:color w:val="404040" w:themeColor="text1" w:themeTint="BF"/>
          <w:szCs w:val="22"/>
        </w:rPr>
        <w:t xml:space="preserve">Head of ESG and Sustainability at the Managing Director level, Isela Rosales, a dedicated </w:t>
      </w:r>
      <w:r w:rsidRPr="00406CAC">
        <w:rPr>
          <w:rFonts w:ascii="Calibri" w:hAnsi="Calibri"/>
          <w:color w:val="404040" w:themeColor="text1" w:themeTint="BF"/>
          <w:szCs w:val="22"/>
        </w:rPr>
        <w:t xml:space="preserve">ESG and Sustainability Associate, </w:t>
      </w:r>
      <w:r w:rsidRPr="00406CAC">
        <w:rPr>
          <w:rFonts w:ascii="Calibri" w:hAnsi="Calibri" w:cs="Calibri"/>
          <w:color w:val="404040" w:themeColor="text1" w:themeTint="BF"/>
          <w:szCs w:val="22"/>
        </w:rPr>
        <w:t xml:space="preserve">an ESG Steering Committee comprised of the firm’s CEO, COO, </w:t>
      </w:r>
      <w:r w:rsidR="00406CAC" w:rsidRPr="00406CAC">
        <w:rPr>
          <w:rFonts w:ascii="Calibri" w:hAnsi="Calibri" w:cs="Calibri"/>
          <w:color w:val="404040" w:themeColor="text1" w:themeTint="BF"/>
          <w:szCs w:val="22"/>
        </w:rPr>
        <w:t>Conducting Officer</w:t>
      </w:r>
      <w:r w:rsidRPr="00406CAC">
        <w:rPr>
          <w:rFonts w:ascii="Calibri" w:hAnsi="Calibri" w:cs="Calibri"/>
          <w:color w:val="404040" w:themeColor="text1" w:themeTint="BF"/>
          <w:szCs w:val="22"/>
        </w:rPr>
        <w:t>, and three Managing Directors in various functions across the firm</w:t>
      </w:r>
      <w:r w:rsidR="00406CAC" w:rsidRPr="00406CAC">
        <w:rPr>
          <w:rFonts w:ascii="Calibri" w:hAnsi="Calibri" w:cs="Calibri"/>
          <w:color w:val="404040" w:themeColor="text1" w:themeTint="BF"/>
          <w:szCs w:val="22"/>
        </w:rPr>
        <w:t>.</w:t>
      </w:r>
      <w:r w:rsidR="00AD3232">
        <w:rPr>
          <w:rFonts w:ascii="Calibri" w:hAnsi="Calibri" w:cs="Calibri"/>
          <w:color w:val="404040" w:themeColor="text1" w:themeTint="BF"/>
          <w:szCs w:val="22"/>
        </w:rPr>
        <w:t xml:space="preserve"> In 2023, Bridge engaged in a partnership with </w:t>
      </w:r>
      <w:proofErr w:type="spellStart"/>
      <w:r w:rsidR="00AD3232">
        <w:rPr>
          <w:rFonts w:ascii="Calibri" w:hAnsi="Calibri" w:cs="Calibri"/>
          <w:color w:val="404040" w:themeColor="text1" w:themeTint="BF"/>
          <w:szCs w:val="22"/>
        </w:rPr>
        <w:t>Verdani</w:t>
      </w:r>
      <w:proofErr w:type="spellEnd"/>
      <w:r w:rsidR="00AD3232">
        <w:rPr>
          <w:rFonts w:ascii="Calibri" w:hAnsi="Calibri" w:cs="Calibri"/>
          <w:color w:val="404040" w:themeColor="text1" w:themeTint="BF"/>
          <w:szCs w:val="22"/>
        </w:rPr>
        <w:t xml:space="preserve"> Partners, an ESG and sustainability consulting firm that provides support for ESG program management, asset-</w:t>
      </w:r>
      <w:proofErr w:type="gramStart"/>
      <w:r w:rsidR="00AD3232">
        <w:rPr>
          <w:rFonts w:ascii="Calibri" w:hAnsi="Calibri" w:cs="Calibri"/>
          <w:color w:val="404040" w:themeColor="text1" w:themeTint="BF"/>
          <w:szCs w:val="22"/>
        </w:rPr>
        <w:t>level</w:t>
      </w:r>
      <w:proofErr w:type="gramEnd"/>
      <w:r w:rsidR="00AD3232">
        <w:rPr>
          <w:rFonts w:ascii="Calibri" w:hAnsi="Calibri" w:cs="Calibri"/>
          <w:color w:val="404040" w:themeColor="text1" w:themeTint="BF"/>
          <w:szCs w:val="22"/>
        </w:rPr>
        <w:t xml:space="preserve"> and data management and in GRESB and UNPRI reporting.</w:t>
      </w:r>
    </w:p>
    <w:p w14:paraId="44E71CC9" w14:textId="77777777" w:rsidR="00B31699" w:rsidRPr="00836A47" w:rsidRDefault="00B31699" w:rsidP="004022F5">
      <w:pPr>
        <w:jc w:val="both"/>
        <w:rPr>
          <w:rFonts w:ascii="Calibri" w:hAnsi="Calibri" w:cs="Calibri"/>
          <w:color w:val="404040" w:themeColor="text1" w:themeTint="BF"/>
          <w:szCs w:val="22"/>
        </w:rPr>
      </w:pPr>
      <w:r w:rsidRPr="00406CAC">
        <w:rPr>
          <w:rFonts w:ascii="Calibri" w:eastAsia="Calibri" w:hAnsi="Calibri" w:cs="Calibri"/>
          <w:i/>
          <w:iCs/>
          <w:color w:val="404040"/>
          <w:szCs w:val="22"/>
        </w:rPr>
        <w:t>Process:</w:t>
      </w:r>
      <w:r w:rsidRPr="00406CAC">
        <w:rPr>
          <w:rFonts w:ascii="Calibri" w:eastAsia="Calibri" w:hAnsi="Calibri" w:cs="Calibri"/>
          <w:color w:val="404040"/>
          <w:szCs w:val="22"/>
        </w:rPr>
        <w:t xml:space="preserve">  </w:t>
      </w:r>
    </w:p>
    <w:p w14:paraId="30D20784" w14:textId="00BDE3EF" w:rsidR="00500366" w:rsidRPr="00836A47" w:rsidRDefault="00B31699" w:rsidP="00836A47">
      <w:pPr>
        <w:pStyle w:val="ListParagraph"/>
        <w:numPr>
          <w:ilvl w:val="0"/>
          <w:numId w:val="33"/>
        </w:numPr>
        <w:autoSpaceDE w:val="0"/>
        <w:autoSpaceDN w:val="0"/>
        <w:adjustRightInd w:val="0"/>
        <w:ind w:left="504"/>
        <w:jc w:val="both"/>
        <w:rPr>
          <w:rFonts w:ascii="Calibri" w:hAnsi="Calibri" w:cs="Calibri"/>
          <w:color w:val="404040" w:themeColor="text1" w:themeTint="BF"/>
          <w:szCs w:val="22"/>
        </w:rPr>
      </w:pPr>
      <w:r w:rsidRPr="00836A47">
        <w:rPr>
          <w:rFonts w:ascii="Calibri" w:hAnsi="Calibri" w:cs="Calibri"/>
          <w:color w:val="404040" w:themeColor="text1" w:themeTint="BF"/>
          <w:szCs w:val="22"/>
        </w:rPr>
        <w:t xml:space="preserve">Environmental: Risk factors and value-creation upgrading for environmental resiliency is standard due diligence and investment decision making related to business plans.  </w:t>
      </w:r>
    </w:p>
    <w:p w14:paraId="08473F80" w14:textId="2BC81782" w:rsidR="00B31699" w:rsidRPr="004022F5" w:rsidRDefault="00B31699" w:rsidP="004022F5">
      <w:pPr>
        <w:pStyle w:val="ListParagraph"/>
        <w:numPr>
          <w:ilvl w:val="0"/>
          <w:numId w:val="33"/>
        </w:numPr>
        <w:autoSpaceDE w:val="0"/>
        <w:autoSpaceDN w:val="0"/>
        <w:adjustRightInd w:val="0"/>
        <w:ind w:left="504"/>
        <w:jc w:val="both"/>
        <w:rPr>
          <w:color w:val="404040" w:themeColor="text1" w:themeTint="BF"/>
          <w:szCs w:val="22"/>
        </w:rPr>
      </w:pPr>
      <w:r w:rsidRPr="00AD3232">
        <w:rPr>
          <w:color w:val="404040" w:themeColor="text1" w:themeTint="BF"/>
          <w:szCs w:val="22"/>
        </w:rPr>
        <w:t>Social:</w:t>
      </w:r>
      <w:r w:rsidR="00500366" w:rsidRPr="00AD3232">
        <w:rPr>
          <w:color w:val="404040" w:themeColor="text1" w:themeTint="BF"/>
          <w:szCs w:val="22"/>
        </w:rPr>
        <w:t xml:space="preserve"> T</w:t>
      </w:r>
      <w:r w:rsidRPr="00AD3232">
        <w:rPr>
          <w:rFonts w:ascii="Calibri" w:hAnsi="Calibri" w:cs="Calibri"/>
          <w:color w:val="404040" w:themeColor="text1" w:themeTint="BF"/>
          <w:szCs w:val="22"/>
        </w:rPr>
        <w:t>he firm also matches employee charitable contributions,</w:t>
      </w:r>
      <w:r w:rsidR="00500366" w:rsidRPr="00AD3232">
        <w:rPr>
          <w:rFonts w:ascii="Calibri" w:hAnsi="Calibri" w:cs="Calibri"/>
          <w:color w:val="404040" w:themeColor="text1" w:themeTint="BF"/>
          <w:szCs w:val="22"/>
        </w:rPr>
        <w:t xml:space="preserve"> </w:t>
      </w:r>
      <w:r w:rsidRPr="00AD3232">
        <w:rPr>
          <w:rFonts w:ascii="Calibri" w:hAnsi="Calibri" w:cs="Calibri"/>
          <w:color w:val="404040" w:themeColor="text1" w:themeTint="BF"/>
          <w:szCs w:val="22"/>
        </w:rPr>
        <w:t>sponsors numerous community events across its markets, and offers employees paid time-off for volunteering.</w:t>
      </w:r>
    </w:p>
    <w:p w14:paraId="305BC6ED" w14:textId="016A5D32" w:rsidR="00B31699" w:rsidRPr="00836A47" w:rsidRDefault="00B31699" w:rsidP="00B31699">
      <w:pPr>
        <w:pStyle w:val="ListParagraph"/>
        <w:numPr>
          <w:ilvl w:val="0"/>
          <w:numId w:val="33"/>
        </w:numPr>
        <w:autoSpaceDE w:val="0"/>
        <w:autoSpaceDN w:val="0"/>
        <w:adjustRightInd w:val="0"/>
        <w:ind w:left="504"/>
        <w:jc w:val="both"/>
        <w:rPr>
          <w:color w:val="404040" w:themeColor="text1" w:themeTint="BF"/>
          <w:szCs w:val="22"/>
        </w:rPr>
      </w:pPr>
      <w:r w:rsidRPr="00AD3232">
        <w:rPr>
          <w:color w:val="404040" w:themeColor="text1" w:themeTint="BF"/>
          <w:szCs w:val="22"/>
        </w:rPr>
        <w:t xml:space="preserve">Governance: </w:t>
      </w:r>
      <w:r w:rsidR="00836A47">
        <w:rPr>
          <w:color w:val="404040" w:themeColor="text1" w:themeTint="BF"/>
          <w:szCs w:val="22"/>
        </w:rPr>
        <w:t>Th</w:t>
      </w:r>
      <w:r w:rsidRPr="00AD3232">
        <w:rPr>
          <w:color w:val="404040" w:themeColor="text1" w:themeTint="BF"/>
          <w:szCs w:val="22"/>
        </w:rPr>
        <w:t>e firm’s standard practice since inception has been</w:t>
      </w:r>
      <w:r w:rsidRPr="00406CAC">
        <w:rPr>
          <w:color w:val="404040" w:themeColor="text1" w:themeTint="BF"/>
          <w:szCs w:val="22"/>
        </w:rPr>
        <w:t xml:space="preserve"> to provide good </w:t>
      </w:r>
      <w:r w:rsidRPr="00406CAC">
        <w:rPr>
          <w:rFonts w:ascii="Calibri" w:hAnsi="Calibri" w:cs="Calibri"/>
          <w:color w:val="404040" w:themeColor="text1" w:themeTint="BF"/>
          <w:szCs w:val="22"/>
        </w:rPr>
        <w:t xml:space="preserve">communication and </w:t>
      </w:r>
      <w:r w:rsidRPr="00836A47">
        <w:rPr>
          <w:rFonts w:ascii="Calibri" w:hAnsi="Calibri" w:cs="Calibri"/>
          <w:color w:val="404040" w:themeColor="text1" w:themeTint="BF"/>
          <w:szCs w:val="22"/>
        </w:rPr>
        <w:t xml:space="preserve">transparency, evidenced at a minimum through its thorough quarterly investor reporting, LPAC meetings, and annual LP meetings. </w:t>
      </w:r>
      <w:r w:rsidRPr="00836A47">
        <w:rPr>
          <w:color w:val="404040" w:themeColor="text1" w:themeTint="BF"/>
          <w:szCs w:val="22"/>
        </w:rPr>
        <w:t xml:space="preserve">  </w:t>
      </w:r>
    </w:p>
    <w:p w14:paraId="19FB8853" w14:textId="77777777" w:rsidR="00B31699" w:rsidRPr="00836A47" w:rsidRDefault="00B31699" w:rsidP="004022F5">
      <w:pPr>
        <w:autoSpaceDE w:val="0"/>
        <w:autoSpaceDN w:val="0"/>
        <w:adjustRightInd w:val="0"/>
        <w:jc w:val="both"/>
        <w:rPr>
          <w:rFonts w:ascii="Calibri" w:eastAsia="Calibri" w:hAnsi="Calibri" w:cs="Calibri"/>
          <w:color w:val="404040" w:themeColor="text1" w:themeTint="BF"/>
          <w:szCs w:val="22"/>
        </w:rPr>
      </w:pPr>
      <w:r w:rsidRPr="00836A47">
        <w:rPr>
          <w:rFonts w:ascii="Calibri" w:eastAsia="Calibri" w:hAnsi="Calibri" w:cs="Calibri"/>
          <w:i/>
          <w:iCs/>
          <w:color w:val="404040" w:themeColor="text1" w:themeTint="BF"/>
          <w:szCs w:val="22"/>
        </w:rPr>
        <w:t xml:space="preserve">Stewardship and Outcomes: </w:t>
      </w:r>
    </w:p>
    <w:p w14:paraId="2D567D36" w14:textId="1DC08E76" w:rsidR="00B31699" w:rsidRPr="00836A47" w:rsidRDefault="00B31699" w:rsidP="00C046F3">
      <w:pPr>
        <w:pStyle w:val="ListParagraph"/>
        <w:numPr>
          <w:ilvl w:val="0"/>
          <w:numId w:val="34"/>
        </w:numPr>
        <w:autoSpaceDE w:val="0"/>
        <w:autoSpaceDN w:val="0"/>
        <w:adjustRightInd w:val="0"/>
        <w:ind w:left="504"/>
        <w:jc w:val="both"/>
        <w:rPr>
          <w:rFonts w:asciiTheme="majorHAnsi" w:hAnsiTheme="majorHAnsi" w:cstheme="majorHAnsi"/>
          <w:color w:val="404040" w:themeColor="text1" w:themeTint="BF"/>
          <w:szCs w:val="22"/>
        </w:rPr>
      </w:pPr>
      <w:r w:rsidRPr="00836A47">
        <w:rPr>
          <w:rFonts w:ascii="Calibri" w:hAnsi="Calibri" w:cs="Calibri"/>
          <w:color w:val="404040" w:themeColor="text1" w:themeTint="BF"/>
          <w:szCs w:val="22"/>
        </w:rPr>
        <w:t xml:space="preserve">In </w:t>
      </w:r>
      <w:r w:rsidR="00AD3232" w:rsidRPr="00836A47">
        <w:rPr>
          <w:rFonts w:ascii="Calibri" w:hAnsi="Calibri" w:cs="Calibri"/>
          <w:color w:val="404040" w:themeColor="text1" w:themeTint="BF"/>
          <w:szCs w:val="22"/>
        </w:rPr>
        <w:t xml:space="preserve">the past 12-24 months, Bridge increased their 401k match, increased PTO and tuition reimbursement allocations and benefits across the firm. </w:t>
      </w:r>
    </w:p>
    <w:p w14:paraId="24A6429B" w14:textId="69ED9CF7" w:rsidR="00AD3232" w:rsidRPr="00836A47" w:rsidRDefault="00836A47" w:rsidP="00AD3232">
      <w:pPr>
        <w:pStyle w:val="ListParagraph"/>
        <w:numPr>
          <w:ilvl w:val="0"/>
          <w:numId w:val="34"/>
        </w:numPr>
        <w:autoSpaceDE w:val="0"/>
        <w:autoSpaceDN w:val="0"/>
        <w:adjustRightInd w:val="0"/>
        <w:ind w:left="504"/>
        <w:jc w:val="both"/>
        <w:rPr>
          <w:rFonts w:asciiTheme="majorHAnsi" w:hAnsiTheme="majorHAnsi" w:cstheme="majorHAnsi"/>
          <w:color w:val="404040" w:themeColor="text1" w:themeTint="BF"/>
          <w:szCs w:val="22"/>
        </w:rPr>
      </w:pPr>
      <w:r w:rsidRPr="00836A47">
        <w:rPr>
          <w:rFonts w:asciiTheme="majorHAnsi" w:hAnsiTheme="majorHAnsi" w:cstheme="majorHAnsi"/>
          <w:color w:val="404040" w:themeColor="text1" w:themeTint="BF"/>
          <w:szCs w:val="22"/>
        </w:rPr>
        <w:t>All Bridge</w:t>
      </w:r>
      <w:r>
        <w:rPr>
          <w:rFonts w:asciiTheme="majorHAnsi" w:hAnsiTheme="majorHAnsi" w:cstheme="majorHAnsi"/>
          <w:color w:val="404040" w:themeColor="text1" w:themeTint="BF"/>
          <w:szCs w:val="22"/>
        </w:rPr>
        <w:t xml:space="preserve"> employees receive health and safety training and abide by several Workplace policies surrounding Workplace bullying and violence.</w:t>
      </w:r>
    </w:p>
    <w:p w14:paraId="01666B03" w14:textId="77777777" w:rsidR="00AD3232" w:rsidRPr="00AD3232" w:rsidRDefault="00AD3232" w:rsidP="00AD3232">
      <w:pPr>
        <w:autoSpaceDE w:val="0"/>
        <w:autoSpaceDN w:val="0"/>
        <w:adjustRightInd w:val="0"/>
        <w:jc w:val="both"/>
        <w:rPr>
          <w:rFonts w:asciiTheme="majorHAnsi" w:hAnsiTheme="majorHAnsi" w:cstheme="majorHAnsi"/>
          <w:color w:val="404040" w:themeColor="text1" w:themeTint="BF"/>
          <w:szCs w:val="22"/>
        </w:rPr>
      </w:pPr>
    </w:p>
    <w:p w14:paraId="736E04A1" w14:textId="77777777" w:rsidR="001E49E4" w:rsidRPr="00D60F2F" w:rsidRDefault="001E49E4" w:rsidP="001E49E4">
      <w:pPr>
        <w:pStyle w:val="Heading1"/>
        <w:rPr>
          <w:sz w:val="28"/>
          <w:szCs w:val="28"/>
        </w:rPr>
      </w:pPr>
      <w:bookmarkStart w:id="32" w:name="_Toc527536017"/>
      <w:bookmarkStart w:id="33" w:name="_Toc8739802"/>
      <w:bookmarkStart w:id="34" w:name="_Toc179797293"/>
      <w:bookmarkEnd w:id="31"/>
      <w:r w:rsidRPr="00D60F2F">
        <w:rPr>
          <w:sz w:val="28"/>
          <w:szCs w:val="28"/>
        </w:rPr>
        <w:t>Operational Due Diligence</w:t>
      </w:r>
      <w:bookmarkEnd w:id="32"/>
      <w:bookmarkEnd w:id="33"/>
      <w:bookmarkEnd w:id="34"/>
    </w:p>
    <w:bookmarkStart w:id="35" w:name="_Toc179797294"/>
    <w:p w14:paraId="5EB48C26" w14:textId="77777777" w:rsidR="000D7772" w:rsidRPr="00D60F2F" w:rsidRDefault="000D7772" w:rsidP="000D7772">
      <w:pPr>
        <w:pStyle w:val="Heading2"/>
        <w:rPr>
          <w:color w:val="8CA4A4" w:themeColor="accent5"/>
          <w:sz w:val="22"/>
          <w:szCs w:val="22"/>
        </w:rPr>
      </w:pPr>
      <w:r w:rsidRPr="00CD4BAE">
        <w:rPr>
          <w:noProof/>
          <w:szCs w:val="22"/>
          <w:highlight w:val="green"/>
        </w:rPr>
        <mc:AlternateContent>
          <mc:Choice Requires="wps">
            <w:drawing>
              <wp:anchor distT="0" distB="0" distL="114300" distR="114300" simplePos="0" relativeHeight="251653120" behindDoc="0" locked="0" layoutInCell="1" allowOverlap="1" wp14:anchorId="4AA90742" wp14:editId="51885421">
                <wp:simplePos x="0" y="0"/>
                <wp:positionH relativeFrom="margin">
                  <wp:posOffset>-12700</wp:posOffset>
                </wp:positionH>
                <wp:positionV relativeFrom="paragraph">
                  <wp:posOffset>163407</wp:posOffset>
                </wp:positionV>
                <wp:extent cx="6492240" cy="0"/>
                <wp:effectExtent l="0" t="0" r="0" b="0"/>
                <wp:wrapNone/>
                <wp:docPr id="67"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2240" cy="0"/>
                        </a:xfrm>
                        <a:prstGeom prst="straightConnector1">
                          <a:avLst/>
                        </a:prstGeom>
                        <a:noFill/>
                        <a:ln w="9525">
                          <a:solidFill>
                            <a:schemeClr val="tx1">
                              <a:lumMod val="75000"/>
                              <a:lumOff val="2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41D80A" id="AutoShape 5" o:spid="_x0000_s1026" type="#_x0000_t32" style="position:absolute;margin-left:-1pt;margin-top:12.85pt;width:511.2pt;height:0;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0M10AEAAJADAAAOAAAAZHJzL2Uyb0RvYy54bWysU01v2zAMvQ/YfxB0X+wYTbcacXpI1126&#10;LUC7H8DIsi1MFgVJiZ1/P0qOva9b0Ysgkebj4+Pz9n7sNTtL5xWaiq9XOWfSCKyVaSv+4+XxwyfO&#10;fABTg0YjK36Rnt/v3r/bDraUBXaoa+kYgRhfDrbiXQi2zDIvOtmDX6GVhpINuh4CPV2b1Q4GQu91&#10;VuT5bTagq61DIb2n6MOU5LuE3zRShO9N42VguuLELaTTpfMYz2y3hbJ1YDslrjTgFSx6UIaaLlAP&#10;EICdnPoPqlfCoccmrAT2GTaNEjLNQNOs83+mee7AyjQLiePtIpN/O1jx7bw3Bxepi9E82ycUPz0z&#10;uO/AtDIReLlYWtw6SpUN1pdLSXx4e3DsOHzFmr6BU8Ckwti4PkLSfGxMYl8WseUYmKDg7c1dUdzQ&#10;TsScy6CcC63z4YvEnsVLxX1woNou7NEYWim6dWoD5ycfIi0o54LY1eCj0jptVhs2VPxuU2xSgUet&#10;6piMnyWPyb127AzkjjBOoPrU0zRT7OMmz68eoTA5aQoXc5gaLyiJxl8NHJ5MnWh0EurP13sApac7&#10;VWtzFTXqGE3ryyPWl4Obxaa1J+CrRaOv/nyn6t8/0u4XAAAA//8DAFBLAwQUAAYACAAAACEAvPB3&#10;SN4AAAAJAQAADwAAAGRycy9kb3ducmV2LnhtbEyPwU7DMBBE70j9B2uRuKDWbkRpG+JUCAnRE1Jb&#10;RK9OvCQR9jqy3TT8Pa56gOPsrGbeFJvRGjagD50jCfOZAIZUO91RI+Hj8DpdAQtRkVbGEUr4wQCb&#10;cnJTqFy7M+1w2MeGpRAKuZLQxtjnnIe6RavCzPVIyfty3qqYpG+49uqcwq3hmRCP3KqOUkOrenxp&#10;sf7en6yE+5UfzbZaHj4rH4UdFsf3tzVJeXc7Pj8BizjGv2e44Cd0KBNT5U6kAzMSplmaEiVkiyWw&#10;iy8y8QCsul54WfD/C8pfAAAA//8DAFBLAQItABQABgAIAAAAIQC2gziS/gAAAOEBAAATAAAAAAAA&#10;AAAAAAAAAAAAAABbQ29udGVudF9UeXBlc10ueG1sUEsBAi0AFAAGAAgAAAAhADj9If/WAAAAlAEA&#10;AAsAAAAAAAAAAAAAAAAALwEAAF9yZWxzLy5yZWxzUEsBAi0AFAAGAAgAAAAhAGP3QzXQAQAAkAMA&#10;AA4AAAAAAAAAAAAAAAAALgIAAGRycy9lMm9Eb2MueG1sUEsBAi0AFAAGAAgAAAAhALzwd0jeAAAA&#10;CQEAAA8AAAAAAAAAAAAAAAAAKgQAAGRycy9kb3ducmV2LnhtbFBLBQYAAAAABAAEAPMAAAA1BQAA&#10;AAA=&#10;" strokecolor="#404040 [2429]">
                <w10:wrap anchorx="margin"/>
              </v:shape>
            </w:pict>
          </mc:Fallback>
        </mc:AlternateContent>
      </w:r>
      <w:r w:rsidRPr="00CD4BAE">
        <w:rPr>
          <w:color w:val="8CA4A4" w:themeColor="accent5"/>
          <w:sz w:val="22"/>
          <w:szCs w:val="22"/>
          <w:highlight w:val="green"/>
        </w:rPr>
        <w:t>Summary</w:t>
      </w:r>
      <w:bookmarkEnd w:id="35"/>
    </w:p>
    <w:p w14:paraId="0477D194" w14:textId="300C1953" w:rsidR="007A20DD" w:rsidRDefault="007A20DD" w:rsidP="003528D4">
      <w:pPr>
        <w:pStyle w:val="Default"/>
        <w:jc w:val="both"/>
        <w:rPr>
          <w:rFonts w:asciiTheme="minorHAnsi" w:eastAsiaTheme="minorHAnsi" w:hAnsiTheme="minorHAnsi" w:cstheme="minorHAnsi"/>
          <w:color w:val="404040"/>
          <w:sz w:val="22"/>
          <w:szCs w:val="22"/>
        </w:rPr>
      </w:pPr>
      <w:r w:rsidRPr="007A20DD">
        <w:rPr>
          <w:rFonts w:asciiTheme="minorHAnsi" w:hAnsiTheme="minorHAnsi" w:cstheme="minorHAnsi"/>
          <w:color w:val="404040" w:themeColor="text1" w:themeTint="BF"/>
          <w:kern w:val="28"/>
          <w:sz w:val="22"/>
          <w:szCs w:val="22"/>
        </w:rPr>
        <w:t xml:space="preserve">Independent of investment due diligence, </w:t>
      </w:r>
      <w:r w:rsidR="00785741">
        <w:rPr>
          <w:rFonts w:asciiTheme="minorHAnsi" w:eastAsiaTheme="minorHAnsi" w:hAnsiTheme="minorHAnsi" w:cstheme="minorHAnsi"/>
          <w:color w:val="404040"/>
          <w:sz w:val="22"/>
          <w:szCs w:val="22"/>
        </w:rPr>
        <w:t>I</w:t>
      </w:r>
      <w:r w:rsidRPr="007A20DD">
        <w:rPr>
          <w:rFonts w:asciiTheme="minorHAnsi" w:eastAsiaTheme="minorHAnsi" w:hAnsiTheme="minorHAnsi" w:cstheme="minorHAnsi"/>
          <w:color w:val="404040"/>
          <w:sz w:val="22"/>
          <w:szCs w:val="22"/>
        </w:rPr>
        <w:t xml:space="preserve">ndependent of investment due diligence, the Aon Operational Risk Solutions and Analytics (“Aon ORSA”) group </w:t>
      </w:r>
      <w:r w:rsidR="00DE683C">
        <w:rPr>
          <w:rFonts w:asciiTheme="minorHAnsi" w:eastAsiaTheme="minorHAnsi" w:hAnsiTheme="minorHAnsi" w:cstheme="minorHAnsi"/>
          <w:color w:val="404040"/>
          <w:sz w:val="22"/>
          <w:szCs w:val="22"/>
        </w:rPr>
        <w:t>reviewed</w:t>
      </w:r>
      <w:r w:rsidRPr="007A20DD">
        <w:rPr>
          <w:rFonts w:asciiTheme="minorHAnsi" w:eastAsiaTheme="minorHAnsi" w:hAnsiTheme="minorHAnsi" w:cstheme="minorHAnsi"/>
          <w:color w:val="404040"/>
          <w:sz w:val="22"/>
          <w:szCs w:val="22"/>
        </w:rPr>
        <w:t xml:space="preserve"> the Sponsor’s policies, procedures, and capabilities across a range of operations, middle and back office, and control functions looking for established controls and operating procedures that align with best practice. Areas covered during AON ORSA’s reviews include: (i) corporate governance, (ii) transaction execution, (iii) cash controls, (iv) valuations, (v) compliance, regulatory, and legal controls, (vi) counterparty risk oversight, (vii) business continuity/disaster recovery, (viii) cyber security, and (ix) </w:t>
      </w:r>
      <w:r w:rsidRPr="007A20DD">
        <w:rPr>
          <w:rFonts w:asciiTheme="minorHAnsi" w:eastAsiaTheme="minorHAnsi" w:hAnsiTheme="minorHAnsi" w:cstheme="minorHAnsi"/>
          <w:color w:val="404040"/>
          <w:sz w:val="22"/>
          <w:szCs w:val="22"/>
        </w:rPr>
        <w:lastRenderedPageBreak/>
        <w:t xml:space="preserve">service provider selection and monitoring. </w:t>
      </w:r>
      <w:r w:rsidR="0070685F">
        <w:rPr>
          <w:rFonts w:asciiTheme="minorHAnsi" w:eastAsiaTheme="minorHAnsi" w:hAnsiTheme="minorHAnsi" w:cstheme="minorHAnsi"/>
          <w:color w:val="404040"/>
          <w:sz w:val="22"/>
          <w:szCs w:val="22"/>
        </w:rPr>
        <w:t xml:space="preserve">The review was conducted in conjunction with Townsend’s 2021 investment in </w:t>
      </w:r>
      <w:r w:rsidR="001C593C">
        <w:rPr>
          <w:rFonts w:asciiTheme="minorHAnsi" w:eastAsiaTheme="minorHAnsi" w:hAnsiTheme="minorHAnsi" w:cstheme="minorHAnsi"/>
          <w:color w:val="404040"/>
          <w:sz w:val="22"/>
          <w:szCs w:val="22"/>
        </w:rPr>
        <w:t xml:space="preserve">Bridge Logistics Value Fund I. </w:t>
      </w:r>
      <w:r w:rsidR="0070685F">
        <w:rPr>
          <w:rFonts w:asciiTheme="minorHAnsi" w:eastAsiaTheme="minorHAnsi" w:hAnsiTheme="minorHAnsi" w:cstheme="minorHAnsi"/>
          <w:color w:val="404040"/>
          <w:sz w:val="22"/>
          <w:szCs w:val="22"/>
        </w:rPr>
        <w:t xml:space="preserve"> </w:t>
      </w:r>
    </w:p>
    <w:p w14:paraId="071D53C5" w14:textId="77777777" w:rsidR="003E3D09" w:rsidRDefault="003E3D09" w:rsidP="003E3D09">
      <w:pPr>
        <w:autoSpaceDE w:val="0"/>
        <w:autoSpaceDN w:val="0"/>
        <w:adjustRightInd w:val="0"/>
        <w:jc w:val="both"/>
        <w:rPr>
          <w:rFonts w:asciiTheme="majorHAnsi" w:hAnsiTheme="majorHAnsi" w:cstheme="majorHAnsi"/>
          <w:color w:val="404040" w:themeColor="text1" w:themeTint="BF"/>
          <w:kern w:val="28"/>
          <w:szCs w:val="22"/>
        </w:rPr>
      </w:pPr>
    </w:p>
    <w:p w14:paraId="31AD20C4" w14:textId="15BCAF4C" w:rsidR="003E3D09" w:rsidRPr="003E3D09" w:rsidRDefault="003E3D09" w:rsidP="003E3D09">
      <w:pPr>
        <w:autoSpaceDE w:val="0"/>
        <w:autoSpaceDN w:val="0"/>
        <w:adjustRightInd w:val="0"/>
        <w:jc w:val="both"/>
        <w:rPr>
          <w:rFonts w:asciiTheme="majorHAnsi" w:hAnsiTheme="majorHAnsi" w:cstheme="majorHAnsi"/>
          <w:color w:val="404040" w:themeColor="text1" w:themeTint="BF"/>
          <w:kern w:val="28"/>
          <w:szCs w:val="22"/>
        </w:rPr>
      </w:pPr>
      <w:r w:rsidRPr="003E3D09">
        <w:rPr>
          <w:rFonts w:asciiTheme="majorHAnsi" w:hAnsiTheme="majorHAnsi" w:cstheme="majorHAnsi"/>
          <w:color w:val="404040" w:themeColor="text1" w:themeTint="BF"/>
          <w:kern w:val="28"/>
          <w:szCs w:val="22"/>
        </w:rPr>
        <w:t>Bridge Investment Group Holdings LLC is a large, publicly traded real estate-focused investment manager.  Bridge has generally implemented institutional levels of controls across its operating framework, including a firm-level Board of Directors with independent representation, an Executive Committee which includes representation of support and control functions, generally well-documented policies and procedures, and a formal audit of the firm’s internal controls by an independent third party. Aon noted deviations from best practice among all investment managers, including limited background checks on new employees and a lack of an Operational Risk Register and Incident Report Log.  Additionally, Aon highlighted its lack of a formalized Key Service Provider Selection and Monitoring Policy; however, Bridge has implemented mitigating controls which mostly address the lack of a formalized policy.</w:t>
      </w:r>
    </w:p>
    <w:p w14:paraId="59CEDAFD" w14:textId="77777777" w:rsidR="003E3D09" w:rsidRPr="003E3D09" w:rsidRDefault="003E3D09" w:rsidP="003E3D09">
      <w:pPr>
        <w:autoSpaceDE w:val="0"/>
        <w:autoSpaceDN w:val="0"/>
        <w:adjustRightInd w:val="0"/>
        <w:jc w:val="both"/>
        <w:rPr>
          <w:rFonts w:asciiTheme="majorHAnsi" w:hAnsiTheme="majorHAnsi" w:cstheme="majorHAnsi"/>
          <w:color w:val="404040" w:themeColor="text1" w:themeTint="BF"/>
          <w:kern w:val="28"/>
          <w:szCs w:val="22"/>
        </w:rPr>
      </w:pPr>
      <w:r w:rsidRPr="003E3D09">
        <w:rPr>
          <w:rFonts w:asciiTheme="majorHAnsi" w:hAnsiTheme="majorHAnsi" w:cstheme="majorHAnsi"/>
          <w:color w:val="404040" w:themeColor="text1" w:themeTint="BF"/>
          <w:kern w:val="28"/>
          <w:szCs w:val="22"/>
        </w:rPr>
        <w:t xml:space="preserve"> </w:t>
      </w:r>
    </w:p>
    <w:p w14:paraId="515B3F51" w14:textId="6419C45F" w:rsidR="00D64A07" w:rsidRPr="001F4E7C" w:rsidRDefault="003E3D09" w:rsidP="003E3D09">
      <w:pPr>
        <w:autoSpaceDE w:val="0"/>
        <w:autoSpaceDN w:val="0"/>
        <w:adjustRightInd w:val="0"/>
        <w:jc w:val="both"/>
        <w:rPr>
          <w:rFonts w:asciiTheme="majorHAnsi" w:hAnsiTheme="majorHAnsi" w:cstheme="majorHAnsi"/>
          <w:color w:val="404040" w:themeColor="text1" w:themeTint="BF"/>
          <w:kern w:val="28"/>
          <w:sz w:val="20"/>
          <w:szCs w:val="20"/>
        </w:rPr>
      </w:pPr>
      <w:r w:rsidRPr="00180296">
        <w:rPr>
          <w:rFonts w:asciiTheme="majorHAnsi" w:hAnsiTheme="majorHAnsi" w:cstheme="majorHAnsi"/>
          <w:color w:val="404040" w:themeColor="text1" w:themeTint="BF"/>
          <w:kern w:val="28"/>
          <w:szCs w:val="22"/>
        </w:rPr>
        <w:t xml:space="preserve">Bridge has implemented constructs (though common for private market managers) </w:t>
      </w:r>
      <w:r w:rsidR="00180296">
        <w:rPr>
          <w:rFonts w:asciiTheme="majorHAnsi" w:hAnsiTheme="majorHAnsi" w:cstheme="majorHAnsi"/>
          <w:color w:val="404040" w:themeColor="text1" w:themeTint="BF"/>
          <w:kern w:val="28"/>
          <w:szCs w:val="22"/>
        </w:rPr>
        <w:t xml:space="preserve">that </w:t>
      </w:r>
      <w:r w:rsidRPr="00180296">
        <w:rPr>
          <w:rFonts w:asciiTheme="majorHAnsi" w:hAnsiTheme="majorHAnsi" w:cstheme="majorHAnsi"/>
          <w:color w:val="404040" w:themeColor="text1" w:themeTint="BF"/>
          <w:kern w:val="28"/>
          <w:szCs w:val="22"/>
        </w:rPr>
        <w:t xml:space="preserve">Aon generally highlights as risks compared to the broader universe of investment managers, including internal </w:t>
      </w:r>
      <w:r w:rsidR="00D900FF" w:rsidRPr="00180296">
        <w:rPr>
          <w:rFonts w:asciiTheme="majorHAnsi" w:hAnsiTheme="majorHAnsi" w:cstheme="majorHAnsi"/>
          <w:color w:val="404040" w:themeColor="text1" w:themeTint="BF"/>
          <w:kern w:val="28"/>
          <w:szCs w:val="22"/>
        </w:rPr>
        <w:t xml:space="preserve">fund </w:t>
      </w:r>
      <w:r w:rsidRPr="00180296">
        <w:rPr>
          <w:rFonts w:asciiTheme="majorHAnsi" w:hAnsiTheme="majorHAnsi" w:cstheme="majorHAnsi"/>
          <w:color w:val="404040" w:themeColor="text1" w:themeTint="BF"/>
          <w:kern w:val="28"/>
          <w:szCs w:val="22"/>
        </w:rPr>
        <w:t>administration</w:t>
      </w:r>
      <w:r w:rsidR="0036554A" w:rsidRPr="00180296">
        <w:rPr>
          <w:rFonts w:asciiTheme="majorHAnsi" w:hAnsiTheme="majorHAnsi" w:cstheme="majorHAnsi"/>
          <w:color w:val="404040" w:themeColor="text1" w:themeTint="BF"/>
          <w:kern w:val="28"/>
          <w:szCs w:val="22"/>
        </w:rPr>
        <w:t xml:space="preserve"> and</w:t>
      </w:r>
      <w:r w:rsidRPr="00180296">
        <w:rPr>
          <w:rFonts w:asciiTheme="majorHAnsi" w:hAnsiTheme="majorHAnsi" w:cstheme="majorHAnsi"/>
          <w:color w:val="404040" w:themeColor="text1" w:themeTint="BF"/>
          <w:kern w:val="28"/>
          <w:szCs w:val="22"/>
        </w:rPr>
        <w:t xml:space="preserve"> lack of </w:t>
      </w:r>
      <w:r w:rsidR="00D900FF" w:rsidRPr="00180296">
        <w:rPr>
          <w:rFonts w:asciiTheme="majorHAnsi" w:hAnsiTheme="majorHAnsi" w:cstheme="majorHAnsi"/>
          <w:color w:val="404040" w:themeColor="text1" w:themeTint="BF"/>
          <w:kern w:val="28"/>
          <w:szCs w:val="22"/>
        </w:rPr>
        <w:t xml:space="preserve">ongoing </w:t>
      </w:r>
      <w:r w:rsidRPr="00180296">
        <w:rPr>
          <w:rFonts w:asciiTheme="majorHAnsi" w:hAnsiTheme="majorHAnsi" w:cstheme="majorHAnsi"/>
          <w:color w:val="404040" w:themeColor="text1" w:themeTint="BF"/>
          <w:kern w:val="28"/>
          <w:szCs w:val="22"/>
        </w:rPr>
        <w:t>third-party valuations for fund assets</w:t>
      </w:r>
      <w:r w:rsidR="0036554A" w:rsidRPr="00180296">
        <w:rPr>
          <w:rFonts w:asciiTheme="majorHAnsi" w:hAnsiTheme="majorHAnsi" w:cstheme="majorHAnsi"/>
          <w:color w:val="404040" w:themeColor="text1" w:themeTint="BF"/>
          <w:kern w:val="28"/>
          <w:szCs w:val="22"/>
        </w:rPr>
        <w:t xml:space="preserve">. </w:t>
      </w:r>
      <w:r w:rsidRPr="00180296">
        <w:rPr>
          <w:rFonts w:asciiTheme="majorHAnsi" w:hAnsiTheme="majorHAnsi" w:cstheme="majorHAnsi"/>
          <w:color w:val="404040" w:themeColor="text1" w:themeTint="BF"/>
          <w:kern w:val="28"/>
          <w:szCs w:val="22"/>
        </w:rPr>
        <w:t>Bridge benefits from the increased oversight of a public company, and the policies and controls it has implemented are what Aon would generally expect of a private market manager who has recently gone public.</w:t>
      </w:r>
      <w:r w:rsidR="001371A4" w:rsidRPr="00180296">
        <w:rPr>
          <w:rFonts w:asciiTheme="majorHAnsi" w:hAnsiTheme="majorHAnsi" w:cstheme="majorHAnsi"/>
          <w:color w:val="404040" w:themeColor="text1" w:themeTint="BF"/>
          <w:kern w:val="28"/>
          <w:szCs w:val="22"/>
        </w:rPr>
        <w:t xml:space="preserve"> The review resulted in an A2 Pass </w:t>
      </w:r>
      <w:r w:rsidR="001F4E7C" w:rsidRPr="00180296">
        <w:rPr>
          <w:rFonts w:asciiTheme="majorHAnsi" w:hAnsiTheme="majorHAnsi" w:cstheme="majorHAnsi"/>
          <w:color w:val="404040" w:themeColor="text1" w:themeTint="BF"/>
          <w:kern w:val="28"/>
          <w:szCs w:val="22"/>
        </w:rPr>
        <w:t>(</w:t>
      </w:r>
      <w:r w:rsidR="001F4E7C" w:rsidRPr="00180296">
        <w:rPr>
          <w:rFonts w:asciiTheme="majorHAnsi" w:hAnsiTheme="majorHAnsi" w:cstheme="majorHAnsi" w:hint="eastAsia"/>
          <w:color w:val="404040" w:themeColor="text1" w:themeTint="BF"/>
          <w:kern w:val="28"/>
          <w:szCs w:val="22"/>
        </w:rPr>
        <w:sym w:font="Wingdings" w:char="F0FC"/>
      </w:r>
      <w:r w:rsidR="001F4E7C" w:rsidRPr="00180296">
        <w:rPr>
          <w:rFonts w:asciiTheme="majorHAnsi" w:hAnsiTheme="majorHAnsi" w:cstheme="majorHAnsi"/>
          <w:color w:val="404040" w:themeColor="text1" w:themeTint="BF"/>
          <w:kern w:val="28"/>
          <w:szCs w:val="22"/>
        </w:rPr>
        <w:t>) rating.</w:t>
      </w:r>
      <w:r w:rsidR="001F4E7C">
        <w:rPr>
          <w:rFonts w:asciiTheme="majorHAnsi" w:hAnsiTheme="majorHAnsi" w:cstheme="majorHAnsi"/>
          <w:bCs/>
          <w:szCs w:val="22"/>
        </w:rPr>
        <w:t xml:space="preserve"> </w:t>
      </w:r>
    </w:p>
    <w:p w14:paraId="42FD1F87" w14:textId="77777777" w:rsidR="00CF75D1" w:rsidRPr="00D60F2F" w:rsidRDefault="00CF75D1" w:rsidP="003E3D09">
      <w:pPr>
        <w:autoSpaceDE w:val="0"/>
        <w:autoSpaceDN w:val="0"/>
        <w:adjustRightInd w:val="0"/>
        <w:jc w:val="both"/>
        <w:rPr>
          <w:rFonts w:asciiTheme="majorHAnsi" w:hAnsiTheme="majorHAnsi" w:cstheme="majorHAnsi"/>
          <w:color w:val="404040" w:themeColor="text1" w:themeTint="BF"/>
          <w:kern w:val="28"/>
          <w:szCs w:val="22"/>
        </w:rPr>
      </w:pPr>
    </w:p>
    <w:p w14:paraId="69630ED4" w14:textId="77777777" w:rsidR="004823F3" w:rsidRPr="00756192" w:rsidRDefault="004823F3" w:rsidP="001666CF">
      <w:pPr>
        <w:pStyle w:val="Heading1"/>
        <w:rPr>
          <w:kern w:val="28"/>
          <w:sz w:val="28"/>
          <w:szCs w:val="28"/>
        </w:rPr>
      </w:pPr>
      <w:bookmarkStart w:id="36" w:name="_Toc179797295"/>
      <w:r w:rsidRPr="00EF7C7D">
        <w:rPr>
          <w:kern w:val="28"/>
          <w:sz w:val="28"/>
          <w:szCs w:val="28"/>
        </w:rPr>
        <w:t>INVESTMENT PROCESS</w:t>
      </w:r>
      <w:bookmarkEnd w:id="36"/>
    </w:p>
    <w:bookmarkStart w:id="37" w:name="_Toc179797296"/>
    <w:p w14:paraId="77FDA781" w14:textId="76324BAD" w:rsidR="005907E8" w:rsidRPr="00CD4BAE" w:rsidRDefault="000D7772" w:rsidP="00F01CFE">
      <w:pPr>
        <w:pStyle w:val="Heading2"/>
        <w:rPr>
          <w:color w:val="8CA4A4" w:themeColor="accent5"/>
          <w:sz w:val="22"/>
          <w:szCs w:val="22"/>
        </w:rPr>
      </w:pPr>
      <w:r w:rsidRPr="00CD4BAE">
        <w:rPr>
          <w:noProof/>
          <w:szCs w:val="22"/>
        </w:rPr>
        <mc:AlternateContent>
          <mc:Choice Requires="wps">
            <w:drawing>
              <wp:anchor distT="0" distB="0" distL="114300" distR="114300" simplePos="0" relativeHeight="251654144" behindDoc="0" locked="0" layoutInCell="1" allowOverlap="1" wp14:anchorId="76105811" wp14:editId="6C0F7B76">
                <wp:simplePos x="0" y="0"/>
                <wp:positionH relativeFrom="margin">
                  <wp:posOffset>-12700</wp:posOffset>
                </wp:positionH>
                <wp:positionV relativeFrom="paragraph">
                  <wp:posOffset>163407</wp:posOffset>
                </wp:positionV>
                <wp:extent cx="6492240" cy="0"/>
                <wp:effectExtent l="0" t="0" r="0" b="0"/>
                <wp:wrapNone/>
                <wp:docPr id="68"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2240" cy="0"/>
                        </a:xfrm>
                        <a:prstGeom prst="straightConnector1">
                          <a:avLst/>
                        </a:prstGeom>
                        <a:noFill/>
                        <a:ln w="9525">
                          <a:solidFill>
                            <a:schemeClr val="tx1">
                              <a:lumMod val="75000"/>
                              <a:lumOff val="2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B6E4B9" id="AutoShape 5" o:spid="_x0000_s1026" type="#_x0000_t32" style="position:absolute;margin-left:-1pt;margin-top:12.85pt;width:511.2pt;height:0;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0M10AEAAJADAAAOAAAAZHJzL2Uyb0RvYy54bWysU01v2zAMvQ/YfxB0X+wYTbcacXpI1126&#10;LUC7H8DIsi1MFgVJiZ1/P0qOva9b0Ysgkebj4+Pz9n7sNTtL5xWaiq9XOWfSCKyVaSv+4+XxwyfO&#10;fABTg0YjK36Rnt/v3r/bDraUBXaoa+kYgRhfDrbiXQi2zDIvOtmDX6GVhpINuh4CPV2b1Q4GQu91&#10;VuT5bTagq61DIb2n6MOU5LuE3zRShO9N42VguuLELaTTpfMYz2y3hbJ1YDslrjTgFSx6UIaaLlAP&#10;EICdnPoPqlfCoccmrAT2GTaNEjLNQNOs83+mee7AyjQLiePtIpN/O1jx7bw3Bxepi9E82ycUPz0z&#10;uO/AtDIReLlYWtw6SpUN1pdLSXx4e3DsOHzFmr6BU8Ckwti4PkLSfGxMYl8WseUYmKDg7c1dUdzQ&#10;TsScy6CcC63z4YvEnsVLxX1woNou7NEYWim6dWoD5ycfIi0o54LY1eCj0jptVhs2VPxuU2xSgUet&#10;6piMnyWPyb127AzkjjBOoPrU0zRT7OMmz68eoTA5aQoXc5gaLyiJxl8NHJ5MnWh0EurP13sApac7&#10;VWtzFTXqGE3ryyPWl4Obxaa1J+CrRaOv/nyn6t8/0u4XAAAA//8DAFBLAwQUAAYACAAAACEAvPB3&#10;SN4AAAAJAQAADwAAAGRycy9kb3ducmV2LnhtbEyPwU7DMBBE70j9B2uRuKDWbkRpG+JUCAnRE1Jb&#10;RK9OvCQR9jqy3TT8Pa56gOPsrGbeFJvRGjagD50jCfOZAIZUO91RI+Hj8DpdAQtRkVbGEUr4wQCb&#10;cnJTqFy7M+1w2MeGpRAKuZLQxtjnnIe6RavCzPVIyfty3qqYpG+49uqcwq3hmRCP3KqOUkOrenxp&#10;sf7en6yE+5UfzbZaHj4rH4UdFsf3tzVJeXc7Pj8BizjGv2e44Cd0KBNT5U6kAzMSplmaEiVkiyWw&#10;iy8y8QCsul54WfD/C8pfAAAA//8DAFBLAQItABQABgAIAAAAIQC2gziS/gAAAOEBAAATAAAAAAAA&#10;AAAAAAAAAAAAAABbQ29udGVudF9UeXBlc10ueG1sUEsBAi0AFAAGAAgAAAAhADj9If/WAAAAlAEA&#10;AAsAAAAAAAAAAAAAAAAALwEAAF9yZWxzLy5yZWxzUEsBAi0AFAAGAAgAAAAhAGP3QzXQAQAAkAMA&#10;AA4AAAAAAAAAAAAAAAAALgIAAGRycy9lMm9Eb2MueG1sUEsBAi0AFAAGAAgAAAAhALzwd0jeAAAA&#10;CQEAAA8AAAAAAAAAAAAAAAAAKgQAAGRycy9kb3ducmV2LnhtbFBLBQYAAAAABAAEAPMAAAA1BQAA&#10;AAA=&#10;" strokecolor="#404040 [2429]">
                <w10:wrap anchorx="margin"/>
              </v:shape>
            </w:pict>
          </mc:Fallback>
        </mc:AlternateContent>
      </w:r>
      <w:r w:rsidR="006476B3" w:rsidRPr="00CD4BAE">
        <w:rPr>
          <w:color w:val="8CA4A4" w:themeColor="accent5"/>
          <w:sz w:val="22"/>
          <w:szCs w:val="22"/>
        </w:rPr>
        <w:t>Summary</w:t>
      </w:r>
      <w:bookmarkEnd w:id="37"/>
    </w:p>
    <w:p w14:paraId="667EE276" w14:textId="76D33024" w:rsidR="00756192" w:rsidRPr="00756192" w:rsidRDefault="00551555" w:rsidP="00756192">
      <w:pPr>
        <w:jc w:val="both"/>
        <w:rPr>
          <w:color w:val="404040" w:themeColor="text1" w:themeTint="BF"/>
          <w:szCs w:val="22"/>
          <w:highlight w:val="yellow"/>
        </w:rPr>
      </w:pPr>
      <w:r w:rsidRPr="00CD4BAE">
        <w:rPr>
          <w:color w:val="404040" w:themeColor="text1" w:themeTint="BF"/>
          <w:szCs w:val="22"/>
        </w:rPr>
        <w:t xml:space="preserve">Bridge Logistics operates largely independently from the Parent </w:t>
      </w:r>
      <w:r w:rsidR="00635394" w:rsidRPr="00CD4BAE">
        <w:rPr>
          <w:color w:val="404040" w:themeColor="text1" w:themeTint="BF"/>
          <w:szCs w:val="22"/>
        </w:rPr>
        <w:t xml:space="preserve">Company, with oversight from </w:t>
      </w:r>
      <w:r w:rsidR="00B52A89" w:rsidRPr="00CD4BAE">
        <w:rPr>
          <w:color w:val="404040" w:themeColor="text1" w:themeTint="BF"/>
          <w:szCs w:val="22"/>
        </w:rPr>
        <w:t>BIG leadership</w:t>
      </w:r>
      <w:r w:rsidR="00666F50" w:rsidRPr="00CD4BAE">
        <w:rPr>
          <w:color w:val="404040" w:themeColor="text1" w:themeTint="BF"/>
          <w:szCs w:val="22"/>
        </w:rPr>
        <w:t xml:space="preserve"> through IC</w:t>
      </w:r>
      <w:r w:rsidR="00666F50">
        <w:rPr>
          <w:color w:val="404040" w:themeColor="text1" w:themeTint="BF"/>
          <w:szCs w:val="22"/>
        </w:rPr>
        <w:t xml:space="preserve"> participation and some degree of </w:t>
      </w:r>
      <w:r w:rsidR="00357ACD">
        <w:rPr>
          <w:color w:val="404040" w:themeColor="text1" w:themeTint="BF"/>
          <w:szCs w:val="22"/>
        </w:rPr>
        <w:t>back-office</w:t>
      </w:r>
      <w:r w:rsidR="00666F50">
        <w:rPr>
          <w:color w:val="404040" w:themeColor="text1" w:themeTint="BF"/>
          <w:szCs w:val="22"/>
        </w:rPr>
        <w:t xml:space="preserve"> support. </w:t>
      </w:r>
      <w:r w:rsidR="00DD574A">
        <w:rPr>
          <w:color w:val="404040" w:themeColor="text1" w:themeTint="BF"/>
          <w:szCs w:val="22"/>
        </w:rPr>
        <w:t xml:space="preserve">The BLP investment process is organized </w:t>
      </w:r>
      <w:r w:rsidR="002B13E4">
        <w:rPr>
          <w:color w:val="404040" w:themeColor="text1" w:themeTint="BF"/>
          <w:szCs w:val="22"/>
        </w:rPr>
        <w:t xml:space="preserve">with a regional coverage model to best establish </w:t>
      </w:r>
      <w:r w:rsidR="007116E4">
        <w:rPr>
          <w:color w:val="404040" w:themeColor="text1" w:themeTint="BF"/>
          <w:szCs w:val="22"/>
        </w:rPr>
        <w:t xml:space="preserve">and maintain </w:t>
      </w:r>
      <w:r w:rsidR="002B13E4">
        <w:rPr>
          <w:color w:val="404040" w:themeColor="text1" w:themeTint="BF"/>
          <w:szCs w:val="22"/>
        </w:rPr>
        <w:t>a local presence in each of its target markets</w:t>
      </w:r>
      <w:r w:rsidR="00314538">
        <w:rPr>
          <w:color w:val="404040" w:themeColor="text1" w:themeTint="BF"/>
          <w:szCs w:val="22"/>
        </w:rPr>
        <w:t xml:space="preserve">. </w:t>
      </w:r>
    </w:p>
    <w:p w14:paraId="47BB0719" w14:textId="027A5B4F" w:rsidR="004B4839" w:rsidRPr="002F3F52" w:rsidRDefault="00635CAB" w:rsidP="00A91DCC">
      <w:pPr>
        <w:pStyle w:val="ListParagraph"/>
        <w:numPr>
          <w:ilvl w:val="0"/>
          <w:numId w:val="13"/>
        </w:numPr>
        <w:jc w:val="both"/>
        <w:rPr>
          <w:color w:val="404040" w:themeColor="text1" w:themeTint="BF"/>
          <w:kern w:val="28"/>
          <w:szCs w:val="22"/>
        </w:rPr>
      </w:pPr>
      <w:r w:rsidRPr="00CD4BAE">
        <w:rPr>
          <w:color w:val="404040" w:themeColor="text1" w:themeTint="BF"/>
          <w:szCs w:val="22"/>
          <w:highlight w:val="green"/>
        </w:rPr>
        <w:t>Sourcing:</w:t>
      </w:r>
      <w:r w:rsidRPr="00803F77">
        <w:rPr>
          <w:color w:val="404040" w:themeColor="text1" w:themeTint="BF"/>
          <w:szCs w:val="22"/>
        </w:rPr>
        <w:t xml:space="preserve"> </w:t>
      </w:r>
      <w:r w:rsidR="004B4839">
        <w:rPr>
          <w:color w:val="404040" w:themeColor="text1" w:themeTint="BF"/>
          <w:szCs w:val="22"/>
        </w:rPr>
        <w:t xml:space="preserve">Bridge expects to source </w:t>
      </w:r>
      <w:r w:rsidR="00BE139D">
        <w:rPr>
          <w:color w:val="404040" w:themeColor="text1" w:themeTint="BF"/>
          <w:szCs w:val="22"/>
        </w:rPr>
        <w:t>most</w:t>
      </w:r>
      <w:r w:rsidR="004B4839">
        <w:rPr>
          <w:color w:val="404040" w:themeColor="text1" w:themeTint="BF"/>
          <w:szCs w:val="22"/>
        </w:rPr>
        <w:t xml:space="preserve"> transactions on an off-market or lightly marketed basis, drawing on relationships with </w:t>
      </w:r>
      <w:r w:rsidR="00AA289E">
        <w:rPr>
          <w:color w:val="404040" w:themeColor="text1" w:themeTint="BF"/>
          <w:szCs w:val="22"/>
        </w:rPr>
        <w:t>investment brokers but primarily focusing on non-</w:t>
      </w:r>
      <w:r w:rsidR="00AE3B7E">
        <w:rPr>
          <w:color w:val="404040" w:themeColor="text1" w:themeTint="BF"/>
          <w:szCs w:val="22"/>
        </w:rPr>
        <w:t>sales broker channels such as leasing</w:t>
      </w:r>
      <w:r w:rsidR="00476580">
        <w:rPr>
          <w:color w:val="404040" w:themeColor="text1" w:themeTint="BF"/>
          <w:szCs w:val="22"/>
        </w:rPr>
        <w:t xml:space="preserve"> </w:t>
      </w:r>
      <w:r w:rsidR="00AE3B7E">
        <w:rPr>
          <w:color w:val="404040" w:themeColor="text1" w:themeTint="BF"/>
          <w:szCs w:val="22"/>
        </w:rPr>
        <w:t>brokers</w:t>
      </w:r>
      <w:r w:rsidR="002134D0">
        <w:rPr>
          <w:color w:val="404040" w:themeColor="text1" w:themeTint="BF"/>
          <w:szCs w:val="22"/>
        </w:rPr>
        <w:t xml:space="preserve">, </w:t>
      </w:r>
      <w:r w:rsidR="00AE3B7E">
        <w:rPr>
          <w:color w:val="404040" w:themeColor="text1" w:themeTint="BF"/>
          <w:szCs w:val="22"/>
        </w:rPr>
        <w:t>capital markets professionals,</w:t>
      </w:r>
      <w:r w:rsidR="002134D0">
        <w:rPr>
          <w:color w:val="404040" w:themeColor="text1" w:themeTint="BF"/>
          <w:szCs w:val="22"/>
        </w:rPr>
        <w:t xml:space="preserve"> and other market participants,</w:t>
      </w:r>
      <w:r w:rsidR="00AE3B7E">
        <w:rPr>
          <w:color w:val="404040" w:themeColor="text1" w:themeTint="BF"/>
          <w:szCs w:val="22"/>
        </w:rPr>
        <w:t xml:space="preserve"> often </w:t>
      </w:r>
      <w:r w:rsidR="00651879">
        <w:rPr>
          <w:color w:val="404040" w:themeColor="text1" w:themeTint="BF"/>
          <w:szCs w:val="22"/>
        </w:rPr>
        <w:t>utilizing</w:t>
      </w:r>
      <w:r w:rsidR="00AE3B7E">
        <w:rPr>
          <w:color w:val="404040" w:themeColor="text1" w:themeTint="BF"/>
          <w:szCs w:val="22"/>
        </w:rPr>
        <w:t xml:space="preserve"> direct outreach</w:t>
      </w:r>
      <w:r w:rsidR="00651879">
        <w:rPr>
          <w:color w:val="404040" w:themeColor="text1" w:themeTint="BF"/>
          <w:szCs w:val="22"/>
        </w:rPr>
        <w:t xml:space="preserve"> to owners</w:t>
      </w:r>
      <w:r w:rsidR="008D7D44">
        <w:rPr>
          <w:color w:val="404040" w:themeColor="text1" w:themeTint="BF"/>
          <w:szCs w:val="22"/>
        </w:rPr>
        <w:t xml:space="preserve"> or reacting to non-solicited leads. </w:t>
      </w:r>
      <w:r w:rsidR="00651879">
        <w:rPr>
          <w:color w:val="404040" w:themeColor="text1" w:themeTint="BF"/>
          <w:szCs w:val="22"/>
        </w:rPr>
        <w:t xml:space="preserve">Bridge states that 90% of its historical dealflow has been </w:t>
      </w:r>
      <w:r w:rsidR="000179D4">
        <w:rPr>
          <w:color w:val="404040" w:themeColor="text1" w:themeTint="BF"/>
          <w:szCs w:val="22"/>
        </w:rPr>
        <w:t xml:space="preserve">sourced off-market or in lightly marketed situations; 70% of </w:t>
      </w:r>
      <w:r w:rsidR="003E6E63">
        <w:rPr>
          <w:color w:val="404040" w:themeColor="text1" w:themeTint="BF"/>
          <w:szCs w:val="22"/>
        </w:rPr>
        <w:t>BLV</w:t>
      </w:r>
      <w:r w:rsidR="000179D4">
        <w:rPr>
          <w:color w:val="404040" w:themeColor="text1" w:themeTint="BF"/>
          <w:szCs w:val="22"/>
        </w:rPr>
        <w:t xml:space="preserve"> I assets had no </w:t>
      </w:r>
      <w:r w:rsidR="00C11F78">
        <w:rPr>
          <w:color w:val="404040" w:themeColor="text1" w:themeTint="BF"/>
          <w:szCs w:val="22"/>
        </w:rPr>
        <w:t xml:space="preserve">other formal bidder. </w:t>
      </w:r>
    </w:p>
    <w:p w14:paraId="31402843" w14:textId="2E828125" w:rsidR="00DD5ED6" w:rsidRPr="005F4D4F" w:rsidRDefault="007B0FE3" w:rsidP="00A91DCC">
      <w:pPr>
        <w:pStyle w:val="ListParagraph"/>
        <w:numPr>
          <w:ilvl w:val="0"/>
          <w:numId w:val="13"/>
        </w:numPr>
        <w:jc w:val="both"/>
        <w:rPr>
          <w:color w:val="404040" w:themeColor="text1" w:themeTint="BF"/>
          <w:kern w:val="28"/>
          <w:szCs w:val="22"/>
        </w:rPr>
      </w:pPr>
      <w:r>
        <w:rPr>
          <w:color w:val="404040" w:themeColor="text1" w:themeTint="BF"/>
          <w:szCs w:val="22"/>
        </w:rPr>
        <w:t>Closing</w:t>
      </w:r>
      <w:r w:rsidR="00BE05E8">
        <w:rPr>
          <w:color w:val="404040" w:themeColor="text1" w:themeTint="BF"/>
          <w:szCs w:val="22"/>
        </w:rPr>
        <w:t>/Diligence</w:t>
      </w:r>
      <w:r w:rsidR="00DD5ED6" w:rsidRPr="00693B51">
        <w:rPr>
          <w:color w:val="404040" w:themeColor="text1" w:themeTint="BF"/>
          <w:szCs w:val="22"/>
        </w:rPr>
        <w:t xml:space="preserve">: </w:t>
      </w:r>
      <w:r w:rsidR="007554C9">
        <w:rPr>
          <w:color w:val="404040" w:themeColor="text1" w:themeTint="BF"/>
          <w:szCs w:val="22"/>
        </w:rPr>
        <w:t xml:space="preserve">A subset of the Manager’s regional </w:t>
      </w:r>
      <w:r w:rsidR="00D87F4E">
        <w:rPr>
          <w:color w:val="404040" w:themeColor="text1" w:themeTint="BF"/>
          <w:szCs w:val="22"/>
        </w:rPr>
        <w:t xml:space="preserve">team will be responsible for </w:t>
      </w:r>
      <w:r w:rsidR="001744CD">
        <w:rPr>
          <w:color w:val="404040" w:themeColor="text1" w:themeTint="BF"/>
          <w:szCs w:val="22"/>
        </w:rPr>
        <w:t>preparation of a PSA</w:t>
      </w:r>
      <w:r w:rsidR="001D341B">
        <w:rPr>
          <w:color w:val="404040" w:themeColor="text1" w:themeTint="BF"/>
          <w:szCs w:val="22"/>
        </w:rPr>
        <w:t>, phy</w:t>
      </w:r>
      <w:r w:rsidR="00213FC5">
        <w:rPr>
          <w:color w:val="404040" w:themeColor="text1" w:themeTint="BF"/>
          <w:szCs w:val="22"/>
        </w:rPr>
        <w:t xml:space="preserve">sical analysis report of the site including oversight of </w:t>
      </w:r>
      <w:r w:rsidR="005F5DAB">
        <w:rPr>
          <w:color w:val="404040" w:themeColor="text1" w:themeTint="BF"/>
          <w:szCs w:val="22"/>
        </w:rPr>
        <w:t>third-party</w:t>
      </w:r>
      <w:r w:rsidR="00213FC5">
        <w:rPr>
          <w:color w:val="404040" w:themeColor="text1" w:themeTint="BF"/>
          <w:szCs w:val="22"/>
        </w:rPr>
        <w:t xml:space="preserve"> consultants </w:t>
      </w:r>
      <w:r w:rsidR="006F3EE6">
        <w:rPr>
          <w:color w:val="404040" w:themeColor="text1" w:themeTint="BF"/>
          <w:szCs w:val="22"/>
        </w:rPr>
        <w:t xml:space="preserve">providing reports on (i) title, (ii) survey, (iii) appraisal, (iv) phase I and II </w:t>
      </w:r>
      <w:r w:rsidR="009833C4">
        <w:rPr>
          <w:color w:val="404040" w:themeColor="text1" w:themeTint="BF"/>
          <w:szCs w:val="22"/>
        </w:rPr>
        <w:t>environmental</w:t>
      </w:r>
      <w:r w:rsidR="006F3EE6">
        <w:rPr>
          <w:color w:val="404040" w:themeColor="text1" w:themeTint="BF"/>
          <w:szCs w:val="22"/>
        </w:rPr>
        <w:t xml:space="preserve"> reports, </w:t>
      </w:r>
      <w:r w:rsidR="009833C4">
        <w:rPr>
          <w:color w:val="404040" w:themeColor="text1" w:themeTint="BF"/>
          <w:szCs w:val="22"/>
        </w:rPr>
        <w:t xml:space="preserve">and (v) property condition reports, </w:t>
      </w:r>
      <w:r w:rsidR="00CA1477">
        <w:rPr>
          <w:color w:val="404040" w:themeColor="text1" w:themeTint="BF"/>
          <w:szCs w:val="22"/>
        </w:rPr>
        <w:t xml:space="preserve">and </w:t>
      </w:r>
      <w:r w:rsidR="009833C4">
        <w:rPr>
          <w:color w:val="404040" w:themeColor="text1" w:themeTint="BF"/>
          <w:szCs w:val="22"/>
        </w:rPr>
        <w:t xml:space="preserve">competitive market analysis, </w:t>
      </w:r>
      <w:r w:rsidR="005D03F1">
        <w:rPr>
          <w:color w:val="404040" w:themeColor="text1" w:themeTint="BF"/>
          <w:szCs w:val="22"/>
        </w:rPr>
        <w:t>and formulation of the pro forma business plan</w:t>
      </w:r>
      <w:r w:rsidR="0038516B">
        <w:rPr>
          <w:color w:val="404040" w:themeColor="text1" w:themeTint="BF"/>
          <w:szCs w:val="22"/>
        </w:rPr>
        <w:t xml:space="preserve"> and financial model. </w:t>
      </w:r>
      <w:r w:rsidR="001D2707" w:rsidRPr="00CD4BAE">
        <w:rPr>
          <w:color w:val="404040" w:themeColor="text1" w:themeTint="BF"/>
          <w:szCs w:val="22"/>
          <w:highlight w:val="red"/>
        </w:rPr>
        <w:t xml:space="preserve">It is expected NYSCRF’s opt-out rights will be in effect prior to </w:t>
      </w:r>
      <w:r w:rsidR="00960D7E" w:rsidRPr="00CD4BAE">
        <w:rPr>
          <w:color w:val="404040" w:themeColor="text1" w:themeTint="BF"/>
          <w:szCs w:val="22"/>
          <w:highlight w:val="red"/>
        </w:rPr>
        <w:t>any project approval</w:t>
      </w:r>
      <w:r w:rsidR="007C38BD" w:rsidRPr="00CD4BAE">
        <w:rPr>
          <w:color w:val="404040" w:themeColor="text1" w:themeTint="BF"/>
          <w:szCs w:val="22"/>
          <w:highlight w:val="red"/>
        </w:rPr>
        <w:t xml:space="preserve"> </w:t>
      </w:r>
      <w:r w:rsidR="00336B68" w:rsidRPr="00CD4BAE">
        <w:rPr>
          <w:color w:val="404040" w:themeColor="text1" w:themeTint="BF"/>
          <w:szCs w:val="22"/>
          <w:highlight w:val="red"/>
        </w:rPr>
        <w:t xml:space="preserve">(generally the juncture at which the partnership would begin to </w:t>
      </w:r>
      <w:r w:rsidR="00F21AFA" w:rsidRPr="00CD4BAE">
        <w:rPr>
          <w:color w:val="404040" w:themeColor="text1" w:themeTint="BF"/>
          <w:szCs w:val="22"/>
          <w:highlight w:val="red"/>
        </w:rPr>
        <w:t>incur material pursuit costs)</w:t>
      </w:r>
      <w:r w:rsidR="00700B2E" w:rsidRPr="00CD4BAE">
        <w:rPr>
          <w:color w:val="404040" w:themeColor="text1" w:themeTint="BF"/>
          <w:szCs w:val="22"/>
          <w:highlight w:val="red"/>
        </w:rPr>
        <w:t>, again prior to closing on land</w:t>
      </w:r>
      <w:r w:rsidR="00BD0A75" w:rsidRPr="00CD4BAE">
        <w:rPr>
          <w:color w:val="404040" w:themeColor="text1" w:themeTint="BF"/>
          <w:szCs w:val="22"/>
          <w:highlight w:val="red"/>
        </w:rPr>
        <w:t xml:space="preserve">, and again before commencement of construction, all subject to a notice period of five business days. </w:t>
      </w:r>
      <w:r w:rsidR="00E10920" w:rsidRPr="00CD4BAE">
        <w:rPr>
          <w:b/>
          <w:bCs/>
          <w:color w:val="404040" w:themeColor="text1" w:themeTint="BF"/>
          <w:szCs w:val="22"/>
          <w:highlight w:val="red"/>
        </w:rPr>
        <w:t xml:space="preserve">Exhibit F </w:t>
      </w:r>
      <w:r w:rsidR="00E10920" w:rsidRPr="00CD4BAE">
        <w:rPr>
          <w:color w:val="404040" w:themeColor="text1" w:themeTint="BF"/>
          <w:szCs w:val="22"/>
          <w:highlight w:val="red"/>
        </w:rPr>
        <w:t xml:space="preserve">details the Fund’s project approval process as outlined in the </w:t>
      </w:r>
      <w:r w:rsidR="00DC51F7" w:rsidRPr="00CD4BAE">
        <w:rPr>
          <w:color w:val="404040" w:themeColor="text1" w:themeTint="BF"/>
          <w:szCs w:val="22"/>
          <w:highlight w:val="red"/>
        </w:rPr>
        <w:t>Framework Term Sheet.</w:t>
      </w:r>
    </w:p>
    <w:p w14:paraId="6FEF977C" w14:textId="118649A4" w:rsidR="00A6398A" w:rsidRPr="005F4D4F" w:rsidRDefault="00A6398A" w:rsidP="00A91DCC">
      <w:pPr>
        <w:pStyle w:val="ListParagraph"/>
        <w:numPr>
          <w:ilvl w:val="0"/>
          <w:numId w:val="13"/>
        </w:numPr>
        <w:jc w:val="both"/>
        <w:rPr>
          <w:color w:val="404040" w:themeColor="text1" w:themeTint="BF"/>
          <w:kern w:val="28"/>
          <w:szCs w:val="22"/>
        </w:rPr>
      </w:pPr>
      <w:r w:rsidRPr="00491020">
        <w:rPr>
          <w:color w:val="404040" w:themeColor="text1" w:themeTint="BF"/>
          <w:szCs w:val="22"/>
        </w:rPr>
        <w:t xml:space="preserve">Asset Management: </w:t>
      </w:r>
      <w:r w:rsidR="004A7188" w:rsidRPr="004A7188">
        <w:rPr>
          <w:color w:val="404040" w:themeColor="text1" w:themeTint="BF"/>
          <w:szCs w:val="22"/>
        </w:rPr>
        <w:t xml:space="preserve">Asset Management sits in-house. </w:t>
      </w:r>
      <w:r w:rsidR="0096762D">
        <w:rPr>
          <w:color w:val="404040" w:themeColor="text1" w:themeTint="BF"/>
          <w:szCs w:val="22"/>
        </w:rPr>
        <w:t xml:space="preserve">Oversight and execution of the </w:t>
      </w:r>
      <w:r w:rsidR="0096762D" w:rsidRPr="00CD4BAE">
        <w:rPr>
          <w:color w:val="404040" w:themeColor="text1" w:themeTint="BF"/>
          <w:szCs w:val="22"/>
          <w:highlight w:val="red"/>
        </w:rPr>
        <w:t>development process</w:t>
      </w:r>
      <w:r w:rsidR="0096762D">
        <w:rPr>
          <w:color w:val="404040" w:themeColor="text1" w:themeTint="BF"/>
          <w:szCs w:val="22"/>
        </w:rPr>
        <w:t xml:space="preserve"> is conducted internally with a </w:t>
      </w:r>
      <w:r w:rsidR="007A2924">
        <w:rPr>
          <w:color w:val="404040" w:themeColor="text1" w:themeTint="BF"/>
          <w:szCs w:val="22"/>
        </w:rPr>
        <w:t>through a combination of dedicated development employees</w:t>
      </w:r>
      <w:r w:rsidR="00335D5C">
        <w:rPr>
          <w:color w:val="404040" w:themeColor="text1" w:themeTint="BF"/>
          <w:szCs w:val="22"/>
        </w:rPr>
        <w:t xml:space="preserve"> and contribution from regional heads. </w:t>
      </w:r>
      <w:r w:rsidR="00CD4BAE" w:rsidRPr="00CD4BAE">
        <w:rPr>
          <w:color w:val="404040" w:themeColor="text1" w:themeTint="BF"/>
          <w:szCs w:val="22"/>
          <w:highlight w:val="red"/>
        </w:rPr>
        <w:t>Construction mgt?</w:t>
      </w:r>
      <w:r w:rsidR="00CD4BAE">
        <w:rPr>
          <w:color w:val="404040" w:themeColor="text1" w:themeTint="BF"/>
          <w:szCs w:val="22"/>
        </w:rPr>
        <w:t xml:space="preserve"> </w:t>
      </w:r>
      <w:proofErr w:type="gramStart"/>
      <w:r w:rsidR="00E26FD9">
        <w:rPr>
          <w:color w:val="404040" w:themeColor="text1" w:themeTint="BF"/>
          <w:szCs w:val="22"/>
        </w:rPr>
        <w:t>Development</w:t>
      </w:r>
      <w:proofErr w:type="gramEnd"/>
      <w:r w:rsidR="00E26FD9">
        <w:rPr>
          <w:color w:val="404040" w:themeColor="text1" w:themeTint="BF"/>
          <w:szCs w:val="22"/>
        </w:rPr>
        <w:t xml:space="preserve"> Management</w:t>
      </w:r>
      <w:r w:rsidR="00490752">
        <w:rPr>
          <w:color w:val="404040" w:themeColor="text1" w:themeTint="BF"/>
          <w:szCs w:val="22"/>
        </w:rPr>
        <w:t xml:space="preserve"> is </w:t>
      </w:r>
      <w:r w:rsidR="001D607F">
        <w:rPr>
          <w:color w:val="404040" w:themeColor="text1" w:themeTint="BF"/>
          <w:szCs w:val="22"/>
        </w:rPr>
        <w:t>conducted in house with external GCs and subcontractors.</w:t>
      </w:r>
      <w:r w:rsidR="00E26FD9">
        <w:rPr>
          <w:color w:val="404040" w:themeColor="text1" w:themeTint="BF"/>
          <w:szCs w:val="22"/>
        </w:rPr>
        <w:t xml:space="preserve"> </w:t>
      </w:r>
      <w:r w:rsidR="004A7188" w:rsidRPr="004A7188">
        <w:rPr>
          <w:color w:val="404040" w:themeColor="text1" w:themeTint="BF"/>
          <w:szCs w:val="22"/>
        </w:rPr>
        <w:t xml:space="preserve">The </w:t>
      </w:r>
      <w:r w:rsidR="00383BE0">
        <w:rPr>
          <w:color w:val="404040" w:themeColor="text1" w:themeTint="BF"/>
          <w:szCs w:val="22"/>
        </w:rPr>
        <w:t xml:space="preserve">Fund may </w:t>
      </w:r>
      <w:r w:rsidR="004A7188" w:rsidRPr="004A7188">
        <w:rPr>
          <w:color w:val="404040" w:themeColor="text1" w:themeTint="BF"/>
          <w:szCs w:val="22"/>
        </w:rPr>
        <w:t xml:space="preserve">leverage Bridge’s operational platform from time-to-time for property management </w:t>
      </w:r>
      <w:r w:rsidR="007B0FE3" w:rsidRPr="004A7188">
        <w:rPr>
          <w:color w:val="404040" w:themeColor="text1" w:themeTint="BF"/>
          <w:szCs w:val="22"/>
        </w:rPr>
        <w:t>services but</w:t>
      </w:r>
      <w:r w:rsidR="004A7188" w:rsidRPr="004A7188">
        <w:rPr>
          <w:color w:val="404040" w:themeColor="text1" w:themeTint="BF"/>
          <w:szCs w:val="22"/>
        </w:rPr>
        <w:t xml:space="preserve"> expects to predominantly utilize third parties for management and leasing services</w:t>
      </w:r>
      <w:r w:rsidR="007B0FE3">
        <w:rPr>
          <w:color w:val="404040" w:themeColor="text1" w:themeTint="BF"/>
          <w:szCs w:val="22"/>
        </w:rPr>
        <w:t>.</w:t>
      </w:r>
      <w:r w:rsidR="00934867" w:rsidRPr="00934867">
        <w:t xml:space="preserve"> </w:t>
      </w:r>
      <w:r w:rsidR="00934867" w:rsidRPr="00934867">
        <w:rPr>
          <w:color w:val="404040" w:themeColor="text1" w:themeTint="BF"/>
          <w:szCs w:val="22"/>
        </w:rPr>
        <w:t xml:space="preserve">BLP has dedicated asset management professionals organized by geographic regions. BLP’s asset managers serve as the regional point-person in monitoring property performance, maximizing property revenue, and directing leasing, </w:t>
      </w:r>
      <w:r w:rsidR="007B0FE3" w:rsidRPr="00934867">
        <w:rPr>
          <w:color w:val="404040" w:themeColor="text1" w:themeTint="BF"/>
          <w:szCs w:val="22"/>
        </w:rPr>
        <w:t>operations,</w:t>
      </w:r>
      <w:r w:rsidR="00934867" w:rsidRPr="00934867">
        <w:rPr>
          <w:color w:val="404040" w:themeColor="text1" w:themeTint="BF"/>
          <w:szCs w:val="22"/>
        </w:rPr>
        <w:t xml:space="preserve"> and construction to optimize value regionally for the team’s investments.</w:t>
      </w:r>
    </w:p>
    <w:p w14:paraId="775CC75C" w14:textId="467A39A1" w:rsidR="00CA453C" w:rsidRPr="00E52EB7" w:rsidRDefault="00021957" w:rsidP="00A91DCC">
      <w:pPr>
        <w:pStyle w:val="ListParagraph"/>
        <w:numPr>
          <w:ilvl w:val="0"/>
          <w:numId w:val="7"/>
        </w:numPr>
        <w:jc w:val="both"/>
        <w:rPr>
          <w:color w:val="404040" w:themeColor="text1" w:themeTint="BF"/>
          <w:szCs w:val="22"/>
        </w:rPr>
      </w:pPr>
      <w:r w:rsidRPr="00E52EB7">
        <w:rPr>
          <w:color w:val="404040" w:themeColor="text1" w:themeTint="BF"/>
          <w:szCs w:val="22"/>
        </w:rPr>
        <w:lastRenderedPageBreak/>
        <w:t xml:space="preserve">Disposition: </w:t>
      </w:r>
      <w:r w:rsidR="001838CF" w:rsidRPr="00E52EB7">
        <w:rPr>
          <w:color w:val="404040" w:themeColor="text1" w:themeTint="BF"/>
          <w:szCs w:val="22"/>
        </w:rPr>
        <w:t xml:space="preserve">Bridge will establish a disposition team that will select </w:t>
      </w:r>
      <w:r w:rsidR="00055533" w:rsidRPr="00E52EB7">
        <w:rPr>
          <w:color w:val="404040" w:themeColor="text1" w:themeTint="BF"/>
          <w:szCs w:val="22"/>
        </w:rPr>
        <w:t xml:space="preserve">from leading </w:t>
      </w:r>
      <w:r w:rsidR="009F75DD" w:rsidRPr="00E52EB7">
        <w:rPr>
          <w:color w:val="404040" w:themeColor="text1" w:themeTint="BF"/>
          <w:szCs w:val="22"/>
        </w:rPr>
        <w:t>brokers</w:t>
      </w:r>
      <w:r w:rsidR="00055533" w:rsidRPr="00E52EB7">
        <w:rPr>
          <w:color w:val="404040" w:themeColor="text1" w:themeTint="BF"/>
          <w:szCs w:val="22"/>
        </w:rPr>
        <w:t xml:space="preserve"> in the applicable market to list and market the property. This team oversees the preparation of the sales package and works to establish the most effective marketing strategy. </w:t>
      </w:r>
      <w:r w:rsidR="009A032A" w:rsidRPr="00CD4BAE">
        <w:rPr>
          <w:color w:val="404040" w:themeColor="text1" w:themeTint="BF"/>
          <w:szCs w:val="22"/>
          <w:highlight w:val="red"/>
        </w:rPr>
        <w:t>Sale/disposition approval are expected to be subject to NYSCRF approval</w:t>
      </w:r>
      <w:r w:rsidR="00863233" w:rsidRPr="00CD4BAE">
        <w:rPr>
          <w:color w:val="404040" w:themeColor="text1" w:themeTint="BF"/>
          <w:szCs w:val="22"/>
          <w:highlight w:val="red"/>
        </w:rPr>
        <w:t xml:space="preserve"> and </w:t>
      </w:r>
      <w:r w:rsidR="00E52EB7" w:rsidRPr="00CD4BAE">
        <w:rPr>
          <w:color w:val="404040" w:themeColor="text1" w:themeTint="BF"/>
          <w:szCs w:val="22"/>
          <w:highlight w:val="red"/>
        </w:rPr>
        <w:t>potential candidates for disposition will be discussed on regular pipeline calls.</w:t>
      </w:r>
    </w:p>
    <w:p w14:paraId="281F3689" w14:textId="77777777" w:rsidR="00102487" w:rsidRPr="00102487" w:rsidRDefault="00102487" w:rsidP="00102487">
      <w:pPr>
        <w:jc w:val="both"/>
        <w:rPr>
          <w:color w:val="404040" w:themeColor="text1" w:themeTint="BF"/>
          <w:szCs w:val="22"/>
        </w:rPr>
      </w:pPr>
    </w:p>
    <w:bookmarkStart w:id="38" w:name="_Toc179797297"/>
    <w:bookmarkStart w:id="39" w:name="_Toc413830800"/>
    <w:p w14:paraId="739A7E8F" w14:textId="6E361C4C" w:rsidR="000D7772" w:rsidRPr="00B564B8" w:rsidRDefault="000D7772" w:rsidP="000D7772">
      <w:pPr>
        <w:pStyle w:val="Heading2"/>
        <w:rPr>
          <w:color w:val="8CA4A4" w:themeColor="accent5"/>
          <w:sz w:val="22"/>
          <w:szCs w:val="22"/>
        </w:rPr>
      </w:pPr>
      <w:r w:rsidRPr="00CD4BAE">
        <w:rPr>
          <w:noProof/>
          <w:szCs w:val="22"/>
          <w:highlight w:val="red"/>
        </w:rPr>
        <mc:AlternateContent>
          <mc:Choice Requires="wps">
            <w:drawing>
              <wp:anchor distT="0" distB="0" distL="114300" distR="114300" simplePos="0" relativeHeight="251655168" behindDoc="0" locked="0" layoutInCell="1" allowOverlap="1" wp14:anchorId="38CB6963" wp14:editId="6E96D494">
                <wp:simplePos x="0" y="0"/>
                <wp:positionH relativeFrom="margin">
                  <wp:posOffset>-12700</wp:posOffset>
                </wp:positionH>
                <wp:positionV relativeFrom="paragraph">
                  <wp:posOffset>163407</wp:posOffset>
                </wp:positionV>
                <wp:extent cx="6492240" cy="0"/>
                <wp:effectExtent l="0" t="0" r="0" b="0"/>
                <wp:wrapNone/>
                <wp:docPr id="69"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2240" cy="0"/>
                        </a:xfrm>
                        <a:prstGeom prst="straightConnector1">
                          <a:avLst/>
                        </a:prstGeom>
                        <a:noFill/>
                        <a:ln w="9525">
                          <a:solidFill>
                            <a:schemeClr val="tx1">
                              <a:lumMod val="75000"/>
                              <a:lumOff val="2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CAB2E5" id="AutoShape 5" o:spid="_x0000_s1026" type="#_x0000_t32" style="position:absolute;margin-left:-1pt;margin-top:12.85pt;width:511.2pt;height:0;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0M10AEAAJADAAAOAAAAZHJzL2Uyb0RvYy54bWysU01v2zAMvQ/YfxB0X+wYTbcacXpI1126&#10;LUC7H8DIsi1MFgVJiZ1/P0qOva9b0Ysgkebj4+Pz9n7sNTtL5xWaiq9XOWfSCKyVaSv+4+XxwyfO&#10;fABTg0YjK36Rnt/v3r/bDraUBXaoa+kYgRhfDrbiXQi2zDIvOtmDX6GVhpINuh4CPV2b1Q4GQu91&#10;VuT5bTagq61DIb2n6MOU5LuE3zRShO9N42VguuLELaTTpfMYz2y3hbJ1YDslrjTgFSx6UIaaLlAP&#10;EICdnPoPqlfCoccmrAT2GTaNEjLNQNOs83+mee7AyjQLiePtIpN/O1jx7bw3Bxepi9E82ycUPz0z&#10;uO/AtDIReLlYWtw6SpUN1pdLSXx4e3DsOHzFmr6BU8Ckwti4PkLSfGxMYl8WseUYmKDg7c1dUdzQ&#10;TsScy6CcC63z4YvEnsVLxX1woNou7NEYWim6dWoD5ycfIi0o54LY1eCj0jptVhs2VPxuU2xSgUet&#10;6piMnyWPyb127AzkjjBOoPrU0zRT7OMmz68eoTA5aQoXc5gaLyiJxl8NHJ5MnWh0EurP13sApac7&#10;VWtzFTXqGE3ryyPWl4Obxaa1J+CrRaOv/nyn6t8/0u4XAAAA//8DAFBLAwQUAAYACAAAACEAvPB3&#10;SN4AAAAJAQAADwAAAGRycy9kb3ducmV2LnhtbEyPwU7DMBBE70j9B2uRuKDWbkRpG+JUCAnRE1Jb&#10;RK9OvCQR9jqy3TT8Pa56gOPsrGbeFJvRGjagD50jCfOZAIZUO91RI+Hj8DpdAQtRkVbGEUr4wQCb&#10;cnJTqFy7M+1w2MeGpRAKuZLQxtjnnIe6RavCzPVIyfty3qqYpG+49uqcwq3hmRCP3KqOUkOrenxp&#10;sf7en6yE+5UfzbZaHj4rH4UdFsf3tzVJeXc7Pj8BizjGv2e44Cd0KBNT5U6kAzMSplmaEiVkiyWw&#10;iy8y8QCsul54WfD/C8pfAAAA//8DAFBLAQItABQABgAIAAAAIQC2gziS/gAAAOEBAAATAAAAAAAA&#10;AAAAAAAAAAAAAABbQ29udGVudF9UeXBlc10ueG1sUEsBAi0AFAAGAAgAAAAhADj9If/WAAAAlAEA&#10;AAsAAAAAAAAAAAAAAAAALwEAAF9yZWxzLy5yZWxzUEsBAi0AFAAGAAgAAAAhAGP3QzXQAQAAkAMA&#10;AA4AAAAAAAAAAAAAAAAALgIAAGRycy9lMm9Eb2MueG1sUEsBAi0AFAAGAAgAAAAhALzwd0jeAAAA&#10;CQEAAA8AAAAAAAAAAAAAAAAAKgQAAGRycy9kb3ducmV2LnhtbFBLBQYAAAAABAAEAPMAAAA1BQAA&#10;AAA=&#10;" strokecolor="#404040 [2429]">
                <w10:wrap anchorx="margin"/>
              </v:shape>
            </w:pict>
          </mc:Fallback>
        </mc:AlternateContent>
      </w:r>
      <w:r w:rsidRPr="00CD4BAE">
        <w:rPr>
          <w:color w:val="8CA4A4" w:themeColor="accent5"/>
          <w:sz w:val="22"/>
          <w:szCs w:val="22"/>
          <w:highlight w:val="red"/>
        </w:rPr>
        <w:t>Investment</w:t>
      </w:r>
      <w:r w:rsidR="008C70AC" w:rsidRPr="00CD4BAE">
        <w:rPr>
          <w:color w:val="8CA4A4" w:themeColor="accent5"/>
          <w:sz w:val="22"/>
          <w:szCs w:val="22"/>
          <w:highlight w:val="red"/>
        </w:rPr>
        <w:t xml:space="preserve"> Committee</w:t>
      </w:r>
      <w:bookmarkEnd w:id="38"/>
    </w:p>
    <w:bookmarkEnd w:id="39"/>
    <w:p w14:paraId="0C5275C5" w14:textId="47D3D55A" w:rsidR="00233424" w:rsidRPr="00860525" w:rsidRDefault="004D6EE9" w:rsidP="00233424">
      <w:pPr>
        <w:tabs>
          <w:tab w:val="left" w:pos="1170"/>
        </w:tabs>
        <w:jc w:val="both"/>
        <w:rPr>
          <w:color w:val="404040" w:themeColor="text1" w:themeTint="BF"/>
          <w:szCs w:val="22"/>
        </w:rPr>
      </w:pPr>
      <w:r w:rsidRPr="00860525">
        <w:rPr>
          <w:color w:val="404040" w:themeColor="text1" w:themeTint="BF"/>
          <w:szCs w:val="22"/>
        </w:rPr>
        <w:t xml:space="preserve">The Fund’s </w:t>
      </w:r>
      <w:r w:rsidR="00AE3C49" w:rsidRPr="00860525">
        <w:rPr>
          <w:color w:val="404040" w:themeColor="text1" w:themeTint="BF"/>
          <w:szCs w:val="22"/>
        </w:rPr>
        <w:t>decision-making</w:t>
      </w:r>
      <w:r w:rsidRPr="00860525">
        <w:rPr>
          <w:color w:val="404040" w:themeColor="text1" w:themeTint="BF"/>
          <w:szCs w:val="22"/>
        </w:rPr>
        <w:t xml:space="preserve"> group will effectively be a combination of </w:t>
      </w:r>
      <w:r w:rsidR="00932507" w:rsidRPr="00860525">
        <w:rPr>
          <w:color w:val="404040" w:themeColor="text1" w:themeTint="BF"/>
          <w:szCs w:val="22"/>
        </w:rPr>
        <w:t xml:space="preserve">the BLP Investment Committee described in the Sponsor section and </w:t>
      </w:r>
      <w:r w:rsidR="00301DA5" w:rsidRPr="00860525">
        <w:rPr>
          <w:color w:val="404040" w:themeColor="text1" w:themeTint="BF"/>
          <w:szCs w:val="22"/>
        </w:rPr>
        <w:t>representatives from NYSCRF.</w:t>
      </w:r>
      <w:r w:rsidR="00AE3C49" w:rsidRPr="00860525">
        <w:rPr>
          <w:color w:val="404040" w:themeColor="text1" w:themeTint="BF"/>
          <w:szCs w:val="22"/>
        </w:rPr>
        <w:t xml:space="preserve"> </w:t>
      </w:r>
      <w:r w:rsidR="00233424" w:rsidRPr="00860525">
        <w:rPr>
          <w:color w:val="404040" w:themeColor="text1" w:themeTint="BF"/>
          <w:szCs w:val="22"/>
        </w:rPr>
        <w:t xml:space="preserve">BLP will regularly apprise </w:t>
      </w:r>
      <w:r w:rsidR="009F1013" w:rsidRPr="00860525">
        <w:rPr>
          <w:color w:val="404040" w:themeColor="text1" w:themeTint="BF"/>
          <w:szCs w:val="22"/>
        </w:rPr>
        <w:t xml:space="preserve">NYSCRF </w:t>
      </w:r>
      <w:r w:rsidR="00233424" w:rsidRPr="00860525">
        <w:rPr>
          <w:color w:val="404040" w:themeColor="text1" w:themeTint="BF"/>
          <w:szCs w:val="22"/>
        </w:rPr>
        <w:t xml:space="preserve">of potential opportunities within the mandate of the </w:t>
      </w:r>
      <w:r w:rsidR="009F1013" w:rsidRPr="00860525">
        <w:rPr>
          <w:color w:val="404040" w:themeColor="text1" w:themeTint="BF"/>
          <w:szCs w:val="22"/>
        </w:rPr>
        <w:t>Fund</w:t>
      </w:r>
      <w:r w:rsidR="00233424" w:rsidRPr="00860525">
        <w:rPr>
          <w:color w:val="404040" w:themeColor="text1" w:themeTint="BF"/>
          <w:szCs w:val="22"/>
        </w:rPr>
        <w:t xml:space="preserve"> during the Commitment Period. BLP will establish a biweekly pipeline call with </w:t>
      </w:r>
      <w:r w:rsidR="00AD7A17" w:rsidRPr="00860525">
        <w:rPr>
          <w:color w:val="404040" w:themeColor="text1" w:themeTint="BF"/>
          <w:szCs w:val="22"/>
        </w:rPr>
        <w:t xml:space="preserve">the NYSCRF </w:t>
      </w:r>
      <w:r w:rsidR="00233424" w:rsidRPr="00860525">
        <w:rPr>
          <w:color w:val="404040" w:themeColor="text1" w:themeTint="BF"/>
          <w:szCs w:val="22"/>
        </w:rPr>
        <w:t xml:space="preserve">team to discuss potential opportunities in addition to operational updates (construction, leasing, financing, etc.). Upon request, BLP will provide an explanation and disclose reasonable information on any potential opportunities within the mandate that BLP did not recommend to the </w:t>
      </w:r>
      <w:r w:rsidR="00AD7A17" w:rsidRPr="00860525">
        <w:rPr>
          <w:color w:val="404040" w:themeColor="text1" w:themeTint="BF"/>
          <w:szCs w:val="22"/>
        </w:rPr>
        <w:t>Fund</w:t>
      </w:r>
      <w:r w:rsidR="00233424" w:rsidRPr="00860525">
        <w:rPr>
          <w:color w:val="404040" w:themeColor="text1" w:themeTint="BF"/>
          <w:szCs w:val="22"/>
        </w:rPr>
        <w:t xml:space="preserve">. BLP’s obligation to offer potential opportunities to the Partnership during the Commitment Period will lapse </w:t>
      </w:r>
      <w:r w:rsidR="00AE3C49" w:rsidRPr="00860525">
        <w:rPr>
          <w:color w:val="404040" w:themeColor="text1" w:themeTint="BF"/>
          <w:szCs w:val="22"/>
        </w:rPr>
        <w:t>if</w:t>
      </w:r>
      <w:r w:rsidR="00233424" w:rsidRPr="00860525">
        <w:rPr>
          <w:color w:val="404040" w:themeColor="text1" w:themeTint="BF"/>
          <w:szCs w:val="22"/>
        </w:rPr>
        <w:t xml:space="preserve"> </w:t>
      </w:r>
      <w:r w:rsidR="00AE3C49" w:rsidRPr="00860525">
        <w:rPr>
          <w:color w:val="404040" w:themeColor="text1" w:themeTint="BF"/>
          <w:szCs w:val="22"/>
        </w:rPr>
        <w:t>NYSCRF</w:t>
      </w:r>
      <w:r w:rsidR="00233424" w:rsidRPr="00860525">
        <w:rPr>
          <w:color w:val="404040" w:themeColor="text1" w:themeTint="BF"/>
          <w:szCs w:val="22"/>
        </w:rPr>
        <w:t xml:space="preserve"> reject</w:t>
      </w:r>
      <w:r w:rsidR="00AE3C49" w:rsidRPr="00860525">
        <w:rPr>
          <w:color w:val="404040" w:themeColor="text1" w:themeTint="BF"/>
          <w:szCs w:val="22"/>
        </w:rPr>
        <w:t>s</w:t>
      </w:r>
      <w:r w:rsidR="00233424" w:rsidRPr="00860525">
        <w:rPr>
          <w:color w:val="404040" w:themeColor="text1" w:themeTint="BF"/>
          <w:szCs w:val="22"/>
        </w:rPr>
        <w:t xml:space="preserve"> three</w:t>
      </w:r>
      <w:r w:rsidR="00AE3C49" w:rsidRPr="00860525">
        <w:rPr>
          <w:color w:val="404040" w:themeColor="text1" w:themeTint="BF"/>
          <w:szCs w:val="22"/>
        </w:rPr>
        <w:t xml:space="preserve"> </w:t>
      </w:r>
      <w:r w:rsidR="00233424" w:rsidRPr="00860525">
        <w:rPr>
          <w:color w:val="404040" w:themeColor="text1" w:themeTint="BF"/>
          <w:szCs w:val="22"/>
        </w:rPr>
        <w:t xml:space="preserve">or more potential projects within the mandate of the </w:t>
      </w:r>
      <w:r w:rsidR="00AE3C49" w:rsidRPr="00860525">
        <w:rPr>
          <w:color w:val="404040" w:themeColor="text1" w:themeTint="BF"/>
          <w:szCs w:val="22"/>
        </w:rPr>
        <w:t>Fund</w:t>
      </w:r>
      <w:r w:rsidR="00233424" w:rsidRPr="00860525">
        <w:rPr>
          <w:color w:val="404040" w:themeColor="text1" w:themeTint="BF"/>
          <w:szCs w:val="22"/>
        </w:rPr>
        <w:t xml:space="preserve"> at any stage of the approval process within a consecutive </w:t>
      </w:r>
      <w:proofErr w:type="gramStart"/>
      <w:r w:rsidR="00233424" w:rsidRPr="00860525">
        <w:rPr>
          <w:color w:val="404040" w:themeColor="text1" w:themeTint="BF"/>
          <w:szCs w:val="22"/>
        </w:rPr>
        <w:t>12</w:t>
      </w:r>
      <w:r w:rsidR="00AE3C49" w:rsidRPr="00860525">
        <w:rPr>
          <w:color w:val="404040" w:themeColor="text1" w:themeTint="BF"/>
          <w:szCs w:val="22"/>
        </w:rPr>
        <w:t xml:space="preserve"> </w:t>
      </w:r>
      <w:r w:rsidR="00233424" w:rsidRPr="00860525">
        <w:rPr>
          <w:color w:val="404040" w:themeColor="text1" w:themeTint="BF"/>
          <w:szCs w:val="22"/>
        </w:rPr>
        <w:t>month</w:t>
      </w:r>
      <w:proofErr w:type="gramEnd"/>
      <w:r w:rsidR="00233424" w:rsidRPr="00860525">
        <w:rPr>
          <w:color w:val="404040" w:themeColor="text1" w:themeTint="BF"/>
          <w:szCs w:val="22"/>
        </w:rPr>
        <w:t xml:space="preserve"> period.</w:t>
      </w:r>
    </w:p>
    <w:p w14:paraId="1C60868E" w14:textId="77777777" w:rsidR="00860525" w:rsidRDefault="00860525" w:rsidP="00B2163A">
      <w:pPr>
        <w:jc w:val="both"/>
        <w:rPr>
          <w:rFonts w:eastAsia="Calibri"/>
          <w:color w:val="404040" w:themeColor="text1" w:themeTint="BF"/>
        </w:rPr>
      </w:pPr>
    </w:p>
    <w:bookmarkStart w:id="40" w:name="_Toc179797298"/>
    <w:p w14:paraId="0A23808E" w14:textId="7A95709A" w:rsidR="005F6840" w:rsidRPr="00E676A5" w:rsidRDefault="005F6840" w:rsidP="005F6840">
      <w:pPr>
        <w:pStyle w:val="Heading2"/>
        <w:rPr>
          <w:color w:val="8CA4A4" w:themeColor="accent5"/>
          <w:sz w:val="22"/>
          <w:szCs w:val="22"/>
        </w:rPr>
      </w:pPr>
      <w:r w:rsidRPr="00CD4BAE">
        <w:rPr>
          <w:noProof/>
          <w:szCs w:val="22"/>
          <w:highlight w:val="cyan"/>
        </w:rPr>
        <mc:AlternateContent>
          <mc:Choice Requires="wps">
            <w:drawing>
              <wp:anchor distT="0" distB="0" distL="114300" distR="114300" simplePos="0" relativeHeight="251676672" behindDoc="0" locked="0" layoutInCell="1" allowOverlap="1" wp14:anchorId="2CB58A3C" wp14:editId="4B84FD9B">
                <wp:simplePos x="0" y="0"/>
                <wp:positionH relativeFrom="margin">
                  <wp:posOffset>-12700</wp:posOffset>
                </wp:positionH>
                <wp:positionV relativeFrom="paragraph">
                  <wp:posOffset>163407</wp:posOffset>
                </wp:positionV>
                <wp:extent cx="6492240" cy="0"/>
                <wp:effectExtent l="0" t="0" r="0" b="0"/>
                <wp:wrapNone/>
                <wp:docPr id="1281716670"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2240" cy="0"/>
                        </a:xfrm>
                        <a:prstGeom prst="straightConnector1">
                          <a:avLst/>
                        </a:prstGeom>
                        <a:noFill/>
                        <a:ln w="9525">
                          <a:solidFill>
                            <a:schemeClr val="tx1">
                              <a:lumMod val="75000"/>
                              <a:lumOff val="2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B0AF737" id="_x0000_t32" coordsize="21600,21600" o:spt="32" o:oned="t" path="m,l21600,21600e" filled="f">
                <v:path arrowok="t" fillok="f" o:connecttype="none"/>
                <o:lock v:ext="edit" shapetype="t"/>
              </v:shapetype>
              <v:shape id="AutoShape 5" o:spid="_x0000_s1026" type="#_x0000_t32" style="position:absolute;margin-left:-1pt;margin-top:12.85pt;width:511.2pt;height:0;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0M10AEAAJADAAAOAAAAZHJzL2Uyb0RvYy54bWysU01v2zAMvQ/YfxB0X+wYTbcacXpI1126&#10;LUC7H8DIsi1MFgVJiZ1/P0qOva9b0Ysgkebj4+Pz9n7sNTtL5xWaiq9XOWfSCKyVaSv+4+XxwyfO&#10;fABTg0YjK36Rnt/v3r/bDraUBXaoa+kYgRhfDrbiXQi2zDIvOtmDX6GVhpINuh4CPV2b1Q4GQu91&#10;VuT5bTagq61DIb2n6MOU5LuE3zRShO9N42VguuLELaTTpfMYz2y3hbJ1YDslrjTgFSx6UIaaLlAP&#10;EICdnPoPqlfCoccmrAT2GTaNEjLNQNOs83+mee7AyjQLiePtIpN/O1jx7bw3Bxepi9E82ycUPz0z&#10;uO/AtDIReLlYWtw6SpUN1pdLSXx4e3DsOHzFmr6BU8Ckwti4PkLSfGxMYl8WseUYmKDg7c1dUdzQ&#10;TsScy6CcC63z4YvEnsVLxX1woNou7NEYWim6dWoD5ycfIi0o54LY1eCj0jptVhs2VPxuU2xSgUet&#10;6piMnyWPyb127AzkjjBOoPrU0zRT7OMmz68eoTA5aQoXc5gaLyiJxl8NHJ5MnWh0EurP13sApac7&#10;VWtzFTXqGE3ryyPWl4Obxaa1J+CrRaOv/nyn6t8/0u4XAAAA//8DAFBLAwQUAAYACAAAACEAvPB3&#10;SN4AAAAJAQAADwAAAGRycy9kb3ducmV2LnhtbEyPwU7DMBBE70j9B2uRuKDWbkRpG+JUCAnRE1Jb&#10;RK9OvCQR9jqy3TT8Pa56gOPsrGbeFJvRGjagD50jCfOZAIZUO91RI+Hj8DpdAQtRkVbGEUr4wQCb&#10;cnJTqFy7M+1w2MeGpRAKuZLQxtjnnIe6RavCzPVIyfty3qqYpG+49uqcwq3hmRCP3KqOUkOrenxp&#10;sf7en6yE+5UfzbZaHj4rH4UdFsf3tzVJeXc7Pj8BizjGv2e44Cd0KBNT5U6kAzMSplmaEiVkiyWw&#10;iy8y8QCsul54WfD/C8pfAAAA//8DAFBLAQItABQABgAIAAAAIQC2gziS/gAAAOEBAAATAAAAAAAA&#10;AAAAAAAAAAAAAABbQ29udGVudF9UeXBlc10ueG1sUEsBAi0AFAAGAAgAAAAhADj9If/WAAAAlAEA&#10;AAsAAAAAAAAAAAAAAAAALwEAAF9yZWxzLy5yZWxzUEsBAi0AFAAGAAgAAAAhAGP3QzXQAQAAkAMA&#10;AA4AAAAAAAAAAAAAAAAALgIAAGRycy9lMm9Eb2MueG1sUEsBAi0AFAAGAAgAAAAhALzwd0jeAAAA&#10;CQEAAA8AAAAAAAAAAAAAAAAAKgQAAGRycy9kb3ducmV2LnhtbFBLBQYAAAAABAAEAPMAAAA1BQAA&#10;AAA=&#10;" strokecolor="#404040 [2429]">
                <w10:wrap anchorx="margin"/>
              </v:shape>
            </w:pict>
          </mc:Fallback>
        </mc:AlternateContent>
      </w:r>
      <w:r w:rsidRPr="00CD4BAE">
        <w:rPr>
          <w:color w:val="8CA4A4" w:themeColor="accent5"/>
          <w:sz w:val="22"/>
          <w:szCs w:val="22"/>
          <w:highlight w:val="cyan"/>
        </w:rPr>
        <w:t>Affiliate Fees</w:t>
      </w:r>
      <w:bookmarkEnd w:id="40"/>
    </w:p>
    <w:p w14:paraId="0F0778E4" w14:textId="427F9914" w:rsidR="005F6840" w:rsidRDefault="00C572C1" w:rsidP="005F6840">
      <w:pPr>
        <w:jc w:val="both"/>
        <w:rPr>
          <w:rFonts w:eastAsia="Calibri"/>
          <w:color w:val="404040" w:themeColor="text1" w:themeTint="BF"/>
        </w:rPr>
      </w:pPr>
      <w:r>
        <w:rPr>
          <w:rFonts w:eastAsia="Calibri"/>
          <w:color w:val="404040" w:themeColor="text1" w:themeTint="BF"/>
        </w:rPr>
        <w:t xml:space="preserve">Bridge will provide </w:t>
      </w:r>
      <w:r w:rsidR="00080E3F">
        <w:rPr>
          <w:rFonts w:eastAsia="Calibri"/>
          <w:color w:val="404040" w:themeColor="text1" w:themeTint="BF"/>
        </w:rPr>
        <w:t xml:space="preserve">and be compensated for certain property level </w:t>
      </w:r>
      <w:r w:rsidR="002076A1">
        <w:rPr>
          <w:rFonts w:eastAsia="Calibri"/>
          <w:color w:val="404040" w:themeColor="text1" w:themeTint="BF"/>
        </w:rPr>
        <w:t xml:space="preserve">services </w:t>
      </w:r>
      <w:r w:rsidR="00256719" w:rsidRPr="00A3470B">
        <w:rPr>
          <w:rFonts w:eastAsia="Calibri"/>
          <w:color w:val="404040" w:themeColor="text1" w:themeTint="BF"/>
        </w:rPr>
        <w:t xml:space="preserve">necessary to execute the strategy. This is standard practice for vertically integrated fund sponsors and the fees are considered within </w:t>
      </w:r>
      <w:r w:rsidR="0030680B" w:rsidRPr="00A3470B">
        <w:rPr>
          <w:rFonts w:eastAsia="Calibri"/>
          <w:color w:val="404040" w:themeColor="text1" w:themeTint="BF"/>
        </w:rPr>
        <w:t>the</w:t>
      </w:r>
      <w:r w:rsidR="00FA2C4F" w:rsidRPr="00A3470B">
        <w:rPr>
          <w:rFonts w:eastAsia="Calibri"/>
          <w:color w:val="404040" w:themeColor="text1" w:themeTint="BF"/>
        </w:rPr>
        <w:t xml:space="preserve"> standard</w:t>
      </w:r>
      <w:r w:rsidR="0030680B" w:rsidRPr="00A3470B">
        <w:rPr>
          <w:rFonts w:eastAsia="Calibri"/>
          <w:color w:val="404040" w:themeColor="text1" w:themeTint="BF"/>
        </w:rPr>
        <w:t xml:space="preserve"> range of market with respect to </w:t>
      </w:r>
      <w:r w:rsidR="00FA2C4F" w:rsidRPr="00A3470B">
        <w:rPr>
          <w:rFonts w:eastAsia="Calibri"/>
          <w:color w:val="404040" w:themeColor="text1" w:themeTint="BF"/>
        </w:rPr>
        <w:t>defined</w:t>
      </w:r>
      <w:r w:rsidR="0030680B" w:rsidRPr="00A3470B">
        <w:rPr>
          <w:rFonts w:eastAsia="Calibri"/>
          <w:color w:val="404040" w:themeColor="text1" w:themeTint="BF"/>
        </w:rPr>
        <w:t xml:space="preserve"> fees paid to </w:t>
      </w:r>
      <w:r w:rsidR="00FA2C4F" w:rsidRPr="00A3470B">
        <w:rPr>
          <w:rFonts w:eastAsia="Calibri"/>
          <w:color w:val="404040" w:themeColor="text1" w:themeTint="BF"/>
        </w:rPr>
        <w:t xml:space="preserve">service affiliates or </w:t>
      </w:r>
      <w:r w:rsidR="006C4D7A" w:rsidRPr="00A3470B">
        <w:rPr>
          <w:rFonts w:eastAsia="Calibri"/>
          <w:color w:val="404040" w:themeColor="text1" w:themeTint="BF"/>
        </w:rPr>
        <w:t>the sponsor</w:t>
      </w:r>
      <w:r w:rsidR="006C4D7A">
        <w:rPr>
          <w:rFonts w:eastAsia="Calibri"/>
          <w:color w:val="404040" w:themeColor="text1" w:themeTint="BF"/>
        </w:rPr>
        <w:t xml:space="preserve"> itself. </w:t>
      </w:r>
      <w:r w:rsidR="003A3634">
        <w:rPr>
          <w:rFonts w:eastAsia="Calibri"/>
          <w:color w:val="404040" w:themeColor="text1" w:themeTint="BF"/>
        </w:rPr>
        <w:t xml:space="preserve">A </w:t>
      </w:r>
      <w:r w:rsidR="000A3AAF">
        <w:rPr>
          <w:rFonts w:eastAsia="Calibri"/>
          <w:color w:val="404040" w:themeColor="text1" w:themeTint="BF"/>
        </w:rPr>
        <w:t xml:space="preserve">more comprehensive summary of the proposed affiliate fee rates is included </w:t>
      </w:r>
      <w:r w:rsidR="000A3AAF" w:rsidRPr="00A3470B">
        <w:rPr>
          <w:rFonts w:eastAsia="Calibri"/>
          <w:color w:val="404040" w:themeColor="text1" w:themeTint="BF"/>
        </w:rPr>
        <w:t xml:space="preserve">in </w:t>
      </w:r>
      <w:r w:rsidR="000A3AAF" w:rsidRPr="00A3470B">
        <w:rPr>
          <w:rFonts w:eastAsia="Calibri"/>
          <w:b/>
          <w:bCs/>
          <w:color w:val="404040" w:themeColor="text1" w:themeTint="BF"/>
        </w:rPr>
        <w:t xml:space="preserve">Exhibit </w:t>
      </w:r>
      <w:r w:rsidR="00A3470B" w:rsidRPr="00A3470B">
        <w:rPr>
          <w:rFonts w:eastAsia="Calibri"/>
          <w:b/>
          <w:bCs/>
          <w:color w:val="404040" w:themeColor="text1" w:themeTint="BF"/>
        </w:rPr>
        <w:t>G</w:t>
      </w:r>
      <w:r w:rsidR="000A3AAF" w:rsidRPr="00A3470B">
        <w:rPr>
          <w:rFonts w:eastAsia="Calibri"/>
          <w:b/>
          <w:bCs/>
          <w:color w:val="404040" w:themeColor="text1" w:themeTint="BF"/>
        </w:rPr>
        <w:t>.</w:t>
      </w:r>
    </w:p>
    <w:p w14:paraId="6B04C573" w14:textId="2B6C3610" w:rsidR="006C4D7A" w:rsidRDefault="006C4D7A" w:rsidP="00A91DCC">
      <w:pPr>
        <w:pStyle w:val="ListParagraph"/>
        <w:numPr>
          <w:ilvl w:val="0"/>
          <w:numId w:val="7"/>
        </w:numPr>
        <w:jc w:val="both"/>
        <w:rPr>
          <w:rFonts w:eastAsia="Calibri"/>
          <w:color w:val="404040" w:themeColor="text1" w:themeTint="BF"/>
        </w:rPr>
      </w:pPr>
      <w:r>
        <w:rPr>
          <w:rFonts w:eastAsia="Calibri"/>
          <w:color w:val="404040" w:themeColor="text1" w:themeTint="BF"/>
        </w:rPr>
        <w:t xml:space="preserve">Development </w:t>
      </w:r>
      <w:r w:rsidR="008E0F1D">
        <w:rPr>
          <w:rFonts w:eastAsia="Calibri"/>
          <w:color w:val="404040" w:themeColor="text1" w:themeTint="BF"/>
        </w:rPr>
        <w:t xml:space="preserve">management is subject to a 4% fee on budgeted hard and managed soft costs excluding land, loan interest reserve, and the fee itself. </w:t>
      </w:r>
    </w:p>
    <w:p w14:paraId="52A5394D" w14:textId="5FA2771B" w:rsidR="00163BC3" w:rsidRPr="00CD4BAE" w:rsidRDefault="00BB0D5D" w:rsidP="00A91DCC">
      <w:pPr>
        <w:pStyle w:val="ListParagraph"/>
        <w:numPr>
          <w:ilvl w:val="1"/>
          <w:numId w:val="7"/>
        </w:numPr>
        <w:jc w:val="both"/>
        <w:rPr>
          <w:rFonts w:eastAsia="Calibri"/>
          <w:color w:val="404040" w:themeColor="text1" w:themeTint="BF"/>
          <w:highlight w:val="red"/>
        </w:rPr>
      </w:pPr>
      <w:r w:rsidRPr="00CD4BAE">
        <w:rPr>
          <w:rFonts w:eastAsia="Calibri"/>
          <w:color w:val="404040" w:themeColor="text1" w:themeTint="BF"/>
          <w:highlight w:val="red"/>
        </w:rPr>
        <w:t>Certain c</w:t>
      </w:r>
      <w:r w:rsidR="00163BC3" w:rsidRPr="00CD4BAE">
        <w:rPr>
          <w:rFonts w:eastAsia="Calibri"/>
          <w:color w:val="404040" w:themeColor="text1" w:themeTint="BF"/>
          <w:highlight w:val="red"/>
        </w:rPr>
        <w:t>ost overruns would be funded by BLP up to an amount equal to 50% of the Dev fee</w:t>
      </w:r>
      <w:r w:rsidR="003A3634" w:rsidRPr="00CD4BAE">
        <w:rPr>
          <w:rFonts w:eastAsia="Calibri"/>
          <w:color w:val="404040" w:themeColor="text1" w:themeTint="BF"/>
          <w:highlight w:val="red"/>
        </w:rPr>
        <w:t>.</w:t>
      </w:r>
    </w:p>
    <w:p w14:paraId="69705FC8" w14:textId="77777777" w:rsidR="00981834" w:rsidRDefault="00D32554" w:rsidP="00A91DCC">
      <w:pPr>
        <w:pStyle w:val="ListParagraph"/>
        <w:numPr>
          <w:ilvl w:val="0"/>
          <w:numId w:val="7"/>
        </w:numPr>
        <w:jc w:val="both"/>
        <w:rPr>
          <w:rFonts w:eastAsia="Calibri"/>
          <w:color w:val="404040" w:themeColor="text1" w:themeTint="BF"/>
        </w:rPr>
      </w:pPr>
      <w:r>
        <w:rPr>
          <w:rFonts w:eastAsia="Calibri"/>
          <w:color w:val="404040" w:themeColor="text1" w:themeTint="BF"/>
        </w:rPr>
        <w:t>Construction management (</w:t>
      </w:r>
      <w:r w:rsidR="002617BF" w:rsidRPr="00CD4BAE">
        <w:rPr>
          <w:rFonts w:eastAsia="Calibri"/>
          <w:color w:val="404040" w:themeColor="text1" w:themeTint="BF"/>
          <w:highlight w:val="red"/>
        </w:rPr>
        <w:t>post-CO capital improvements)</w:t>
      </w:r>
      <w:r w:rsidR="002617BF">
        <w:rPr>
          <w:rFonts w:eastAsia="Calibri"/>
          <w:color w:val="404040" w:themeColor="text1" w:themeTint="BF"/>
        </w:rPr>
        <w:t xml:space="preserve"> is subject to a fee of 5% for amounts up to </w:t>
      </w:r>
      <w:r w:rsidR="00981834">
        <w:rPr>
          <w:rFonts w:eastAsia="Calibri"/>
          <w:color w:val="404040" w:themeColor="text1" w:themeTint="BF"/>
        </w:rPr>
        <w:t>$</w:t>
      </w:r>
      <w:r w:rsidR="002617BF">
        <w:rPr>
          <w:rFonts w:eastAsia="Calibri"/>
          <w:color w:val="404040" w:themeColor="text1" w:themeTint="BF"/>
        </w:rPr>
        <w:t>200k</w:t>
      </w:r>
      <w:r w:rsidR="00981834">
        <w:rPr>
          <w:rFonts w:eastAsia="Calibri"/>
          <w:color w:val="404040" w:themeColor="text1" w:themeTint="BF"/>
        </w:rPr>
        <w:t>, 4% for amounts $200k-$500k, 3% for budgets greater than $500k.</w:t>
      </w:r>
    </w:p>
    <w:p w14:paraId="04D19449" w14:textId="2047AB0E" w:rsidR="005F6840" w:rsidRDefault="00981834" w:rsidP="00A91DCC">
      <w:pPr>
        <w:pStyle w:val="ListParagraph"/>
        <w:numPr>
          <w:ilvl w:val="0"/>
          <w:numId w:val="7"/>
        </w:numPr>
        <w:jc w:val="both"/>
        <w:rPr>
          <w:rFonts w:eastAsia="Calibri"/>
          <w:color w:val="404040" w:themeColor="text1" w:themeTint="BF"/>
        </w:rPr>
      </w:pPr>
      <w:r>
        <w:rPr>
          <w:rFonts w:eastAsia="Calibri"/>
          <w:color w:val="404040" w:themeColor="text1" w:themeTint="BF"/>
        </w:rPr>
        <w:t xml:space="preserve">Property management </w:t>
      </w:r>
      <w:r w:rsidR="00926E26">
        <w:rPr>
          <w:rFonts w:eastAsia="Calibri"/>
          <w:color w:val="404040" w:themeColor="text1" w:themeTint="BF"/>
        </w:rPr>
        <w:t xml:space="preserve">may occasionally be performed by Bridge at a negotiated market rate but is expected to be </w:t>
      </w:r>
      <w:r w:rsidR="0018719A" w:rsidRPr="00CB0CED">
        <w:rPr>
          <w:rFonts w:eastAsia="Calibri"/>
          <w:color w:val="404040" w:themeColor="text1" w:themeTint="BF"/>
        </w:rPr>
        <w:t xml:space="preserve">conducted in most cases by third parties at arm’s length rates. Leasing will be conducted by third party agents with </w:t>
      </w:r>
      <w:r w:rsidR="006B1613" w:rsidRPr="00CB0CED">
        <w:rPr>
          <w:rFonts w:eastAsia="Calibri"/>
          <w:color w:val="404040" w:themeColor="text1" w:themeTint="BF"/>
        </w:rPr>
        <w:t>Bridge oversigh</w:t>
      </w:r>
      <w:r w:rsidR="0089098A">
        <w:rPr>
          <w:rFonts w:eastAsia="Calibri"/>
          <w:color w:val="404040" w:themeColor="text1" w:themeTint="BF"/>
        </w:rPr>
        <w:t>t</w:t>
      </w:r>
      <w:r w:rsidR="00FC26A5">
        <w:rPr>
          <w:rFonts w:eastAsia="Calibri"/>
          <w:color w:val="404040" w:themeColor="text1" w:themeTint="BF"/>
        </w:rPr>
        <w:t xml:space="preserve">. </w:t>
      </w:r>
    </w:p>
    <w:p w14:paraId="799EF98C" w14:textId="77777777" w:rsidR="00A75476" w:rsidRPr="00A75476" w:rsidRDefault="00A75476" w:rsidP="00A75476">
      <w:pPr>
        <w:jc w:val="both"/>
        <w:rPr>
          <w:rFonts w:eastAsia="Calibri"/>
          <w:color w:val="404040" w:themeColor="text1" w:themeTint="BF"/>
        </w:rPr>
      </w:pPr>
    </w:p>
    <w:bookmarkStart w:id="41" w:name="_Toc179797299"/>
    <w:p w14:paraId="17AFDE1E" w14:textId="573CD1FA" w:rsidR="00FC2C30" w:rsidRPr="000449E2" w:rsidRDefault="000D7772" w:rsidP="00CD48F4">
      <w:pPr>
        <w:pStyle w:val="Heading2"/>
        <w:rPr>
          <w:color w:val="8CA4A4" w:themeColor="accent5"/>
          <w:sz w:val="22"/>
          <w:szCs w:val="22"/>
        </w:rPr>
      </w:pPr>
      <w:r w:rsidRPr="00CD4BAE">
        <w:rPr>
          <w:noProof/>
          <w:szCs w:val="22"/>
          <w:highlight w:val="red"/>
        </w:rPr>
        <mc:AlternateContent>
          <mc:Choice Requires="wps">
            <w:drawing>
              <wp:anchor distT="0" distB="0" distL="114300" distR="114300" simplePos="0" relativeHeight="251656192" behindDoc="0" locked="0" layoutInCell="1" allowOverlap="1" wp14:anchorId="2B6614E6" wp14:editId="063C7B06">
                <wp:simplePos x="0" y="0"/>
                <wp:positionH relativeFrom="margin">
                  <wp:posOffset>-12700</wp:posOffset>
                </wp:positionH>
                <wp:positionV relativeFrom="paragraph">
                  <wp:posOffset>163407</wp:posOffset>
                </wp:positionV>
                <wp:extent cx="6492240" cy="0"/>
                <wp:effectExtent l="0" t="0" r="0" b="0"/>
                <wp:wrapNone/>
                <wp:docPr id="70"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2240" cy="0"/>
                        </a:xfrm>
                        <a:prstGeom prst="straightConnector1">
                          <a:avLst/>
                        </a:prstGeom>
                        <a:noFill/>
                        <a:ln w="9525">
                          <a:solidFill>
                            <a:schemeClr val="tx1">
                              <a:lumMod val="75000"/>
                              <a:lumOff val="2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4C2A27" id="AutoShape 5" o:spid="_x0000_s1026" type="#_x0000_t32" style="position:absolute;margin-left:-1pt;margin-top:12.85pt;width:511.2pt;height:0;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0M10AEAAJADAAAOAAAAZHJzL2Uyb0RvYy54bWysU01v2zAMvQ/YfxB0X+wYTbcacXpI1126&#10;LUC7H8DIsi1MFgVJiZ1/P0qOva9b0Ysgkebj4+Pz9n7sNTtL5xWaiq9XOWfSCKyVaSv+4+XxwyfO&#10;fABTg0YjK36Rnt/v3r/bDraUBXaoa+kYgRhfDrbiXQi2zDIvOtmDX6GVhpINuh4CPV2b1Q4GQu91&#10;VuT5bTagq61DIb2n6MOU5LuE3zRShO9N42VguuLELaTTpfMYz2y3hbJ1YDslrjTgFSx6UIaaLlAP&#10;EICdnPoPqlfCoccmrAT2GTaNEjLNQNOs83+mee7AyjQLiePtIpN/O1jx7bw3Bxepi9E82ycUPz0z&#10;uO/AtDIReLlYWtw6SpUN1pdLSXx4e3DsOHzFmr6BU8Ckwti4PkLSfGxMYl8WseUYmKDg7c1dUdzQ&#10;TsScy6CcC63z4YvEnsVLxX1woNou7NEYWim6dWoD5ycfIi0o54LY1eCj0jptVhs2VPxuU2xSgUet&#10;6piMnyWPyb127AzkjjBOoPrU0zRT7OMmz68eoTA5aQoXc5gaLyiJxl8NHJ5MnWh0EurP13sApac7&#10;VWtzFTXqGE3ryyPWl4Obxaa1J+CrRaOv/nyn6t8/0u4XAAAA//8DAFBLAwQUAAYACAAAACEAvPB3&#10;SN4AAAAJAQAADwAAAGRycy9kb3ducmV2LnhtbEyPwU7DMBBE70j9B2uRuKDWbkRpG+JUCAnRE1Jb&#10;RK9OvCQR9jqy3TT8Pa56gOPsrGbeFJvRGjagD50jCfOZAIZUO91RI+Hj8DpdAQtRkVbGEUr4wQCb&#10;cnJTqFy7M+1w2MeGpRAKuZLQxtjnnIe6RavCzPVIyfty3qqYpG+49uqcwq3hmRCP3KqOUkOrenxp&#10;sf7en6yE+5UfzbZaHj4rH4UdFsf3tzVJeXc7Pj8BizjGv2e44Cd0KBNT5U6kAzMSplmaEiVkiyWw&#10;iy8y8QCsul54WfD/C8pfAAAA//8DAFBLAQItABQABgAIAAAAIQC2gziS/gAAAOEBAAATAAAAAAAA&#10;AAAAAAAAAAAAAABbQ29udGVudF9UeXBlc10ueG1sUEsBAi0AFAAGAAgAAAAhADj9If/WAAAAlAEA&#10;AAsAAAAAAAAAAAAAAAAALwEAAF9yZWxzLy5yZWxzUEsBAi0AFAAGAAgAAAAhAGP3QzXQAQAAkAMA&#10;AA4AAAAAAAAAAAAAAAAALgIAAGRycy9lMm9Eb2MueG1sUEsBAi0AFAAGAAgAAAAhALzwd0jeAAAA&#10;CQEAAA8AAAAAAAAAAAAAAAAAKgQAAGRycy9kb3ducmV2LnhtbFBLBQYAAAAABAAEAPMAAAA1BQAA&#10;AAA=&#10;" strokecolor="#404040 [2429]">
                <w10:wrap anchorx="margin"/>
              </v:shape>
            </w:pict>
          </mc:Fallback>
        </mc:AlternateContent>
      </w:r>
      <w:r w:rsidR="0070073B" w:rsidRPr="00CD4BAE">
        <w:rPr>
          <w:color w:val="8CA4A4" w:themeColor="accent5"/>
          <w:sz w:val="22"/>
          <w:szCs w:val="22"/>
          <w:highlight w:val="red"/>
        </w:rPr>
        <w:t>Exclusivity/Allocations</w:t>
      </w:r>
      <w:bookmarkEnd w:id="41"/>
    </w:p>
    <w:p w14:paraId="2989F204" w14:textId="5D5E2EE3" w:rsidR="00D03C07" w:rsidRDefault="00B46C27" w:rsidP="007173D5">
      <w:pPr>
        <w:jc w:val="both"/>
        <w:rPr>
          <w:rFonts w:eastAsia="Calibri"/>
          <w:color w:val="404040" w:themeColor="text1" w:themeTint="BF"/>
        </w:rPr>
      </w:pPr>
      <w:r>
        <w:rPr>
          <w:rFonts w:eastAsia="Calibri"/>
          <w:color w:val="404040" w:themeColor="text1" w:themeTint="BF"/>
        </w:rPr>
        <w:t xml:space="preserve">The Fund is subject to a well-defined allocation policy and will be </w:t>
      </w:r>
      <w:r w:rsidR="00EF1542">
        <w:rPr>
          <w:rFonts w:eastAsia="Calibri"/>
          <w:color w:val="404040" w:themeColor="text1" w:themeTint="BF"/>
        </w:rPr>
        <w:t xml:space="preserve">Bridge’s </w:t>
      </w:r>
      <w:r w:rsidR="00A20427">
        <w:rPr>
          <w:rFonts w:eastAsia="Calibri"/>
          <w:color w:val="404040" w:themeColor="text1" w:themeTint="BF"/>
        </w:rPr>
        <w:t>exclusive account for executing longer-lived</w:t>
      </w:r>
      <w:r w:rsidR="00EF1542">
        <w:rPr>
          <w:rFonts w:eastAsia="Calibri"/>
          <w:color w:val="404040" w:themeColor="text1" w:themeTint="BF"/>
        </w:rPr>
        <w:t xml:space="preserve"> development strategies during its </w:t>
      </w:r>
      <w:r w:rsidR="00C16112">
        <w:rPr>
          <w:rFonts w:eastAsia="Calibri"/>
          <w:color w:val="404040" w:themeColor="text1" w:themeTint="BF"/>
        </w:rPr>
        <w:t>Commitment</w:t>
      </w:r>
      <w:r w:rsidR="00EF1542">
        <w:rPr>
          <w:rFonts w:eastAsia="Calibri"/>
          <w:color w:val="404040" w:themeColor="text1" w:themeTint="BF"/>
        </w:rPr>
        <w:t xml:space="preserve"> Period. </w:t>
      </w:r>
      <w:r w:rsidR="00E17694">
        <w:rPr>
          <w:rFonts w:eastAsia="Calibri"/>
          <w:color w:val="404040" w:themeColor="text1" w:themeTint="BF"/>
        </w:rPr>
        <w:t xml:space="preserve">Bridge’s Value fund series also </w:t>
      </w:r>
      <w:proofErr w:type="gramStart"/>
      <w:r w:rsidR="00E17694">
        <w:rPr>
          <w:rFonts w:eastAsia="Calibri"/>
          <w:color w:val="404040" w:themeColor="text1" w:themeTint="BF"/>
        </w:rPr>
        <w:t>has the ability to</w:t>
      </w:r>
      <w:proofErr w:type="gramEnd"/>
      <w:r w:rsidR="00E17694">
        <w:rPr>
          <w:rFonts w:eastAsia="Calibri"/>
          <w:color w:val="404040" w:themeColor="text1" w:themeTint="BF"/>
        </w:rPr>
        <w:t xml:space="preserve"> execute on development business </w:t>
      </w:r>
      <w:r w:rsidR="00797B77" w:rsidRPr="00CB0CED">
        <w:rPr>
          <w:rFonts w:eastAsia="Calibri"/>
          <w:color w:val="404040" w:themeColor="text1" w:themeTint="BF"/>
        </w:rPr>
        <w:t>plans,</w:t>
      </w:r>
      <w:r w:rsidR="00E17694" w:rsidRPr="00CB0CED">
        <w:rPr>
          <w:rFonts w:eastAsia="Calibri"/>
          <w:color w:val="404040" w:themeColor="text1" w:themeTint="BF"/>
        </w:rPr>
        <w:t xml:space="preserve"> but</w:t>
      </w:r>
      <w:r w:rsidR="00ED5E71" w:rsidRPr="00CB0CED">
        <w:rPr>
          <w:rFonts w:eastAsia="Calibri"/>
          <w:color w:val="404040" w:themeColor="text1" w:themeTint="BF"/>
        </w:rPr>
        <w:t xml:space="preserve"> development</w:t>
      </w:r>
      <w:r w:rsidR="00E17694" w:rsidRPr="00CB0CED">
        <w:rPr>
          <w:rFonts w:eastAsia="Calibri"/>
          <w:color w:val="404040" w:themeColor="text1" w:themeTint="BF"/>
        </w:rPr>
        <w:t xml:space="preserve"> is limited to 35% of </w:t>
      </w:r>
      <w:r w:rsidR="00403D54" w:rsidRPr="00CB0CED">
        <w:rPr>
          <w:rFonts w:eastAsia="Calibri"/>
          <w:color w:val="404040" w:themeColor="text1" w:themeTint="BF"/>
        </w:rPr>
        <w:t xml:space="preserve">its total </w:t>
      </w:r>
      <w:r w:rsidR="00ED5E71" w:rsidRPr="00CB0CED">
        <w:rPr>
          <w:rFonts w:eastAsia="Calibri"/>
          <w:color w:val="404040" w:themeColor="text1" w:themeTint="BF"/>
        </w:rPr>
        <w:t xml:space="preserve">equity </w:t>
      </w:r>
      <w:r w:rsidR="00403D54" w:rsidRPr="00CB0CED">
        <w:rPr>
          <w:rFonts w:eastAsia="Calibri"/>
          <w:color w:val="404040" w:themeColor="text1" w:themeTint="BF"/>
        </w:rPr>
        <w:t>commitments and focuses on smaller development transactions with shorter time horizons</w:t>
      </w:r>
      <w:r w:rsidR="00BA75BC" w:rsidRPr="00CB0CED">
        <w:rPr>
          <w:rFonts w:eastAsia="Calibri"/>
          <w:color w:val="404040" w:themeColor="text1" w:themeTint="BF"/>
        </w:rPr>
        <w:t>. The DTC Fund will have formal priority on all sites with a land price greater than $</w:t>
      </w:r>
      <w:r w:rsidR="00CB0CED" w:rsidRPr="00CB0CED">
        <w:rPr>
          <w:rFonts w:eastAsia="Calibri"/>
          <w:color w:val="404040" w:themeColor="text1" w:themeTint="BF"/>
        </w:rPr>
        <w:t>50</w:t>
      </w:r>
      <w:r w:rsidR="00BA75BC" w:rsidRPr="00CB0CED">
        <w:rPr>
          <w:rFonts w:eastAsia="Calibri"/>
          <w:color w:val="404040" w:themeColor="text1" w:themeTint="BF"/>
        </w:rPr>
        <w:t xml:space="preserve"> million</w:t>
      </w:r>
      <w:r w:rsidR="0066719A" w:rsidRPr="00CB0CED">
        <w:rPr>
          <w:rFonts w:eastAsia="Calibri"/>
          <w:color w:val="404040" w:themeColor="text1" w:themeTint="BF"/>
        </w:rPr>
        <w:t xml:space="preserve">, with multiphase execution, and/or with total project stabilization exceeding 36 months. </w:t>
      </w:r>
      <w:r w:rsidR="00783523" w:rsidRPr="00CB0CED">
        <w:rPr>
          <w:rFonts w:eastAsia="Calibri"/>
          <w:color w:val="404040" w:themeColor="text1" w:themeTint="BF"/>
        </w:rPr>
        <w:t xml:space="preserve">Given </w:t>
      </w:r>
      <w:r w:rsidR="00797B77" w:rsidRPr="00CB0CED">
        <w:rPr>
          <w:rFonts w:eastAsia="Calibri"/>
          <w:color w:val="404040" w:themeColor="text1" w:themeTint="BF"/>
        </w:rPr>
        <w:t xml:space="preserve">the </w:t>
      </w:r>
      <w:r w:rsidR="00582F7D" w:rsidRPr="00CB0CED">
        <w:rPr>
          <w:rFonts w:eastAsia="Calibri"/>
          <w:color w:val="404040" w:themeColor="text1" w:themeTint="BF"/>
        </w:rPr>
        <w:t>formal limit on development in the Value series, it is expected Bridge will make some smaller opportunities available to the DTC Fund</w:t>
      </w:r>
      <w:r w:rsidR="00743CCD" w:rsidRPr="00CB0CED">
        <w:rPr>
          <w:rStyle w:val="FootnoteReference"/>
          <w:rFonts w:eastAsia="Calibri"/>
          <w:color w:val="404040" w:themeColor="text1" w:themeTint="BF"/>
        </w:rPr>
        <w:footnoteReference w:id="5"/>
      </w:r>
      <w:r w:rsidR="00582F7D" w:rsidRPr="00CB0CED">
        <w:rPr>
          <w:rFonts w:eastAsia="Calibri"/>
          <w:color w:val="404040" w:themeColor="text1" w:themeTint="BF"/>
        </w:rPr>
        <w:t>.</w:t>
      </w:r>
      <w:r w:rsidR="00BF3C03" w:rsidRPr="00CB0CED">
        <w:rPr>
          <w:rFonts w:eastAsia="Calibri"/>
          <w:color w:val="404040" w:themeColor="text1" w:themeTint="BF"/>
        </w:rPr>
        <w:t xml:space="preserve"> A more detailed </w:t>
      </w:r>
      <w:r w:rsidR="004045E7" w:rsidRPr="00CB0CED">
        <w:rPr>
          <w:rFonts w:eastAsia="Calibri"/>
          <w:color w:val="404040" w:themeColor="text1" w:themeTint="BF"/>
        </w:rPr>
        <w:t>overview</w:t>
      </w:r>
      <w:r w:rsidR="00BF3C03" w:rsidRPr="00CB0CED">
        <w:rPr>
          <w:rFonts w:eastAsia="Calibri"/>
          <w:color w:val="404040" w:themeColor="text1" w:themeTint="BF"/>
        </w:rPr>
        <w:t xml:space="preserve"> of </w:t>
      </w:r>
      <w:r w:rsidR="004045E7" w:rsidRPr="00CB0CED">
        <w:rPr>
          <w:rFonts w:eastAsia="Calibri"/>
          <w:color w:val="404040" w:themeColor="text1" w:themeTint="BF"/>
        </w:rPr>
        <w:t>the informal strategy criteria separating this account from the Value series</w:t>
      </w:r>
      <w:r w:rsidR="004045E7">
        <w:rPr>
          <w:rFonts w:eastAsia="Calibri"/>
          <w:color w:val="404040" w:themeColor="text1" w:themeTint="BF"/>
        </w:rPr>
        <w:t xml:space="preserve"> is included </w:t>
      </w:r>
      <w:r w:rsidR="004045E7" w:rsidRPr="00A3470B">
        <w:rPr>
          <w:rFonts w:eastAsia="Calibri"/>
          <w:color w:val="404040" w:themeColor="text1" w:themeTint="BF"/>
        </w:rPr>
        <w:t xml:space="preserve">in </w:t>
      </w:r>
      <w:r w:rsidR="004045E7" w:rsidRPr="00A3470B">
        <w:rPr>
          <w:rFonts w:eastAsia="Calibri"/>
          <w:b/>
          <w:bCs/>
          <w:color w:val="404040" w:themeColor="text1" w:themeTint="BF"/>
        </w:rPr>
        <w:t xml:space="preserve">Exhibit </w:t>
      </w:r>
      <w:r w:rsidR="00A3470B" w:rsidRPr="00A3470B">
        <w:rPr>
          <w:rFonts w:eastAsia="Calibri"/>
          <w:b/>
          <w:bCs/>
          <w:color w:val="404040" w:themeColor="text1" w:themeTint="BF"/>
        </w:rPr>
        <w:t>H.</w:t>
      </w:r>
    </w:p>
    <w:p w14:paraId="52FD7CFB" w14:textId="77777777" w:rsidR="00C923AD" w:rsidRPr="001C25A7" w:rsidRDefault="00C923AD" w:rsidP="00C42D2D">
      <w:pPr>
        <w:jc w:val="both"/>
        <w:rPr>
          <w:color w:val="404040" w:themeColor="text1" w:themeTint="BF"/>
          <w:szCs w:val="22"/>
        </w:rPr>
      </w:pPr>
      <w:bookmarkStart w:id="42" w:name="_Toc413830806"/>
    </w:p>
    <w:bookmarkStart w:id="43" w:name="_Toc179797300"/>
    <w:p w14:paraId="40AEE14D" w14:textId="73C141A5" w:rsidR="00C42D2D" w:rsidRPr="001C25A7" w:rsidRDefault="00C42D2D" w:rsidP="00C42D2D">
      <w:pPr>
        <w:pStyle w:val="Heading2"/>
        <w:rPr>
          <w:color w:val="8CA4A4" w:themeColor="accent5"/>
          <w:sz w:val="22"/>
          <w:szCs w:val="22"/>
        </w:rPr>
      </w:pPr>
      <w:r w:rsidRPr="001C25A7">
        <w:rPr>
          <w:noProof/>
          <w:szCs w:val="22"/>
        </w:rPr>
        <mc:AlternateContent>
          <mc:Choice Requires="wps">
            <w:drawing>
              <wp:anchor distT="0" distB="0" distL="114300" distR="114300" simplePos="0" relativeHeight="251668480" behindDoc="0" locked="0" layoutInCell="1" allowOverlap="1" wp14:anchorId="60364439" wp14:editId="1CE41D45">
                <wp:simplePos x="0" y="0"/>
                <wp:positionH relativeFrom="margin">
                  <wp:posOffset>-12700</wp:posOffset>
                </wp:positionH>
                <wp:positionV relativeFrom="paragraph">
                  <wp:posOffset>163407</wp:posOffset>
                </wp:positionV>
                <wp:extent cx="6492240" cy="0"/>
                <wp:effectExtent l="0" t="0" r="0" b="0"/>
                <wp:wrapNone/>
                <wp:docPr id="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2240" cy="0"/>
                        </a:xfrm>
                        <a:prstGeom prst="straightConnector1">
                          <a:avLst/>
                        </a:prstGeom>
                        <a:noFill/>
                        <a:ln w="9525">
                          <a:solidFill>
                            <a:schemeClr val="tx1">
                              <a:lumMod val="75000"/>
                              <a:lumOff val="2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76E793" id="AutoShape 5" o:spid="_x0000_s1026" type="#_x0000_t32" style="position:absolute;margin-left:-1pt;margin-top:12.85pt;width:511.2pt;height:0;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0M10AEAAJADAAAOAAAAZHJzL2Uyb0RvYy54bWysU01v2zAMvQ/YfxB0X+wYTbcacXpI1126&#10;LUC7H8DIsi1MFgVJiZ1/P0qOva9b0Ysgkebj4+Pz9n7sNTtL5xWaiq9XOWfSCKyVaSv+4+XxwyfO&#10;fABTg0YjK36Rnt/v3r/bDraUBXaoa+kYgRhfDrbiXQi2zDIvOtmDX6GVhpINuh4CPV2b1Q4GQu91&#10;VuT5bTagq61DIb2n6MOU5LuE3zRShO9N42VguuLELaTTpfMYz2y3hbJ1YDslrjTgFSx6UIaaLlAP&#10;EICdnPoPqlfCoccmrAT2GTaNEjLNQNOs83+mee7AyjQLiePtIpN/O1jx7bw3Bxepi9E82ycUPz0z&#10;uO/AtDIReLlYWtw6SpUN1pdLSXx4e3DsOHzFmr6BU8Ckwti4PkLSfGxMYl8WseUYmKDg7c1dUdzQ&#10;TsScy6CcC63z4YvEnsVLxX1woNou7NEYWim6dWoD5ycfIi0o54LY1eCj0jptVhs2VPxuU2xSgUet&#10;6piMnyWPyb127AzkjjBOoPrU0zRT7OMmz68eoTA5aQoXc5gaLyiJxl8NHJ5MnWh0EurP13sApac7&#10;VWtzFTXqGE3ryyPWl4Obxaa1J+CrRaOv/nyn6t8/0u4XAAAA//8DAFBLAwQUAAYACAAAACEAvPB3&#10;SN4AAAAJAQAADwAAAGRycy9kb3ducmV2LnhtbEyPwU7DMBBE70j9B2uRuKDWbkRpG+JUCAnRE1Jb&#10;RK9OvCQR9jqy3TT8Pa56gOPsrGbeFJvRGjagD50jCfOZAIZUO91RI+Hj8DpdAQtRkVbGEUr4wQCb&#10;cnJTqFy7M+1w2MeGpRAKuZLQxtjnnIe6RavCzPVIyfty3qqYpG+49uqcwq3hmRCP3KqOUkOrenxp&#10;sf7en6yE+5UfzbZaHj4rH4UdFsf3tzVJeXc7Pj8BizjGv2e44Cd0KBNT5U6kAzMSplmaEiVkiyWw&#10;iy8y8QCsul54WfD/C8pfAAAA//8DAFBLAQItABQABgAIAAAAIQC2gziS/gAAAOEBAAATAAAAAAAA&#10;AAAAAAAAAAAAAABbQ29udGVudF9UeXBlc10ueG1sUEsBAi0AFAAGAAgAAAAhADj9If/WAAAAlAEA&#10;AAsAAAAAAAAAAAAAAAAALwEAAF9yZWxzLy5yZWxzUEsBAi0AFAAGAAgAAAAhAGP3QzXQAQAAkAMA&#10;AA4AAAAAAAAAAAAAAAAALgIAAGRycy9lMm9Eb2MueG1sUEsBAi0AFAAGAAgAAAAhALzwd0jeAAAA&#10;CQEAAA8AAAAAAAAAAAAAAAAAKgQAAGRycy9kb3ducmV2LnhtbFBLBQYAAAAABAAEAPMAAAA1BQAA&#10;AAA=&#10;" strokecolor="#404040 [2429]">
                <w10:wrap anchorx="margin"/>
              </v:shape>
            </w:pict>
          </mc:Fallback>
        </mc:AlternateContent>
      </w:r>
      <w:r w:rsidRPr="001C25A7">
        <w:rPr>
          <w:color w:val="8CA4A4" w:themeColor="accent5"/>
          <w:sz w:val="22"/>
          <w:szCs w:val="22"/>
        </w:rPr>
        <w:t>Hedging</w:t>
      </w:r>
      <w:bookmarkEnd w:id="43"/>
    </w:p>
    <w:p w14:paraId="67EB58A2" w14:textId="66295AD3" w:rsidR="004C46D0" w:rsidRDefault="003B1CCD" w:rsidP="00A91DCC">
      <w:pPr>
        <w:pStyle w:val="ListParagraph"/>
        <w:numPr>
          <w:ilvl w:val="0"/>
          <w:numId w:val="9"/>
        </w:numPr>
        <w:jc w:val="both"/>
        <w:rPr>
          <w:color w:val="404040" w:themeColor="text1" w:themeTint="BF"/>
          <w:szCs w:val="22"/>
        </w:rPr>
      </w:pPr>
      <w:r>
        <w:rPr>
          <w:color w:val="404040" w:themeColor="text1" w:themeTint="BF"/>
          <w:szCs w:val="22"/>
        </w:rPr>
        <w:t xml:space="preserve">Currency: </w:t>
      </w:r>
      <w:r w:rsidR="009946C5">
        <w:rPr>
          <w:color w:val="404040" w:themeColor="text1" w:themeTint="BF"/>
          <w:szCs w:val="22"/>
        </w:rPr>
        <w:t>N/A, the Fund will invest in the U.S. and be USD denominated.</w:t>
      </w:r>
    </w:p>
    <w:p w14:paraId="70B20C11" w14:textId="1C1A98BD" w:rsidR="0093387C" w:rsidRPr="00CD4BAE" w:rsidRDefault="005D35EE" w:rsidP="00A91DCC">
      <w:pPr>
        <w:pStyle w:val="ListParagraph"/>
        <w:numPr>
          <w:ilvl w:val="0"/>
          <w:numId w:val="9"/>
        </w:numPr>
        <w:jc w:val="both"/>
        <w:rPr>
          <w:color w:val="404040" w:themeColor="text1" w:themeTint="BF"/>
          <w:szCs w:val="22"/>
          <w:highlight w:val="cyan"/>
        </w:rPr>
      </w:pPr>
      <w:r w:rsidRPr="00CD4BAE">
        <w:rPr>
          <w:color w:val="404040" w:themeColor="text1" w:themeTint="BF"/>
          <w:szCs w:val="22"/>
          <w:highlight w:val="cyan"/>
        </w:rPr>
        <w:t xml:space="preserve">Rates: </w:t>
      </w:r>
      <w:r w:rsidR="00011474" w:rsidRPr="00CD4BAE">
        <w:rPr>
          <w:color w:val="404040" w:themeColor="text1" w:themeTint="BF"/>
          <w:szCs w:val="22"/>
          <w:highlight w:val="cyan"/>
        </w:rPr>
        <w:t xml:space="preserve">While </w:t>
      </w:r>
      <w:r w:rsidR="009946C5" w:rsidRPr="00CD4BAE">
        <w:rPr>
          <w:color w:val="404040" w:themeColor="text1" w:themeTint="BF"/>
          <w:szCs w:val="22"/>
          <w:highlight w:val="cyan"/>
        </w:rPr>
        <w:t xml:space="preserve">construction loans will primarily be floating rate, </w:t>
      </w:r>
      <w:r w:rsidR="00890CFA" w:rsidRPr="00CD4BAE">
        <w:rPr>
          <w:color w:val="404040" w:themeColor="text1" w:themeTint="BF"/>
          <w:szCs w:val="22"/>
          <w:highlight w:val="cyan"/>
        </w:rPr>
        <w:t xml:space="preserve">BLP intends to use both caps and swaps to manage floating rate exposure and ultimately not have any pure/unhedged floating rate exposure. </w:t>
      </w:r>
    </w:p>
    <w:p w14:paraId="295594B7" w14:textId="77777777" w:rsidR="0081560A" w:rsidRPr="00084DDB" w:rsidRDefault="0081560A" w:rsidP="00084DDB">
      <w:pPr>
        <w:jc w:val="both"/>
        <w:rPr>
          <w:color w:val="404040" w:themeColor="text1" w:themeTint="BF"/>
          <w:szCs w:val="22"/>
        </w:rPr>
      </w:pPr>
    </w:p>
    <w:bookmarkStart w:id="44" w:name="_Toc179797301"/>
    <w:bookmarkEnd w:id="42"/>
    <w:p w14:paraId="7E829806" w14:textId="55ED30D4" w:rsidR="0070073B" w:rsidRPr="006F088B" w:rsidRDefault="0070073B" w:rsidP="0070073B">
      <w:pPr>
        <w:pStyle w:val="Heading2"/>
        <w:rPr>
          <w:color w:val="8CA4A4" w:themeColor="accent5"/>
          <w:sz w:val="22"/>
          <w:szCs w:val="22"/>
        </w:rPr>
      </w:pPr>
      <w:r w:rsidRPr="002A4FEE">
        <w:rPr>
          <w:noProof/>
          <w:szCs w:val="22"/>
        </w:rPr>
        <w:lastRenderedPageBreak/>
        <mc:AlternateContent>
          <mc:Choice Requires="wps">
            <w:drawing>
              <wp:anchor distT="0" distB="0" distL="114300" distR="114300" simplePos="0" relativeHeight="251660288" behindDoc="0" locked="0" layoutInCell="1" allowOverlap="1" wp14:anchorId="5A1A3063" wp14:editId="39BF2FB0">
                <wp:simplePos x="0" y="0"/>
                <wp:positionH relativeFrom="margin">
                  <wp:posOffset>-12700</wp:posOffset>
                </wp:positionH>
                <wp:positionV relativeFrom="paragraph">
                  <wp:posOffset>163407</wp:posOffset>
                </wp:positionV>
                <wp:extent cx="6492240" cy="0"/>
                <wp:effectExtent l="0" t="0" r="0" b="0"/>
                <wp:wrapNone/>
                <wp:docPr id="7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2240" cy="0"/>
                        </a:xfrm>
                        <a:prstGeom prst="straightConnector1">
                          <a:avLst/>
                        </a:prstGeom>
                        <a:noFill/>
                        <a:ln w="9525">
                          <a:solidFill>
                            <a:schemeClr val="tx1">
                              <a:lumMod val="75000"/>
                              <a:lumOff val="2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3426CD" id="AutoShape 5" o:spid="_x0000_s1026" type="#_x0000_t32" style="position:absolute;margin-left:-1pt;margin-top:12.85pt;width:511.2pt;height:0;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0M10AEAAJADAAAOAAAAZHJzL2Uyb0RvYy54bWysU01v2zAMvQ/YfxB0X+wYTbcacXpI1126&#10;LUC7H8DIsi1MFgVJiZ1/P0qOva9b0Ysgkebj4+Pz9n7sNTtL5xWaiq9XOWfSCKyVaSv+4+XxwyfO&#10;fABTg0YjK36Rnt/v3r/bDraUBXaoa+kYgRhfDrbiXQi2zDIvOtmDX6GVhpINuh4CPV2b1Q4GQu91&#10;VuT5bTagq61DIb2n6MOU5LuE3zRShO9N42VguuLELaTTpfMYz2y3hbJ1YDslrjTgFSx6UIaaLlAP&#10;EICdnPoPqlfCoccmrAT2GTaNEjLNQNOs83+mee7AyjQLiePtIpN/O1jx7bw3Bxepi9E82ycUPz0z&#10;uO/AtDIReLlYWtw6SpUN1pdLSXx4e3DsOHzFmr6BU8Ckwti4PkLSfGxMYl8WseUYmKDg7c1dUdzQ&#10;TsScy6CcC63z4YvEnsVLxX1woNou7NEYWim6dWoD5ycfIi0o54LY1eCj0jptVhs2VPxuU2xSgUet&#10;6piMnyWPyb127AzkjjBOoPrU0zRT7OMmz68eoTA5aQoXc5gaLyiJxl8NHJ5MnWh0EurP13sApac7&#10;VWtzFTXqGE3ryyPWl4Obxaa1J+CrRaOv/nyn6t8/0u4XAAAA//8DAFBLAwQUAAYACAAAACEAvPB3&#10;SN4AAAAJAQAADwAAAGRycy9kb3ducmV2LnhtbEyPwU7DMBBE70j9B2uRuKDWbkRpG+JUCAnRE1Jb&#10;RK9OvCQR9jqy3TT8Pa56gOPsrGbeFJvRGjagD50jCfOZAIZUO91RI+Hj8DpdAQtRkVbGEUr4wQCb&#10;cnJTqFy7M+1w2MeGpRAKuZLQxtjnnIe6RavCzPVIyfty3qqYpG+49uqcwq3hmRCP3KqOUkOrenxp&#10;sf7en6yE+5UfzbZaHj4rH4UdFsf3tzVJeXc7Pj8BizjGv2e44Cd0KBNT5U6kAzMSplmaEiVkiyWw&#10;iy8y8QCsul54WfD/C8pfAAAA//8DAFBLAQItABQABgAIAAAAIQC2gziS/gAAAOEBAAATAAAAAAAA&#10;AAAAAAAAAAAAAABbQ29udGVudF9UeXBlc10ueG1sUEsBAi0AFAAGAAgAAAAhADj9If/WAAAAlAEA&#10;AAsAAAAAAAAAAAAAAAAALwEAAF9yZWxzLy5yZWxzUEsBAi0AFAAGAAgAAAAhAGP3QzXQAQAAkAMA&#10;AA4AAAAAAAAAAAAAAAAALgIAAGRycy9lMm9Eb2MueG1sUEsBAi0AFAAGAAgAAAAhALzwd0jeAAAA&#10;CQEAAA8AAAAAAAAAAAAAAAAAKgQAAGRycy9kb3ducmV2LnhtbFBLBQYAAAAABAAEAPMAAAA1BQAA&#10;AAA=&#10;" strokecolor="#404040 [2429]">
                <w10:wrap anchorx="margin"/>
              </v:shape>
            </w:pict>
          </mc:Fallback>
        </mc:AlternateContent>
      </w:r>
      <w:r w:rsidRPr="002A4FEE">
        <w:rPr>
          <w:color w:val="8CA4A4" w:themeColor="accent5"/>
          <w:sz w:val="22"/>
          <w:szCs w:val="22"/>
        </w:rPr>
        <w:t>Valuations</w:t>
      </w:r>
      <w:bookmarkEnd w:id="44"/>
    </w:p>
    <w:p w14:paraId="4F48C004" w14:textId="6680CA69" w:rsidR="00491C0A" w:rsidRDefault="00AE1127" w:rsidP="00013F5E">
      <w:pPr>
        <w:jc w:val="both"/>
        <w:rPr>
          <w:color w:val="404040" w:themeColor="text1" w:themeTint="BF"/>
          <w:szCs w:val="22"/>
        </w:rPr>
      </w:pPr>
      <w:r>
        <w:rPr>
          <w:color w:val="404040" w:themeColor="text1" w:themeTint="BF"/>
          <w:szCs w:val="22"/>
        </w:rPr>
        <w:t xml:space="preserve">Asset valuations are prepared internally on a quarterly basis </w:t>
      </w:r>
      <w:r w:rsidR="001D0AFE">
        <w:rPr>
          <w:color w:val="404040" w:themeColor="text1" w:themeTint="BF"/>
          <w:szCs w:val="22"/>
        </w:rPr>
        <w:t xml:space="preserve">as maintained by the relevant asset management team </w:t>
      </w:r>
      <w:r w:rsidR="001D0AFE" w:rsidRPr="00F20BB6">
        <w:rPr>
          <w:color w:val="404040" w:themeColor="text1" w:themeTint="BF"/>
          <w:szCs w:val="22"/>
        </w:rPr>
        <w:t xml:space="preserve">or on specific occasions incorporating BOVs or </w:t>
      </w:r>
      <w:r w:rsidR="00A90985" w:rsidRPr="00F20BB6">
        <w:rPr>
          <w:color w:val="404040" w:themeColor="text1" w:themeTint="BF"/>
          <w:szCs w:val="22"/>
        </w:rPr>
        <w:t>third-party</w:t>
      </w:r>
      <w:r w:rsidR="00352577" w:rsidRPr="00F20BB6">
        <w:rPr>
          <w:color w:val="404040" w:themeColor="text1" w:themeTint="BF"/>
          <w:szCs w:val="22"/>
        </w:rPr>
        <w:t xml:space="preserve"> appraisal. There is no</w:t>
      </w:r>
      <w:r w:rsidR="004501C9" w:rsidRPr="00F20BB6">
        <w:rPr>
          <w:color w:val="404040" w:themeColor="text1" w:themeTint="BF"/>
          <w:szCs w:val="22"/>
        </w:rPr>
        <w:t xml:space="preserve"> </w:t>
      </w:r>
      <w:r w:rsidR="001A14B7" w:rsidRPr="00F20BB6">
        <w:rPr>
          <w:color w:val="404040" w:themeColor="text1" w:themeTint="BF"/>
          <w:szCs w:val="22"/>
        </w:rPr>
        <w:t>formal requirement for third party valuations on a regular or rotating basi</w:t>
      </w:r>
      <w:r w:rsidR="00B037D6" w:rsidRPr="00F20BB6">
        <w:rPr>
          <w:color w:val="404040" w:themeColor="text1" w:themeTint="BF"/>
          <w:szCs w:val="22"/>
        </w:rPr>
        <w:t xml:space="preserve">s; </w:t>
      </w:r>
      <w:r w:rsidR="00F935D6" w:rsidRPr="00F20BB6">
        <w:rPr>
          <w:color w:val="404040" w:themeColor="text1" w:themeTint="BF"/>
          <w:szCs w:val="22"/>
        </w:rPr>
        <w:t>the Manger has generally assessed that the</w:t>
      </w:r>
      <w:r w:rsidR="00F71ECA" w:rsidRPr="00F20BB6">
        <w:rPr>
          <w:color w:val="404040" w:themeColor="text1" w:themeTint="BF"/>
          <w:szCs w:val="22"/>
        </w:rPr>
        <w:t xml:space="preserve"> cost</w:t>
      </w:r>
      <w:r w:rsidR="009A1E8C" w:rsidRPr="00F20BB6">
        <w:rPr>
          <w:color w:val="404040" w:themeColor="text1" w:themeTint="BF"/>
          <w:szCs w:val="22"/>
        </w:rPr>
        <w:t xml:space="preserve"> of external valuations </w:t>
      </w:r>
      <w:r w:rsidR="00F71ECA" w:rsidRPr="00F20BB6">
        <w:rPr>
          <w:color w:val="404040" w:themeColor="text1" w:themeTint="BF"/>
          <w:szCs w:val="22"/>
        </w:rPr>
        <w:t>outweighs the benefit for closed-end vehicles</w:t>
      </w:r>
      <w:r w:rsidR="00E911F5" w:rsidRPr="00F20BB6">
        <w:rPr>
          <w:color w:val="404040" w:themeColor="text1" w:themeTint="BF"/>
          <w:szCs w:val="22"/>
        </w:rPr>
        <w:t xml:space="preserve">. Townsend would note there is a range of practices across the industry with respect to closed-end funds, with best practice considered conducting external valuations on a rotating basis such that assets are </w:t>
      </w:r>
      <w:r w:rsidR="00456A39" w:rsidRPr="00F20BB6">
        <w:rPr>
          <w:color w:val="404040" w:themeColor="text1" w:themeTint="BF"/>
          <w:szCs w:val="22"/>
        </w:rPr>
        <w:t xml:space="preserve">externally valued every three years or less. </w:t>
      </w:r>
      <w:r w:rsidR="008822FA" w:rsidRPr="00F20BB6">
        <w:rPr>
          <w:color w:val="404040" w:themeColor="text1" w:themeTint="BF"/>
          <w:szCs w:val="22"/>
        </w:rPr>
        <w:t xml:space="preserve">Bridge’s process includes </w:t>
      </w:r>
      <w:r w:rsidR="00E63736" w:rsidRPr="00F20BB6">
        <w:rPr>
          <w:color w:val="404040" w:themeColor="text1" w:themeTint="BF"/>
          <w:szCs w:val="22"/>
        </w:rPr>
        <w:t>review by an internal Valuation Committee</w:t>
      </w:r>
      <w:r w:rsidR="00534C5A" w:rsidRPr="00F20BB6">
        <w:rPr>
          <w:rStyle w:val="FootnoteReference"/>
          <w:color w:val="404040" w:themeColor="text1" w:themeTint="BF"/>
          <w:szCs w:val="22"/>
        </w:rPr>
        <w:footnoteReference w:id="6"/>
      </w:r>
      <w:r w:rsidR="00E63736" w:rsidRPr="00F20BB6">
        <w:rPr>
          <w:color w:val="404040" w:themeColor="text1" w:themeTint="BF"/>
          <w:szCs w:val="22"/>
        </w:rPr>
        <w:t xml:space="preserve"> that recommends valuations to the Bridge Investment Committee</w:t>
      </w:r>
      <w:r w:rsidR="00961188" w:rsidRPr="00F20BB6">
        <w:rPr>
          <w:color w:val="404040" w:themeColor="text1" w:themeTint="BF"/>
          <w:szCs w:val="22"/>
        </w:rPr>
        <w:t>,</w:t>
      </w:r>
      <w:r w:rsidR="00E63736" w:rsidRPr="00F20BB6">
        <w:rPr>
          <w:color w:val="404040" w:themeColor="text1" w:themeTint="BF"/>
          <w:szCs w:val="22"/>
        </w:rPr>
        <w:t xml:space="preserve"> which has final approval. </w:t>
      </w:r>
      <w:r w:rsidR="000959D8" w:rsidRPr="00CD4BAE">
        <w:rPr>
          <w:color w:val="404040" w:themeColor="text1" w:themeTint="BF"/>
          <w:szCs w:val="22"/>
          <w:highlight w:val="red"/>
        </w:rPr>
        <w:t>Valuations will be subject to review on at least an annual basis by NYSCRF</w:t>
      </w:r>
      <w:r w:rsidR="00553BD7" w:rsidRPr="00CD4BAE">
        <w:rPr>
          <w:color w:val="404040" w:themeColor="text1" w:themeTint="BF"/>
          <w:szCs w:val="22"/>
          <w:highlight w:val="red"/>
        </w:rPr>
        <w:t xml:space="preserve"> and </w:t>
      </w:r>
      <w:r w:rsidR="00C447DA" w:rsidRPr="00CD4BAE">
        <w:rPr>
          <w:color w:val="404040" w:themeColor="text1" w:themeTint="BF"/>
          <w:szCs w:val="22"/>
          <w:highlight w:val="red"/>
        </w:rPr>
        <w:t>Bridge’s process is subject to review during</w:t>
      </w:r>
      <w:r w:rsidR="00A90985" w:rsidRPr="00CD4BAE">
        <w:rPr>
          <w:color w:val="404040" w:themeColor="text1" w:themeTint="BF"/>
          <w:szCs w:val="22"/>
          <w:highlight w:val="red"/>
        </w:rPr>
        <w:t xml:space="preserve"> annual external audit. </w:t>
      </w:r>
      <w:r w:rsidR="00185351" w:rsidRPr="00CD4BAE">
        <w:rPr>
          <w:color w:val="404040" w:themeColor="text1" w:themeTint="BF"/>
          <w:szCs w:val="22"/>
          <w:highlight w:val="red"/>
        </w:rPr>
        <w:t xml:space="preserve">The practice for establishing an external valuation process </w:t>
      </w:r>
      <w:r w:rsidR="00331D0D" w:rsidRPr="00CD4BAE">
        <w:rPr>
          <w:color w:val="404040" w:themeColor="text1" w:themeTint="BF"/>
          <w:szCs w:val="22"/>
          <w:highlight w:val="red"/>
        </w:rPr>
        <w:t xml:space="preserve">for purposes of the incentive payout is </w:t>
      </w:r>
      <w:r w:rsidR="001019CA" w:rsidRPr="00CD4BAE">
        <w:rPr>
          <w:color w:val="404040" w:themeColor="text1" w:themeTint="BF"/>
          <w:szCs w:val="22"/>
          <w:highlight w:val="red"/>
        </w:rPr>
        <w:t xml:space="preserve">to-be-determined </w:t>
      </w:r>
      <w:r w:rsidR="00F41F27" w:rsidRPr="00CD4BAE">
        <w:rPr>
          <w:color w:val="404040" w:themeColor="text1" w:themeTint="BF"/>
          <w:szCs w:val="22"/>
          <w:highlight w:val="red"/>
        </w:rPr>
        <w:t>in the Fund’s final operating documents.</w:t>
      </w:r>
      <w:r w:rsidR="00F41F27">
        <w:rPr>
          <w:color w:val="404040" w:themeColor="text1" w:themeTint="BF"/>
          <w:szCs w:val="22"/>
        </w:rPr>
        <w:t xml:space="preserve"> </w:t>
      </w:r>
    </w:p>
    <w:p w14:paraId="0C438207" w14:textId="77777777" w:rsidR="007928B9" w:rsidRPr="00013F5E" w:rsidRDefault="007928B9" w:rsidP="00013F5E">
      <w:pPr>
        <w:jc w:val="both"/>
        <w:rPr>
          <w:color w:val="404040" w:themeColor="text1" w:themeTint="BF"/>
          <w:szCs w:val="22"/>
        </w:rPr>
      </w:pPr>
    </w:p>
    <w:bookmarkStart w:id="45" w:name="_Toc179797302"/>
    <w:p w14:paraId="5D75F0E3" w14:textId="77777777" w:rsidR="000E58A3" w:rsidRPr="00AF53A4" w:rsidRDefault="001E5DB4" w:rsidP="001E5DB4">
      <w:pPr>
        <w:pStyle w:val="Heading1"/>
        <w:rPr>
          <w:sz w:val="28"/>
          <w:szCs w:val="28"/>
        </w:rPr>
      </w:pPr>
      <w:r w:rsidRPr="00AF53A4">
        <w:rPr>
          <w:noProof/>
          <w:szCs w:val="22"/>
        </w:rPr>
        <mc:AlternateContent>
          <mc:Choice Requires="wps">
            <w:drawing>
              <wp:anchor distT="0" distB="0" distL="114300" distR="114300" simplePos="0" relativeHeight="251643904" behindDoc="0" locked="0" layoutInCell="1" allowOverlap="1" wp14:anchorId="76955816" wp14:editId="5A614C6F">
                <wp:simplePos x="0" y="0"/>
                <wp:positionH relativeFrom="margin">
                  <wp:posOffset>0</wp:posOffset>
                </wp:positionH>
                <wp:positionV relativeFrom="paragraph">
                  <wp:posOffset>228600</wp:posOffset>
                </wp:positionV>
                <wp:extent cx="6492240" cy="0"/>
                <wp:effectExtent l="0" t="0" r="0" b="0"/>
                <wp:wrapNone/>
                <wp:docPr id="33"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2240" cy="0"/>
                        </a:xfrm>
                        <a:prstGeom prst="straightConnector1">
                          <a:avLst/>
                        </a:prstGeom>
                        <a:noFill/>
                        <a:ln w="9525">
                          <a:solidFill>
                            <a:schemeClr val="tx1">
                              <a:lumMod val="75000"/>
                              <a:lumOff val="2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DFFFAD" id="AutoShape 36" o:spid="_x0000_s1026" type="#_x0000_t32" style="position:absolute;margin-left:0;margin-top:18pt;width:511.2pt;height:0;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0M10AEAAJADAAAOAAAAZHJzL2Uyb0RvYy54bWysU01v2zAMvQ/YfxB0X+wYTbcacXpI1126&#10;LUC7H8DIsi1MFgVJiZ1/P0qOva9b0Ysgkebj4+Pz9n7sNTtL5xWaiq9XOWfSCKyVaSv+4+XxwyfO&#10;fABTg0YjK36Rnt/v3r/bDraUBXaoa+kYgRhfDrbiXQi2zDIvOtmDX6GVhpINuh4CPV2b1Q4GQu91&#10;VuT5bTagq61DIb2n6MOU5LuE3zRShO9N42VguuLELaTTpfMYz2y3hbJ1YDslrjTgFSx6UIaaLlAP&#10;EICdnPoPqlfCoccmrAT2GTaNEjLNQNOs83+mee7AyjQLiePtIpN/O1jx7bw3Bxepi9E82ycUPz0z&#10;uO/AtDIReLlYWtw6SpUN1pdLSXx4e3DsOHzFmr6BU8Ckwti4PkLSfGxMYl8WseUYmKDg7c1dUdzQ&#10;TsScy6CcC63z4YvEnsVLxX1woNou7NEYWim6dWoD5ycfIi0o54LY1eCj0jptVhs2VPxuU2xSgUet&#10;6piMnyWPyb127AzkjjBOoPrU0zRT7OMmz68eoTA5aQoXc5gaLyiJxl8NHJ5MnWh0EurP13sApac7&#10;VWtzFTXqGE3ryyPWl4Obxaa1J+CrRaOv/nyn6t8/0u4XAAAA//8DAFBLAwQUAAYACAAAACEAKT0+&#10;IdsAAAAHAQAADwAAAGRycy9kb3ducmV2LnhtbEyPQUvEMBCF74L/IYzgRdzEqutamy4iiJ4Ed0Wv&#10;02Zsi8mkJNlu/fdm8aCn4c0b3vumWs/OiolCHDxruFgoEMStNwN3Gt62j+crEDEhG7SeScM3RVjX&#10;x0cVlsbv+ZWmTepEDuFYooY+pbGUMrY9OYwLPxJn79MHhynL0EkTcJ/DnZWFUkvpcODc0ONIDz21&#10;X5ud03C2CrN9bm62701Iyk3XHy9Pt6z16cl8fwci0Zz+juGAn9GhzkyN37GJwmrIjyQNl8s8D64q&#10;iisQze9G1pX8z1//AAAA//8DAFBLAQItABQABgAIAAAAIQC2gziS/gAAAOEBAAATAAAAAAAAAAAA&#10;AAAAAAAAAABbQ29udGVudF9UeXBlc10ueG1sUEsBAi0AFAAGAAgAAAAhADj9If/WAAAAlAEAAAsA&#10;AAAAAAAAAAAAAAAALwEAAF9yZWxzLy5yZWxzUEsBAi0AFAAGAAgAAAAhAGP3QzXQAQAAkAMAAA4A&#10;AAAAAAAAAAAAAAAALgIAAGRycy9lMm9Eb2MueG1sUEsBAi0AFAAGAAgAAAAhACk9PiHbAAAABwEA&#10;AA8AAAAAAAAAAAAAAAAAKgQAAGRycy9kb3ducmV2LnhtbFBLBQYAAAAABAAEAPMAAAAyBQAAAAA=&#10;" strokecolor="#404040 [2429]">
                <w10:wrap anchorx="margin"/>
              </v:shape>
            </w:pict>
          </mc:Fallback>
        </mc:AlternateContent>
      </w:r>
      <w:r w:rsidR="000E58A3" w:rsidRPr="00AF53A4">
        <w:rPr>
          <w:sz w:val="28"/>
          <w:szCs w:val="28"/>
        </w:rPr>
        <w:t>FUND STRUCTURE</w:t>
      </w:r>
      <w:bookmarkEnd w:id="45"/>
    </w:p>
    <w:p w14:paraId="6265DCCB" w14:textId="176FE8F6" w:rsidR="003A478E" w:rsidRPr="00CD4BAE" w:rsidRDefault="00BE2446" w:rsidP="00A91DCC">
      <w:pPr>
        <w:pStyle w:val="NoSpacing"/>
        <w:numPr>
          <w:ilvl w:val="0"/>
          <w:numId w:val="8"/>
        </w:numPr>
        <w:jc w:val="both"/>
        <w:rPr>
          <w:color w:val="404040" w:themeColor="text1" w:themeTint="BF"/>
          <w:highlight w:val="yellow"/>
        </w:rPr>
      </w:pPr>
      <w:r w:rsidRPr="00CD4BAE">
        <w:rPr>
          <w:color w:val="404040" w:themeColor="text1" w:themeTint="BF"/>
          <w:highlight w:val="yellow"/>
        </w:rPr>
        <w:t xml:space="preserve">The Fund: </w:t>
      </w:r>
      <w:r w:rsidR="00B33AD4" w:rsidRPr="00CD4BAE">
        <w:rPr>
          <w:color w:val="404040" w:themeColor="text1" w:themeTint="BF"/>
          <w:highlight w:val="yellow"/>
        </w:rPr>
        <w:t xml:space="preserve">NYSCRF Bridge Logistics </w:t>
      </w:r>
      <w:r w:rsidR="001878B5" w:rsidRPr="00CD4BAE">
        <w:rPr>
          <w:color w:val="404040" w:themeColor="text1" w:themeTint="BF"/>
          <w:highlight w:val="yellow"/>
        </w:rPr>
        <w:t>Develop to Core Venture</w:t>
      </w:r>
    </w:p>
    <w:p w14:paraId="0A7C2723" w14:textId="18003B46" w:rsidR="000F01C4" w:rsidRPr="00CD4BAE" w:rsidRDefault="00BB313A" w:rsidP="00A91DCC">
      <w:pPr>
        <w:pStyle w:val="NoSpacing"/>
        <w:numPr>
          <w:ilvl w:val="0"/>
          <w:numId w:val="8"/>
        </w:numPr>
        <w:jc w:val="both"/>
        <w:rPr>
          <w:color w:val="404040" w:themeColor="text1" w:themeTint="BF"/>
          <w:highlight w:val="yellow"/>
        </w:rPr>
      </w:pPr>
      <w:r w:rsidRPr="00CD4BAE">
        <w:rPr>
          <w:color w:val="404040" w:themeColor="text1" w:themeTint="BF"/>
          <w:highlight w:val="yellow"/>
        </w:rPr>
        <w:t xml:space="preserve">Investment Manager: </w:t>
      </w:r>
      <w:r w:rsidR="008937F6" w:rsidRPr="00CD4BAE">
        <w:rPr>
          <w:color w:val="404040" w:themeColor="text1" w:themeTint="BF"/>
          <w:highlight w:val="yellow"/>
        </w:rPr>
        <w:t>Bridge Logistics Properties Fund Manager LLC</w:t>
      </w:r>
    </w:p>
    <w:p w14:paraId="0C2686E0" w14:textId="5B33394A" w:rsidR="00BB313A" w:rsidRPr="00CD4BAE" w:rsidRDefault="000F01C4" w:rsidP="00A91DCC">
      <w:pPr>
        <w:pStyle w:val="NoSpacing"/>
        <w:numPr>
          <w:ilvl w:val="1"/>
          <w:numId w:val="8"/>
        </w:numPr>
        <w:jc w:val="both"/>
        <w:rPr>
          <w:color w:val="404040" w:themeColor="text1" w:themeTint="BF"/>
          <w:highlight w:val="yellow"/>
        </w:rPr>
      </w:pPr>
      <w:r w:rsidRPr="00CD4BAE">
        <w:rPr>
          <w:color w:val="404040" w:themeColor="text1" w:themeTint="BF"/>
          <w:highlight w:val="yellow"/>
        </w:rPr>
        <w:t>A Registered Investment Advisor with the SEC</w:t>
      </w:r>
    </w:p>
    <w:p w14:paraId="7424E06B" w14:textId="27C838D3" w:rsidR="00DD767B" w:rsidRPr="00CD4BAE" w:rsidRDefault="001471C8" w:rsidP="00DD767B">
      <w:pPr>
        <w:pStyle w:val="NoSpacing"/>
        <w:numPr>
          <w:ilvl w:val="0"/>
          <w:numId w:val="8"/>
        </w:numPr>
        <w:jc w:val="both"/>
        <w:rPr>
          <w:color w:val="404040" w:themeColor="text1" w:themeTint="BF"/>
          <w:highlight w:val="yellow"/>
        </w:rPr>
      </w:pPr>
      <w:r w:rsidRPr="00CD4BAE">
        <w:rPr>
          <w:color w:val="404040" w:themeColor="text1" w:themeTint="BF"/>
          <w:highlight w:val="yellow"/>
        </w:rPr>
        <w:t xml:space="preserve">General Partner: </w:t>
      </w:r>
      <w:r w:rsidR="001878B5" w:rsidRPr="00CD4BAE">
        <w:rPr>
          <w:color w:val="404040" w:themeColor="text1" w:themeTint="BF"/>
          <w:highlight w:val="yellow"/>
        </w:rPr>
        <w:t>To-be-formed</w:t>
      </w:r>
      <w:r w:rsidR="009D2129" w:rsidRPr="00CD4BAE">
        <w:rPr>
          <w:color w:val="404040" w:themeColor="text1" w:themeTint="BF"/>
          <w:highlight w:val="yellow"/>
        </w:rPr>
        <w:t xml:space="preserve"> subsidiary of </w:t>
      </w:r>
      <w:proofErr w:type="gramStart"/>
      <w:r w:rsidR="009D2129" w:rsidRPr="00CD4BAE">
        <w:rPr>
          <w:color w:val="404040" w:themeColor="text1" w:themeTint="BF"/>
          <w:highlight w:val="yellow"/>
        </w:rPr>
        <w:t>Bridge</w:t>
      </w:r>
      <w:proofErr w:type="gramEnd"/>
    </w:p>
    <w:bookmarkStart w:id="46" w:name="_Toc179797303"/>
    <w:bookmarkStart w:id="47" w:name="_Toc413830809"/>
    <w:p w14:paraId="6564040B" w14:textId="77777777" w:rsidR="0070073B" w:rsidRPr="00DA4498" w:rsidRDefault="0070073B" w:rsidP="00D221B6">
      <w:pPr>
        <w:pStyle w:val="Heading2"/>
        <w:rPr>
          <w:noProof/>
          <w:sz w:val="22"/>
          <w:szCs w:val="22"/>
        </w:rPr>
      </w:pPr>
      <w:r w:rsidRPr="00CD4BAE">
        <w:rPr>
          <w:noProof/>
          <w:sz w:val="22"/>
          <w:szCs w:val="22"/>
          <w:highlight w:val="yellow"/>
        </w:rPr>
        <mc:AlternateContent>
          <mc:Choice Requires="wps">
            <w:drawing>
              <wp:anchor distT="0" distB="0" distL="114300" distR="114300" simplePos="0" relativeHeight="251661312" behindDoc="0" locked="0" layoutInCell="1" allowOverlap="1" wp14:anchorId="594842E2" wp14:editId="443AD0A9">
                <wp:simplePos x="0" y="0"/>
                <wp:positionH relativeFrom="margin">
                  <wp:posOffset>-12700</wp:posOffset>
                </wp:positionH>
                <wp:positionV relativeFrom="paragraph">
                  <wp:posOffset>163407</wp:posOffset>
                </wp:positionV>
                <wp:extent cx="6492240" cy="0"/>
                <wp:effectExtent l="0" t="0" r="0" b="0"/>
                <wp:wrapNone/>
                <wp:docPr id="77"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2240" cy="0"/>
                        </a:xfrm>
                        <a:prstGeom prst="straightConnector1">
                          <a:avLst/>
                        </a:prstGeom>
                        <a:noFill/>
                        <a:ln w="9525">
                          <a:solidFill>
                            <a:schemeClr val="tx1">
                              <a:lumMod val="75000"/>
                              <a:lumOff val="2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4083BB" id="AutoShape 5" o:spid="_x0000_s1026" type="#_x0000_t32" style="position:absolute;margin-left:-1pt;margin-top:12.85pt;width:511.2pt;height: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0M10AEAAJADAAAOAAAAZHJzL2Uyb0RvYy54bWysU01v2zAMvQ/YfxB0X+wYTbcacXpI1126&#10;LUC7H8DIsi1MFgVJiZ1/P0qOva9b0Ysgkebj4+Pz9n7sNTtL5xWaiq9XOWfSCKyVaSv+4+XxwyfO&#10;fABTg0YjK36Rnt/v3r/bDraUBXaoa+kYgRhfDrbiXQi2zDIvOtmDX6GVhpINuh4CPV2b1Q4GQu91&#10;VuT5bTagq61DIb2n6MOU5LuE3zRShO9N42VguuLELaTTpfMYz2y3hbJ1YDslrjTgFSx6UIaaLlAP&#10;EICdnPoPqlfCoccmrAT2GTaNEjLNQNOs83+mee7AyjQLiePtIpN/O1jx7bw3Bxepi9E82ycUPz0z&#10;uO/AtDIReLlYWtw6SpUN1pdLSXx4e3DsOHzFmr6BU8Ckwti4PkLSfGxMYl8WseUYmKDg7c1dUdzQ&#10;TsScy6CcC63z4YvEnsVLxX1woNou7NEYWim6dWoD5ycfIi0o54LY1eCj0jptVhs2VPxuU2xSgUet&#10;6piMnyWPyb127AzkjjBOoPrU0zRT7OMmz68eoTA5aQoXc5gaLyiJxl8NHJ5MnWh0EurP13sApac7&#10;VWtzFTXqGE3ryyPWl4Obxaa1J+CrRaOv/nyn6t8/0u4XAAAA//8DAFBLAwQUAAYACAAAACEAvPB3&#10;SN4AAAAJAQAADwAAAGRycy9kb3ducmV2LnhtbEyPwU7DMBBE70j9B2uRuKDWbkRpG+JUCAnRE1Jb&#10;RK9OvCQR9jqy3TT8Pa56gOPsrGbeFJvRGjagD50jCfOZAIZUO91RI+Hj8DpdAQtRkVbGEUr4wQCb&#10;cnJTqFy7M+1w2MeGpRAKuZLQxtjnnIe6RavCzPVIyfty3qqYpG+49uqcwq3hmRCP3KqOUkOrenxp&#10;sf7en6yE+5UfzbZaHj4rH4UdFsf3tzVJeXc7Pj8BizjGv2e44Cd0KBNT5U6kAzMSplmaEiVkiyWw&#10;iy8y8QCsul54WfD/C8pfAAAA//8DAFBLAQItABQABgAIAAAAIQC2gziS/gAAAOEBAAATAAAAAAAA&#10;AAAAAAAAAAAAAABbQ29udGVudF9UeXBlc10ueG1sUEsBAi0AFAAGAAgAAAAhADj9If/WAAAAlAEA&#10;AAsAAAAAAAAAAAAAAAAALwEAAF9yZWxzLy5yZWxzUEsBAi0AFAAGAAgAAAAhAGP3QzXQAQAAkAMA&#10;AA4AAAAAAAAAAAAAAAAALgIAAGRycy9lMm9Eb2MueG1sUEsBAi0AFAAGAAgAAAAhALzwd0jeAAAA&#10;CQEAAA8AAAAAAAAAAAAAAAAAKgQAAGRycy9kb3ducmV2LnhtbFBLBQYAAAAABAAEAPMAAAA1BQAA&#10;AAA=&#10;" strokecolor="#404040 [2429]">
                <w10:wrap anchorx="margin"/>
              </v:shape>
            </w:pict>
          </mc:Fallback>
        </mc:AlternateContent>
      </w:r>
      <w:r w:rsidRPr="00CD4BAE">
        <w:rPr>
          <w:noProof/>
          <w:sz w:val="22"/>
          <w:szCs w:val="22"/>
          <w:highlight w:val="yellow"/>
        </w:rPr>
        <w:t>Key Terms</w:t>
      </w:r>
      <w:bookmarkEnd w:id="46"/>
    </w:p>
    <w:p w14:paraId="48FC0093" w14:textId="77777777" w:rsidR="00D221B6" w:rsidRPr="00DA4498" w:rsidRDefault="00D221B6" w:rsidP="00D221B6">
      <w:pPr>
        <w:rPr>
          <w:sz w:val="16"/>
          <w:szCs w:val="16"/>
          <w:highlight w:val="yellow"/>
        </w:rPr>
      </w:pPr>
    </w:p>
    <w:tbl>
      <w:tblPr>
        <w:tblStyle w:val="MediumGrid1-Accent4"/>
        <w:tblW w:w="4952" w:type="pct"/>
        <w:tblLayout w:type="fixed"/>
        <w:tblLook w:val="0480" w:firstRow="0" w:lastRow="0" w:firstColumn="1" w:lastColumn="0" w:noHBand="0" w:noVBand="1"/>
      </w:tblPr>
      <w:tblGrid>
        <w:gridCol w:w="1983"/>
        <w:gridCol w:w="2608"/>
        <w:gridCol w:w="1440"/>
        <w:gridCol w:w="4095"/>
      </w:tblGrid>
      <w:tr w:rsidR="008C066D" w:rsidRPr="00DA4498" w14:paraId="4BA77140" w14:textId="77777777" w:rsidTr="00F7790B">
        <w:trPr>
          <w:cnfStyle w:val="000000100000" w:firstRow="0" w:lastRow="0" w:firstColumn="0" w:lastColumn="0" w:oddVBand="0" w:evenVBand="0" w:oddHBand="1" w:evenHBand="0" w:firstRowFirstColumn="0" w:firstRowLastColumn="0" w:lastRowFirstColumn="0" w:lastRowLastColumn="0"/>
          <w:trHeight w:val="97"/>
        </w:trPr>
        <w:tc>
          <w:tcPr>
            <w:cnfStyle w:val="001000000000" w:firstRow="0" w:lastRow="0" w:firstColumn="1" w:lastColumn="0" w:oddVBand="0" w:evenVBand="0" w:oddHBand="0" w:evenHBand="0" w:firstRowFirstColumn="0" w:firstRowLastColumn="0" w:lastRowFirstColumn="0" w:lastRowLastColumn="0"/>
            <w:tcW w:w="2266" w:type="pct"/>
            <w:gridSpan w:val="2"/>
            <w:tcBorders>
              <w:top w:val="nil"/>
              <w:left w:val="nil"/>
              <w:bottom w:val="nil"/>
              <w:right w:val="single" w:sz="4" w:space="0" w:color="FFFFFF" w:themeColor="background2"/>
            </w:tcBorders>
            <w:shd w:val="clear" w:color="auto" w:fill="003A5D" w:themeFill="text2"/>
            <w:vAlign w:val="center"/>
          </w:tcPr>
          <w:p w14:paraId="06AED46F" w14:textId="77777777" w:rsidR="008C066D" w:rsidRPr="00DA4498" w:rsidRDefault="008C066D" w:rsidP="002E78F1">
            <w:pPr>
              <w:pStyle w:val="NoSpacing"/>
              <w:spacing w:line="300" w:lineRule="exact"/>
              <w:jc w:val="center"/>
              <w:rPr>
                <w:rFonts w:ascii="Calibri" w:hAnsi="Calibri"/>
                <w:color w:val="FFFFFF" w:themeColor="background2"/>
                <w:sz w:val="18"/>
                <w:szCs w:val="18"/>
                <w:highlight w:val="yellow"/>
              </w:rPr>
            </w:pPr>
            <w:bookmarkStart w:id="48" w:name="_Toc413830810"/>
            <w:bookmarkEnd w:id="47"/>
            <w:r w:rsidRPr="00DA4498">
              <w:rPr>
                <w:rFonts w:ascii="Calibri" w:hAnsi="Calibri"/>
                <w:color w:val="FFFFFF" w:themeColor="background2"/>
                <w:sz w:val="18"/>
                <w:szCs w:val="18"/>
              </w:rPr>
              <w:t>Key Terms</w:t>
            </w:r>
          </w:p>
        </w:tc>
        <w:tc>
          <w:tcPr>
            <w:tcW w:w="2734" w:type="pct"/>
            <w:gridSpan w:val="2"/>
            <w:tcBorders>
              <w:top w:val="nil"/>
              <w:left w:val="single" w:sz="4" w:space="0" w:color="FFFFFF" w:themeColor="background2"/>
              <w:bottom w:val="nil"/>
              <w:right w:val="nil"/>
            </w:tcBorders>
            <w:shd w:val="clear" w:color="auto" w:fill="003A5D" w:themeFill="text2"/>
            <w:vAlign w:val="center"/>
          </w:tcPr>
          <w:p w14:paraId="7C184F4F" w14:textId="77777777" w:rsidR="008C066D" w:rsidRPr="00DA4498" w:rsidRDefault="008C066D" w:rsidP="002E78F1">
            <w:pPr>
              <w:pStyle w:val="NoSpacing"/>
              <w:spacing w:line="300" w:lineRule="exact"/>
              <w:jc w:val="center"/>
              <w:cnfStyle w:val="000000100000" w:firstRow="0" w:lastRow="0" w:firstColumn="0" w:lastColumn="0" w:oddVBand="0" w:evenVBand="0" w:oddHBand="1" w:evenHBand="0" w:firstRowFirstColumn="0" w:firstRowLastColumn="0" w:lastRowFirstColumn="0" w:lastRowLastColumn="0"/>
              <w:rPr>
                <w:rFonts w:ascii="Calibri" w:hAnsi="Calibri"/>
                <w:b/>
                <w:color w:val="FFFFFF" w:themeColor="background2"/>
                <w:sz w:val="18"/>
                <w:szCs w:val="18"/>
                <w:highlight w:val="yellow"/>
              </w:rPr>
            </w:pPr>
            <w:r w:rsidRPr="00DA4498">
              <w:rPr>
                <w:rFonts w:ascii="Calibri" w:hAnsi="Calibri"/>
                <w:b/>
                <w:color w:val="FFFFFF" w:themeColor="background2"/>
                <w:sz w:val="18"/>
                <w:szCs w:val="18"/>
              </w:rPr>
              <w:t>Townsend Comment</w:t>
            </w:r>
          </w:p>
        </w:tc>
      </w:tr>
      <w:tr w:rsidR="008C066D" w:rsidRPr="00DA4498" w14:paraId="3120CA29" w14:textId="77777777" w:rsidTr="00F7790B">
        <w:trPr>
          <w:trHeight w:val="322"/>
        </w:trPr>
        <w:tc>
          <w:tcPr>
            <w:cnfStyle w:val="001000000000" w:firstRow="0" w:lastRow="0" w:firstColumn="1" w:lastColumn="0" w:oddVBand="0" w:evenVBand="0" w:oddHBand="0" w:evenHBand="0" w:firstRowFirstColumn="0" w:firstRowLastColumn="0" w:lastRowFirstColumn="0" w:lastRowLastColumn="0"/>
            <w:tcW w:w="979" w:type="pct"/>
            <w:tcBorders>
              <w:top w:val="nil"/>
              <w:left w:val="nil"/>
              <w:bottom w:val="nil"/>
              <w:right w:val="nil"/>
            </w:tcBorders>
            <w:vAlign w:val="center"/>
          </w:tcPr>
          <w:p w14:paraId="71B07F49" w14:textId="77777777" w:rsidR="008C066D" w:rsidRPr="00DA4498" w:rsidRDefault="008C066D" w:rsidP="00B81128">
            <w:pPr>
              <w:widowControl w:val="0"/>
              <w:jc w:val="right"/>
              <w:rPr>
                <w:rFonts w:ascii="Calibri" w:hAnsi="Calibri"/>
                <w:color w:val="404040" w:themeColor="text1" w:themeTint="BF"/>
                <w:kern w:val="28"/>
                <w:sz w:val="18"/>
                <w:szCs w:val="18"/>
              </w:rPr>
            </w:pPr>
            <w:r w:rsidRPr="00DA4498">
              <w:rPr>
                <w:rFonts w:ascii="Calibri" w:hAnsi="Calibri"/>
                <w:color w:val="404040" w:themeColor="text1" w:themeTint="BF"/>
                <w:sz w:val="18"/>
                <w:szCs w:val="18"/>
              </w:rPr>
              <w:t>Target Return:</w:t>
            </w:r>
          </w:p>
        </w:tc>
        <w:tc>
          <w:tcPr>
            <w:tcW w:w="1288" w:type="pct"/>
            <w:tcBorders>
              <w:top w:val="nil"/>
              <w:left w:val="nil"/>
              <w:bottom w:val="nil"/>
              <w:right w:val="single" w:sz="4" w:space="0" w:color="FFFFFF" w:themeColor="background2"/>
            </w:tcBorders>
            <w:vAlign w:val="center"/>
          </w:tcPr>
          <w:p w14:paraId="1B1007F6" w14:textId="7E04AFA3" w:rsidR="0056702B" w:rsidRPr="00DA4498" w:rsidRDefault="00D0081A" w:rsidP="00DA66CB">
            <w:pPr>
              <w:pStyle w:val="NoSpacing"/>
              <w:jc w:val="center"/>
              <w:cnfStyle w:val="000000000000" w:firstRow="0" w:lastRow="0" w:firstColumn="0" w:lastColumn="0" w:oddVBand="0" w:evenVBand="0" w:oddHBand="0" w:evenHBand="0" w:firstRowFirstColumn="0" w:firstRowLastColumn="0" w:lastRowFirstColumn="0" w:lastRowLastColumn="0"/>
              <w:rPr>
                <w:rFonts w:ascii="Calibri" w:hAnsi="Calibri"/>
                <w:color w:val="404040" w:themeColor="text1" w:themeTint="BF"/>
                <w:sz w:val="18"/>
                <w:szCs w:val="18"/>
              </w:rPr>
            </w:pPr>
            <w:r>
              <w:rPr>
                <w:rFonts w:ascii="Calibri" w:hAnsi="Calibri"/>
                <w:color w:val="404040" w:themeColor="text1" w:themeTint="BF"/>
                <w:sz w:val="18"/>
                <w:szCs w:val="18"/>
              </w:rPr>
              <w:t>15% Net IRR</w:t>
            </w:r>
            <w:r w:rsidR="0056702B" w:rsidRPr="00DA4498">
              <w:rPr>
                <w:rFonts w:ascii="Calibri" w:hAnsi="Calibri"/>
                <w:color w:val="404040" w:themeColor="text1" w:themeTint="BF"/>
                <w:sz w:val="18"/>
                <w:szCs w:val="18"/>
              </w:rPr>
              <w:t xml:space="preserve"> </w:t>
            </w:r>
          </w:p>
        </w:tc>
        <w:tc>
          <w:tcPr>
            <w:tcW w:w="711" w:type="pct"/>
            <w:tcBorders>
              <w:top w:val="nil"/>
              <w:left w:val="single" w:sz="4" w:space="0" w:color="FFFFFF" w:themeColor="background2"/>
              <w:bottom w:val="nil"/>
              <w:right w:val="nil"/>
            </w:tcBorders>
            <w:vAlign w:val="center"/>
          </w:tcPr>
          <w:p w14:paraId="510E2655" w14:textId="77777777" w:rsidR="008C066D" w:rsidRPr="009F64B0" w:rsidRDefault="00E215D6" w:rsidP="000C014F">
            <w:pPr>
              <w:pStyle w:val="NoSpacing"/>
              <w:jc w:val="center"/>
              <w:cnfStyle w:val="000000000000" w:firstRow="0" w:lastRow="0" w:firstColumn="0" w:lastColumn="0" w:oddVBand="0" w:evenVBand="0" w:oddHBand="0" w:evenHBand="0" w:firstRowFirstColumn="0" w:firstRowLastColumn="0" w:lastRowFirstColumn="0" w:lastRowLastColumn="0"/>
              <w:rPr>
                <w:rFonts w:ascii="Calibri" w:hAnsi="Calibri"/>
                <w:b/>
                <w:color w:val="404040" w:themeColor="text1" w:themeTint="BF"/>
                <w:sz w:val="18"/>
                <w:szCs w:val="18"/>
              </w:rPr>
            </w:pPr>
            <w:r w:rsidRPr="009F64B0">
              <w:rPr>
                <w:rFonts w:ascii="Calibri" w:hAnsi="Calibri"/>
                <w:b/>
                <w:color w:val="404040" w:themeColor="text1" w:themeTint="BF"/>
                <w:sz w:val="18"/>
                <w:szCs w:val="18"/>
              </w:rPr>
              <w:t>Neutral</w:t>
            </w:r>
          </w:p>
        </w:tc>
        <w:tc>
          <w:tcPr>
            <w:tcW w:w="2023" w:type="pct"/>
            <w:tcBorders>
              <w:top w:val="nil"/>
              <w:left w:val="nil"/>
              <w:bottom w:val="nil"/>
              <w:right w:val="nil"/>
            </w:tcBorders>
            <w:vAlign w:val="center"/>
          </w:tcPr>
          <w:p w14:paraId="26E16D09" w14:textId="1D01F62E" w:rsidR="008C066D" w:rsidRPr="009F64B0" w:rsidRDefault="00C72126" w:rsidP="000776CC">
            <w:pPr>
              <w:pStyle w:val="NoSpacing"/>
              <w:jc w:val="center"/>
              <w:cnfStyle w:val="000000000000" w:firstRow="0" w:lastRow="0" w:firstColumn="0" w:lastColumn="0" w:oddVBand="0" w:evenVBand="0" w:oddHBand="0" w:evenHBand="0" w:firstRowFirstColumn="0" w:firstRowLastColumn="0" w:lastRowFirstColumn="0" w:lastRowLastColumn="0"/>
              <w:rPr>
                <w:rFonts w:ascii="Calibri" w:hAnsi="Calibri"/>
                <w:color w:val="404040" w:themeColor="text1" w:themeTint="BF"/>
                <w:sz w:val="18"/>
                <w:szCs w:val="18"/>
              </w:rPr>
            </w:pPr>
            <w:r w:rsidRPr="00C72126">
              <w:rPr>
                <w:rFonts w:ascii="Calibri" w:hAnsi="Calibri"/>
                <w:color w:val="404040" w:themeColor="text1" w:themeTint="BF"/>
                <w:sz w:val="18"/>
                <w:szCs w:val="18"/>
              </w:rPr>
              <w:t>Bridge model assumes a gross IRR of 26.5% during the development phase, netting to 22.2%, generally in agreement with Townsend’s internal model estimate</w:t>
            </w:r>
          </w:p>
        </w:tc>
      </w:tr>
      <w:tr w:rsidR="008C066D" w:rsidRPr="00DA4498" w14:paraId="6B42AF5B" w14:textId="77777777" w:rsidTr="00F7790B">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979" w:type="pct"/>
            <w:tcBorders>
              <w:top w:val="nil"/>
              <w:left w:val="nil"/>
              <w:bottom w:val="nil"/>
              <w:right w:val="nil"/>
            </w:tcBorders>
            <w:vAlign w:val="center"/>
          </w:tcPr>
          <w:p w14:paraId="51F86335" w14:textId="4D83B19C" w:rsidR="008C066D" w:rsidRPr="00DA4498" w:rsidRDefault="00DF3FB3" w:rsidP="00B81128">
            <w:pPr>
              <w:widowControl w:val="0"/>
              <w:jc w:val="right"/>
              <w:rPr>
                <w:rFonts w:ascii="Calibri" w:hAnsi="Calibri"/>
                <w:color w:val="404040" w:themeColor="text1" w:themeTint="BF"/>
                <w:kern w:val="28"/>
                <w:sz w:val="18"/>
                <w:szCs w:val="18"/>
              </w:rPr>
            </w:pPr>
            <w:r w:rsidRPr="00DA4498">
              <w:rPr>
                <w:rFonts w:ascii="Calibri" w:hAnsi="Calibri"/>
                <w:color w:val="404040" w:themeColor="text1" w:themeTint="BF"/>
                <w:kern w:val="28"/>
                <w:sz w:val="18"/>
                <w:szCs w:val="18"/>
              </w:rPr>
              <w:t>Fund Size:</w:t>
            </w:r>
          </w:p>
        </w:tc>
        <w:tc>
          <w:tcPr>
            <w:tcW w:w="1288" w:type="pct"/>
            <w:tcBorders>
              <w:top w:val="nil"/>
              <w:left w:val="nil"/>
              <w:bottom w:val="nil"/>
              <w:right w:val="single" w:sz="4" w:space="0" w:color="FFFFFF" w:themeColor="background2"/>
            </w:tcBorders>
            <w:vAlign w:val="center"/>
          </w:tcPr>
          <w:p w14:paraId="4102B9B4" w14:textId="03ACA2AB" w:rsidR="008C066D" w:rsidRPr="00DA4498" w:rsidRDefault="001147D8" w:rsidP="001F41C0">
            <w:pPr>
              <w:widowControl w:val="0"/>
              <w:jc w:val="center"/>
              <w:cnfStyle w:val="000000100000" w:firstRow="0" w:lastRow="0" w:firstColumn="0" w:lastColumn="0" w:oddVBand="0" w:evenVBand="0" w:oddHBand="1" w:evenHBand="0" w:firstRowFirstColumn="0" w:firstRowLastColumn="0" w:lastRowFirstColumn="0" w:lastRowLastColumn="0"/>
              <w:rPr>
                <w:rFonts w:ascii="Calibri" w:hAnsi="Calibri"/>
                <w:color w:val="404040" w:themeColor="text1" w:themeTint="BF"/>
                <w:kern w:val="28"/>
                <w:sz w:val="18"/>
                <w:szCs w:val="18"/>
              </w:rPr>
            </w:pPr>
            <w:r>
              <w:rPr>
                <w:rFonts w:ascii="Calibri" w:hAnsi="Calibri"/>
                <w:color w:val="404040" w:themeColor="text1" w:themeTint="BF"/>
                <w:kern w:val="28"/>
                <w:sz w:val="18"/>
                <w:szCs w:val="18"/>
              </w:rPr>
              <w:t>$600 million</w:t>
            </w:r>
          </w:p>
        </w:tc>
        <w:tc>
          <w:tcPr>
            <w:tcW w:w="711" w:type="pct"/>
            <w:tcBorders>
              <w:top w:val="nil"/>
              <w:left w:val="single" w:sz="4" w:space="0" w:color="FFFFFF" w:themeColor="background2"/>
              <w:bottom w:val="nil"/>
              <w:right w:val="nil"/>
            </w:tcBorders>
            <w:vAlign w:val="center"/>
          </w:tcPr>
          <w:p w14:paraId="209AF2E1" w14:textId="047D98F5" w:rsidR="00733E64" w:rsidRPr="009F64B0" w:rsidRDefault="00FA1CB4" w:rsidP="000C014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b/>
                <w:color w:val="404040" w:themeColor="text1" w:themeTint="BF"/>
                <w:sz w:val="18"/>
                <w:szCs w:val="18"/>
              </w:rPr>
            </w:pPr>
            <w:r w:rsidRPr="009F64B0">
              <w:rPr>
                <w:rFonts w:ascii="Calibri" w:hAnsi="Calibri"/>
                <w:b/>
                <w:color w:val="404040" w:themeColor="text1" w:themeTint="BF"/>
                <w:sz w:val="18"/>
                <w:szCs w:val="18"/>
              </w:rPr>
              <w:t>Neutral</w:t>
            </w:r>
          </w:p>
        </w:tc>
        <w:tc>
          <w:tcPr>
            <w:tcW w:w="2023" w:type="pct"/>
            <w:tcBorders>
              <w:top w:val="nil"/>
              <w:left w:val="nil"/>
              <w:bottom w:val="nil"/>
              <w:right w:val="nil"/>
            </w:tcBorders>
            <w:vAlign w:val="center"/>
          </w:tcPr>
          <w:p w14:paraId="736455F6" w14:textId="276BB9F2" w:rsidR="008C066D" w:rsidRPr="009F64B0" w:rsidRDefault="002A425B" w:rsidP="00B6121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olor w:val="404040" w:themeColor="text1" w:themeTint="BF"/>
                <w:sz w:val="18"/>
                <w:szCs w:val="18"/>
              </w:rPr>
            </w:pPr>
            <w:r>
              <w:rPr>
                <w:rFonts w:ascii="Calibri" w:hAnsi="Calibri"/>
                <w:color w:val="404040" w:themeColor="text1" w:themeTint="BF"/>
                <w:sz w:val="18"/>
                <w:szCs w:val="18"/>
              </w:rPr>
              <w:t>98/2 ratio between NYSCRF and BLP</w:t>
            </w:r>
          </w:p>
        </w:tc>
      </w:tr>
      <w:tr w:rsidR="008C066D" w:rsidRPr="00DA4498" w14:paraId="4FD42620" w14:textId="77777777" w:rsidTr="00F7790B">
        <w:trPr>
          <w:trHeight w:val="449"/>
        </w:trPr>
        <w:tc>
          <w:tcPr>
            <w:cnfStyle w:val="001000000000" w:firstRow="0" w:lastRow="0" w:firstColumn="1" w:lastColumn="0" w:oddVBand="0" w:evenVBand="0" w:oddHBand="0" w:evenHBand="0" w:firstRowFirstColumn="0" w:firstRowLastColumn="0" w:lastRowFirstColumn="0" w:lastRowLastColumn="0"/>
            <w:tcW w:w="979" w:type="pct"/>
            <w:tcBorders>
              <w:top w:val="nil"/>
              <w:left w:val="nil"/>
              <w:bottom w:val="nil"/>
              <w:right w:val="nil"/>
            </w:tcBorders>
            <w:vAlign w:val="center"/>
          </w:tcPr>
          <w:p w14:paraId="784E32F6" w14:textId="77777777" w:rsidR="008C066D" w:rsidRPr="00A243A6" w:rsidRDefault="008C066D" w:rsidP="00B81128">
            <w:pPr>
              <w:widowControl w:val="0"/>
              <w:jc w:val="right"/>
              <w:rPr>
                <w:rFonts w:ascii="Calibri" w:hAnsi="Calibri"/>
                <w:color w:val="404040" w:themeColor="text1" w:themeTint="BF"/>
                <w:kern w:val="28"/>
                <w:sz w:val="18"/>
                <w:szCs w:val="18"/>
              </w:rPr>
            </w:pPr>
            <w:r w:rsidRPr="00A243A6">
              <w:rPr>
                <w:rFonts w:ascii="Calibri" w:hAnsi="Calibri"/>
                <w:color w:val="404040" w:themeColor="text1" w:themeTint="BF"/>
                <w:sz w:val="18"/>
                <w:szCs w:val="18"/>
              </w:rPr>
              <w:t>Sponsor Commitment:</w:t>
            </w:r>
          </w:p>
        </w:tc>
        <w:tc>
          <w:tcPr>
            <w:tcW w:w="1288" w:type="pct"/>
            <w:tcBorders>
              <w:top w:val="nil"/>
              <w:left w:val="nil"/>
              <w:bottom w:val="nil"/>
              <w:right w:val="single" w:sz="4" w:space="0" w:color="FFFFFF" w:themeColor="background2"/>
            </w:tcBorders>
            <w:vAlign w:val="center"/>
          </w:tcPr>
          <w:p w14:paraId="6B05FFC6" w14:textId="1654CDEF" w:rsidR="00FA637F" w:rsidRPr="00A243A6" w:rsidRDefault="002A425B" w:rsidP="009C1537">
            <w:pPr>
              <w:widowControl w:val="0"/>
              <w:jc w:val="center"/>
              <w:cnfStyle w:val="000000000000" w:firstRow="0" w:lastRow="0" w:firstColumn="0" w:lastColumn="0" w:oddVBand="0" w:evenVBand="0" w:oddHBand="0" w:evenHBand="0" w:firstRowFirstColumn="0" w:firstRowLastColumn="0" w:lastRowFirstColumn="0" w:lastRowLastColumn="0"/>
              <w:rPr>
                <w:rFonts w:ascii="Calibri" w:hAnsi="Calibri"/>
                <w:color w:val="404040" w:themeColor="text1" w:themeTint="BF"/>
                <w:kern w:val="28"/>
                <w:sz w:val="18"/>
                <w:szCs w:val="18"/>
              </w:rPr>
            </w:pPr>
            <w:r>
              <w:rPr>
                <w:rFonts w:ascii="Calibri" w:hAnsi="Calibri"/>
                <w:color w:val="404040" w:themeColor="text1" w:themeTint="BF"/>
                <w:kern w:val="28"/>
                <w:sz w:val="18"/>
                <w:szCs w:val="18"/>
              </w:rPr>
              <w:t>2%</w:t>
            </w:r>
          </w:p>
        </w:tc>
        <w:tc>
          <w:tcPr>
            <w:tcW w:w="711" w:type="pct"/>
            <w:tcBorders>
              <w:top w:val="nil"/>
              <w:left w:val="single" w:sz="4" w:space="0" w:color="FFFFFF" w:themeColor="background2"/>
              <w:bottom w:val="nil"/>
              <w:right w:val="nil"/>
            </w:tcBorders>
            <w:vAlign w:val="center"/>
          </w:tcPr>
          <w:p w14:paraId="60324B3C" w14:textId="4581E464" w:rsidR="008C066D" w:rsidRPr="003B69D2" w:rsidRDefault="001C730D" w:rsidP="000C014F">
            <w:pPr>
              <w:widowControl w:val="0"/>
              <w:jc w:val="center"/>
              <w:cnfStyle w:val="000000000000" w:firstRow="0" w:lastRow="0" w:firstColumn="0" w:lastColumn="0" w:oddVBand="0" w:evenVBand="0" w:oddHBand="0" w:evenHBand="0" w:firstRowFirstColumn="0" w:firstRowLastColumn="0" w:lastRowFirstColumn="0" w:lastRowLastColumn="0"/>
              <w:rPr>
                <w:rFonts w:ascii="Calibri" w:hAnsi="Calibri"/>
                <w:b/>
                <w:color w:val="404040" w:themeColor="text1" w:themeTint="BF"/>
                <w:sz w:val="18"/>
                <w:szCs w:val="18"/>
              </w:rPr>
            </w:pPr>
            <w:r w:rsidRPr="003B69D2">
              <w:rPr>
                <w:rFonts w:ascii="Calibri" w:hAnsi="Calibri"/>
                <w:b/>
                <w:color w:val="404040" w:themeColor="text1" w:themeTint="BF"/>
                <w:sz w:val="18"/>
                <w:szCs w:val="18"/>
              </w:rPr>
              <w:t>Neutral</w:t>
            </w:r>
          </w:p>
        </w:tc>
        <w:tc>
          <w:tcPr>
            <w:tcW w:w="2023" w:type="pct"/>
            <w:tcBorders>
              <w:top w:val="nil"/>
              <w:left w:val="nil"/>
              <w:bottom w:val="nil"/>
              <w:right w:val="nil"/>
            </w:tcBorders>
            <w:vAlign w:val="center"/>
          </w:tcPr>
          <w:p w14:paraId="047D23D4" w14:textId="79A43159" w:rsidR="008C066D" w:rsidRPr="003B69D2" w:rsidRDefault="004C5F47" w:rsidP="00434B36">
            <w:pPr>
              <w:widowControl w:val="0"/>
              <w:jc w:val="center"/>
              <w:cnfStyle w:val="000000000000" w:firstRow="0" w:lastRow="0" w:firstColumn="0" w:lastColumn="0" w:oddVBand="0" w:evenVBand="0" w:oddHBand="0" w:evenHBand="0" w:firstRowFirstColumn="0" w:firstRowLastColumn="0" w:lastRowFirstColumn="0" w:lastRowLastColumn="0"/>
              <w:rPr>
                <w:rFonts w:ascii="Calibri" w:hAnsi="Calibri"/>
                <w:color w:val="404040" w:themeColor="text1" w:themeTint="BF"/>
                <w:sz w:val="18"/>
                <w:szCs w:val="18"/>
              </w:rPr>
            </w:pPr>
            <w:r>
              <w:rPr>
                <w:rFonts w:ascii="Calibri" w:hAnsi="Calibri"/>
                <w:color w:val="404040" w:themeColor="text1" w:themeTint="BF"/>
                <w:sz w:val="18"/>
                <w:szCs w:val="18"/>
              </w:rPr>
              <w:t xml:space="preserve">Funded 60/40 from Bridge </w:t>
            </w:r>
            <w:r w:rsidR="00D23B6D">
              <w:rPr>
                <w:rFonts w:ascii="Calibri" w:hAnsi="Calibri"/>
                <w:color w:val="404040" w:themeColor="text1" w:themeTint="BF"/>
                <w:sz w:val="18"/>
                <w:szCs w:val="18"/>
              </w:rPr>
              <w:t>Investment Group and BLP Principals</w:t>
            </w:r>
            <w:r w:rsidR="00F7790B">
              <w:rPr>
                <w:rFonts w:ascii="Calibri" w:hAnsi="Calibri"/>
                <w:color w:val="404040" w:themeColor="text1" w:themeTint="BF"/>
                <w:sz w:val="18"/>
                <w:szCs w:val="18"/>
              </w:rPr>
              <w:t xml:space="preserve"> respectively</w:t>
            </w:r>
            <w:r w:rsidR="00D23B6D">
              <w:rPr>
                <w:rFonts w:ascii="Calibri" w:hAnsi="Calibri"/>
                <w:color w:val="404040" w:themeColor="text1" w:themeTint="BF"/>
                <w:sz w:val="18"/>
                <w:szCs w:val="18"/>
              </w:rPr>
              <w:t xml:space="preserve"> </w:t>
            </w:r>
            <w:r w:rsidR="00F7790B">
              <w:rPr>
                <w:rFonts w:ascii="Calibri" w:hAnsi="Calibri"/>
                <w:color w:val="404040" w:themeColor="text1" w:themeTint="BF"/>
                <w:sz w:val="18"/>
                <w:szCs w:val="18"/>
              </w:rPr>
              <w:t>(</w:t>
            </w:r>
            <w:r w:rsidR="007D4FF0">
              <w:rPr>
                <w:rFonts w:ascii="Calibri" w:hAnsi="Calibri"/>
                <w:color w:val="404040" w:themeColor="text1" w:themeTint="BF"/>
                <w:sz w:val="18"/>
                <w:szCs w:val="18"/>
              </w:rPr>
              <w:t>primarily</w:t>
            </w:r>
            <w:r w:rsidR="00D23B6D">
              <w:rPr>
                <w:rFonts w:ascii="Calibri" w:hAnsi="Calibri"/>
                <w:color w:val="404040" w:themeColor="text1" w:themeTint="BF"/>
                <w:sz w:val="18"/>
                <w:szCs w:val="18"/>
              </w:rPr>
              <w:t xml:space="preserve"> Messrs. Cornforth and Gagne</w:t>
            </w:r>
            <w:r w:rsidR="00F7790B">
              <w:rPr>
                <w:rFonts w:ascii="Calibri" w:hAnsi="Calibri"/>
                <w:color w:val="404040" w:themeColor="text1" w:themeTint="BF"/>
                <w:sz w:val="18"/>
                <w:szCs w:val="18"/>
              </w:rPr>
              <w:t>)</w:t>
            </w:r>
          </w:p>
        </w:tc>
      </w:tr>
      <w:tr w:rsidR="008C066D" w:rsidRPr="00DA4498" w14:paraId="0361C95A" w14:textId="77777777" w:rsidTr="00410972">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979" w:type="pct"/>
            <w:tcBorders>
              <w:top w:val="nil"/>
              <w:left w:val="nil"/>
              <w:bottom w:val="nil"/>
              <w:right w:val="nil"/>
            </w:tcBorders>
            <w:vAlign w:val="center"/>
          </w:tcPr>
          <w:p w14:paraId="18C7769D" w14:textId="3C05F78D" w:rsidR="008C066D" w:rsidRPr="00A243A6" w:rsidRDefault="001D75B2" w:rsidP="00B81128">
            <w:pPr>
              <w:widowControl w:val="0"/>
              <w:jc w:val="right"/>
              <w:rPr>
                <w:rFonts w:ascii="Calibri" w:hAnsi="Calibri"/>
                <w:color w:val="404040" w:themeColor="text1" w:themeTint="BF"/>
                <w:kern w:val="28"/>
                <w:sz w:val="18"/>
                <w:szCs w:val="18"/>
              </w:rPr>
            </w:pPr>
            <w:r w:rsidRPr="00A243A6">
              <w:rPr>
                <w:rFonts w:ascii="Calibri" w:hAnsi="Calibri"/>
                <w:color w:val="404040" w:themeColor="text1" w:themeTint="BF"/>
                <w:sz w:val="18"/>
                <w:szCs w:val="18"/>
              </w:rPr>
              <w:t>Investment Period</w:t>
            </w:r>
            <w:r w:rsidR="00972B29" w:rsidRPr="00A243A6">
              <w:rPr>
                <w:rFonts w:ascii="Calibri" w:hAnsi="Calibri"/>
                <w:color w:val="404040" w:themeColor="text1" w:themeTint="BF"/>
                <w:sz w:val="18"/>
                <w:szCs w:val="18"/>
              </w:rPr>
              <w:t>:</w:t>
            </w:r>
          </w:p>
        </w:tc>
        <w:tc>
          <w:tcPr>
            <w:tcW w:w="1288" w:type="pct"/>
            <w:tcBorders>
              <w:top w:val="nil"/>
              <w:left w:val="nil"/>
              <w:bottom w:val="nil"/>
              <w:right w:val="single" w:sz="4" w:space="0" w:color="FFFFFF" w:themeColor="background2"/>
            </w:tcBorders>
            <w:vAlign w:val="center"/>
          </w:tcPr>
          <w:p w14:paraId="371E2879" w14:textId="5210D95A" w:rsidR="008C066D" w:rsidRPr="009F64B0" w:rsidRDefault="00D94CEE" w:rsidP="00353833">
            <w:pPr>
              <w:widowControl w:val="0"/>
              <w:jc w:val="center"/>
              <w:cnfStyle w:val="000000100000" w:firstRow="0" w:lastRow="0" w:firstColumn="0" w:lastColumn="0" w:oddVBand="0" w:evenVBand="0" w:oddHBand="1" w:evenHBand="0" w:firstRowFirstColumn="0" w:firstRowLastColumn="0" w:lastRowFirstColumn="0" w:lastRowLastColumn="0"/>
              <w:rPr>
                <w:rFonts w:ascii="Calibri" w:hAnsi="Calibri"/>
                <w:color w:val="404040" w:themeColor="text1" w:themeTint="BF"/>
                <w:kern w:val="28"/>
                <w:sz w:val="18"/>
                <w:szCs w:val="18"/>
              </w:rPr>
            </w:pPr>
            <w:r>
              <w:rPr>
                <w:rFonts w:ascii="Calibri" w:hAnsi="Calibri"/>
                <w:color w:val="404040" w:themeColor="text1" w:themeTint="BF"/>
                <w:kern w:val="28"/>
                <w:sz w:val="18"/>
                <w:szCs w:val="18"/>
              </w:rPr>
              <w:t>Three Years</w:t>
            </w:r>
          </w:p>
        </w:tc>
        <w:tc>
          <w:tcPr>
            <w:tcW w:w="711" w:type="pct"/>
            <w:tcBorders>
              <w:top w:val="nil"/>
              <w:left w:val="single" w:sz="4" w:space="0" w:color="FFFFFF" w:themeColor="background2"/>
              <w:bottom w:val="nil"/>
              <w:right w:val="nil"/>
            </w:tcBorders>
            <w:vAlign w:val="center"/>
          </w:tcPr>
          <w:p w14:paraId="1B036FB8" w14:textId="77777777" w:rsidR="008C066D" w:rsidRPr="009F64B0" w:rsidRDefault="004D4E6F" w:rsidP="000C014F">
            <w:pPr>
              <w:widowControl w:val="0"/>
              <w:jc w:val="center"/>
              <w:cnfStyle w:val="000000100000" w:firstRow="0" w:lastRow="0" w:firstColumn="0" w:lastColumn="0" w:oddVBand="0" w:evenVBand="0" w:oddHBand="1" w:evenHBand="0" w:firstRowFirstColumn="0" w:firstRowLastColumn="0" w:lastRowFirstColumn="0" w:lastRowLastColumn="0"/>
              <w:rPr>
                <w:rFonts w:ascii="Calibri" w:hAnsi="Calibri"/>
                <w:b/>
                <w:color w:val="404040" w:themeColor="text1" w:themeTint="BF"/>
                <w:sz w:val="18"/>
                <w:szCs w:val="18"/>
              </w:rPr>
            </w:pPr>
            <w:r w:rsidRPr="009F64B0">
              <w:rPr>
                <w:rFonts w:ascii="Calibri" w:hAnsi="Calibri"/>
                <w:b/>
                <w:color w:val="404040" w:themeColor="text1" w:themeTint="BF"/>
                <w:sz w:val="18"/>
                <w:szCs w:val="18"/>
              </w:rPr>
              <w:t>Neutral</w:t>
            </w:r>
          </w:p>
        </w:tc>
        <w:tc>
          <w:tcPr>
            <w:tcW w:w="2023" w:type="pct"/>
            <w:tcBorders>
              <w:top w:val="nil"/>
              <w:left w:val="nil"/>
              <w:bottom w:val="nil"/>
              <w:right w:val="nil"/>
            </w:tcBorders>
            <w:vAlign w:val="center"/>
          </w:tcPr>
          <w:p w14:paraId="6DE19D70" w14:textId="76F05049" w:rsidR="008F6A6C" w:rsidRPr="009F64B0" w:rsidRDefault="00356464" w:rsidP="008F6A6C">
            <w:pPr>
              <w:widowControl w:val="0"/>
              <w:jc w:val="center"/>
              <w:cnfStyle w:val="000000100000" w:firstRow="0" w:lastRow="0" w:firstColumn="0" w:lastColumn="0" w:oddVBand="0" w:evenVBand="0" w:oddHBand="1" w:evenHBand="0" w:firstRowFirstColumn="0" w:firstRowLastColumn="0" w:lastRowFirstColumn="0" w:lastRowLastColumn="0"/>
              <w:rPr>
                <w:rFonts w:ascii="Calibri" w:hAnsi="Calibri"/>
                <w:color w:val="404040" w:themeColor="text1" w:themeTint="BF"/>
                <w:sz w:val="18"/>
                <w:szCs w:val="18"/>
              </w:rPr>
            </w:pPr>
            <w:r>
              <w:rPr>
                <w:rFonts w:ascii="Calibri" w:hAnsi="Calibri"/>
                <w:color w:val="404040" w:themeColor="text1" w:themeTint="BF"/>
                <w:sz w:val="18"/>
                <w:szCs w:val="18"/>
              </w:rPr>
              <w:t xml:space="preserve">Formal definition is TBD; the Manager expects to deploy capital over a </w:t>
            </w:r>
            <w:proofErr w:type="gramStart"/>
            <w:r>
              <w:rPr>
                <w:rFonts w:ascii="Calibri" w:hAnsi="Calibri"/>
                <w:color w:val="404040" w:themeColor="text1" w:themeTint="BF"/>
                <w:sz w:val="18"/>
                <w:szCs w:val="18"/>
              </w:rPr>
              <w:t>three year</w:t>
            </w:r>
            <w:proofErr w:type="gramEnd"/>
            <w:r>
              <w:rPr>
                <w:rFonts w:ascii="Calibri" w:hAnsi="Calibri"/>
                <w:color w:val="404040" w:themeColor="text1" w:themeTint="BF"/>
                <w:sz w:val="18"/>
                <w:szCs w:val="18"/>
              </w:rPr>
              <w:t xml:space="preserve"> period and provide NYSCRF with a right to </w:t>
            </w:r>
            <w:r w:rsidR="00A13ED0">
              <w:rPr>
                <w:rFonts w:ascii="Calibri" w:hAnsi="Calibri"/>
                <w:color w:val="404040" w:themeColor="text1" w:themeTint="BF"/>
                <w:sz w:val="18"/>
                <w:szCs w:val="18"/>
              </w:rPr>
              <w:t xml:space="preserve">trigger a phase out period </w:t>
            </w:r>
            <w:r w:rsidR="00E67602">
              <w:rPr>
                <w:rFonts w:ascii="Calibri" w:hAnsi="Calibri"/>
                <w:color w:val="404040" w:themeColor="text1" w:themeTint="BF"/>
                <w:sz w:val="18"/>
                <w:szCs w:val="18"/>
              </w:rPr>
              <w:t>during which no new projects would be initiated</w:t>
            </w:r>
          </w:p>
        </w:tc>
      </w:tr>
      <w:tr w:rsidR="008C066D" w:rsidRPr="00DA4498" w14:paraId="2B1DC145" w14:textId="77777777" w:rsidTr="00410972">
        <w:trPr>
          <w:trHeight w:val="898"/>
        </w:trPr>
        <w:tc>
          <w:tcPr>
            <w:cnfStyle w:val="001000000000" w:firstRow="0" w:lastRow="0" w:firstColumn="1" w:lastColumn="0" w:oddVBand="0" w:evenVBand="0" w:oddHBand="0" w:evenHBand="0" w:firstRowFirstColumn="0" w:firstRowLastColumn="0" w:lastRowFirstColumn="0" w:lastRowLastColumn="0"/>
            <w:tcW w:w="979" w:type="pct"/>
            <w:tcBorders>
              <w:top w:val="nil"/>
              <w:left w:val="nil"/>
              <w:bottom w:val="nil"/>
              <w:right w:val="nil"/>
            </w:tcBorders>
            <w:vAlign w:val="center"/>
          </w:tcPr>
          <w:p w14:paraId="59763851" w14:textId="77777777" w:rsidR="008C066D" w:rsidRPr="00A243A6" w:rsidRDefault="008C066D" w:rsidP="00B81128">
            <w:pPr>
              <w:widowControl w:val="0"/>
              <w:jc w:val="right"/>
              <w:rPr>
                <w:rFonts w:ascii="Calibri" w:hAnsi="Calibri"/>
                <w:color w:val="404040" w:themeColor="text1" w:themeTint="BF"/>
                <w:kern w:val="28"/>
                <w:sz w:val="18"/>
                <w:szCs w:val="18"/>
              </w:rPr>
            </w:pPr>
            <w:r w:rsidRPr="00A243A6">
              <w:rPr>
                <w:rFonts w:ascii="Calibri" w:hAnsi="Calibri"/>
                <w:color w:val="404040" w:themeColor="text1" w:themeTint="BF"/>
                <w:sz w:val="18"/>
                <w:szCs w:val="18"/>
              </w:rPr>
              <w:t xml:space="preserve">Term: </w:t>
            </w:r>
          </w:p>
        </w:tc>
        <w:tc>
          <w:tcPr>
            <w:tcW w:w="1288" w:type="pct"/>
            <w:tcBorders>
              <w:top w:val="nil"/>
              <w:left w:val="nil"/>
              <w:bottom w:val="nil"/>
              <w:right w:val="single" w:sz="4" w:space="0" w:color="FFFFFF" w:themeColor="background2"/>
            </w:tcBorders>
            <w:vAlign w:val="center"/>
          </w:tcPr>
          <w:p w14:paraId="275B653A" w14:textId="2AC05912" w:rsidR="008C066D" w:rsidRPr="009F64B0" w:rsidRDefault="00D94CEE" w:rsidP="00D0756C">
            <w:pPr>
              <w:widowControl w:val="0"/>
              <w:jc w:val="center"/>
              <w:cnfStyle w:val="000000000000" w:firstRow="0" w:lastRow="0" w:firstColumn="0" w:lastColumn="0" w:oddVBand="0" w:evenVBand="0" w:oddHBand="0" w:evenHBand="0" w:firstRowFirstColumn="0" w:firstRowLastColumn="0" w:lastRowFirstColumn="0" w:lastRowLastColumn="0"/>
              <w:rPr>
                <w:rFonts w:ascii="Calibri" w:hAnsi="Calibri"/>
                <w:color w:val="404040" w:themeColor="text1" w:themeTint="BF"/>
                <w:sz w:val="18"/>
                <w:szCs w:val="18"/>
              </w:rPr>
            </w:pPr>
            <w:r>
              <w:rPr>
                <w:rFonts w:ascii="Calibri" w:hAnsi="Calibri"/>
                <w:color w:val="404040" w:themeColor="text1" w:themeTint="BF"/>
                <w:sz w:val="18"/>
                <w:szCs w:val="18"/>
              </w:rPr>
              <w:t>Eight Years</w:t>
            </w:r>
            <w:r w:rsidR="00AF35BA">
              <w:rPr>
                <w:rFonts w:ascii="Calibri" w:hAnsi="Calibri"/>
                <w:color w:val="404040" w:themeColor="text1" w:themeTint="BF"/>
                <w:sz w:val="18"/>
                <w:szCs w:val="18"/>
              </w:rPr>
              <w:t xml:space="preserve"> from Initial Closing</w:t>
            </w:r>
          </w:p>
        </w:tc>
        <w:tc>
          <w:tcPr>
            <w:tcW w:w="711" w:type="pct"/>
            <w:tcBorders>
              <w:top w:val="nil"/>
              <w:left w:val="single" w:sz="4" w:space="0" w:color="FFFFFF" w:themeColor="background2"/>
              <w:bottom w:val="nil"/>
              <w:right w:val="nil"/>
            </w:tcBorders>
            <w:vAlign w:val="center"/>
          </w:tcPr>
          <w:p w14:paraId="784727D3" w14:textId="35BC9426" w:rsidR="008C066D" w:rsidRPr="009F64B0" w:rsidRDefault="00CB754B" w:rsidP="000C014F">
            <w:pPr>
              <w:widowControl w:val="0"/>
              <w:jc w:val="center"/>
              <w:cnfStyle w:val="000000000000" w:firstRow="0" w:lastRow="0" w:firstColumn="0" w:lastColumn="0" w:oddVBand="0" w:evenVBand="0" w:oddHBand="0" w:evenHBand="0" w:firstRowFirstColumn="0" w:firstRowLastColumn="0" w:lastRowFirstColumn="0" w:lastRowLastColumn="0"/>
              <w:rPr>
                <w:rFonts w:ascii="Calibri" w:hAnsi="Calibri"/>
                <w:b/>
                <w:color w:val="404040" w:themeColor="text1" w:themeTint="BF"/>
                <w:sz w:val="18"/>
                <w:szCs w:val="18"/>
              </w:rPr>
            </w:pPr>
            <w:r w:rsidRPr="009F64B0">
              <w:rPr>
                <w:rFonts w:ascii="Calibri" w:hAnsi="Calibri"/>
                <w:b/>
                <w:color w:val="404040" w:themeColor="text1" w:themeTint="BF"/>
                <w:sz w:val="18"/>
                <w:szCs w:val="18"/>
              </w:rPr>
              <w:t>Neutral</w:t>
            </w:r>
          </w:p>
        </w:tc>
        <w:tc>
          <w:tcPr>
            <w:tcW w:w="2023" w:type="pct"/>
            <w:tcBorders>
              <w:top w:val="nil"/>
              <w:left w:val="nil"/>
              <w:bottom w:val="nil"/>
              <w:right w:val="nil"/>
            </w:tcBorders>
            <w:vAlign w:val="center"/>
          </w:tcPr>
          <w:p w14:paraId="5CCFCDF9" w14:textId="087B231C" w:rsidR="008C066D" w:rsidRPr="009F64B0" w:rsidRDefault="00261121" w:rsidP="004B09B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404040" w:themeColor="text1" w:themeTint="BF"/>
                <w:sz w:val="18"/>
                <w:szCs w:val="18"/>
              </w:rPr>
            </w:pPr>
            <w:r>
              <w:rPr>
                <w:rFonts w:ascii="Calibri" w:hAnsi="Calibri" w:cs="Calibri"/>
                <w:color w:val="404040" w:themeColor="text1" w:themeTint="BF"/>
                <w:sz w:val="18"/>
                <w:szCs w:val="18"/>
              </w:rPr>
              <w:t>The Fund will have an initial</w:t>
            </w:r>
            <w:r w:rsidR="00AF35BA">
              <w:rPr>
                <w:rFonts w:ascii="Calibri" w:hAnsi="Calibri" w:cs="Calibri"/>
                <w:color w:val="404040" w:themeColor="text1" w:themeTint="BF"/>
                <w:sz w:val="18"/>
                <w:szCs w:val="18"/>
              </w:rPr>
              <w:t xml:space="preserve"> </w:t>
            </w:r>
            <w:r w:rsidR="00682807">
              <w:rPr>
                <w:rFonts w:ascii="Calibri" w:hAnsi="Calibri" w:cs="Calibri"/>
                <w:color w:val="404040" w:themeColor="text1" w:themeTint="BF"/>
                <w:sz w:val="18"/>
                <w:szCs w:val="18"/>
              </w:rPr>
              <w:t xml:space="preserve">term, after which the Fund will be able to transfer remaining assets at then-present valuations </w:t>
            </w:r>
            <w:r w:rsidR="0021654A">
              <w:rPr>
                <w:rFonts w:ascii="Calibri" w:hAnsi="Calibri" w:cs="Calibri"/>
                <w:color w:val="404040" w:themeColor="text1" w:themeTint="BF"/>
                <w:sz w:val="18"/>
                <w:szCs w:val="18"/>
              </w:rPr>
              <w:t>into an operating pool</w:t>
            </w:r>
          </w:p>
        </w:tc>
      </w:tr>
      <w:tr w:rsidR="008C066D" w:rsidRPr="00DA4498" w14:paraId="75287CF0" w14:textId="77777777" w:rsidTr="00F7790B">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979" w:type="pct"/>
            <w:tcBorders>
              <w:top w:val="nil"/>
              <w:left w:val="nil"/>
              <w:bottom w:val="nil"/>
              <w:right w:val="nil"/>
            </w:tcBorders>
            <w:vAlign w:val="center"/>
          </w:tcPr>
          <w:p w14:paraId="2F8C388D" w14:textId="77777777" w:rsidR="003A7234" w:rsidRPr="00F52F54" w:rsidRDefault="008C066D" w:rsidP="00D0756C">
            <w:pPr>
              <w:widowControl w:val="0"/>
              <w:jc w:val="right"/>
              <w:rPr>
                <w:rFonts w:ascii="Calibri" w:hAnsi="Calibri"/>
                <w:color w:val="404040" w:themeColor="text1" w:themeTint="BF"/>
                <w:sz w:val="18"/>
                <w:szCs w:val="18"/>
              </w:rPr>
            </w:pPr>
            <w:r w:rsidRPr="00F52F54">
              <w:rPr>
                <w:rFonts w:ascii="Calibri" w:hAnsi="Calibri"/>
                <w:color w:val="404040" w:themeColor="text1" w:themeTint="BF"/>
                <w:sz w:val="18"/>
                <w:szCs w:val="18"/>
              </w:rPr>
              <w:t xml:space="preserve">Key Person </w:t>
            </w:r>
            <w:r w:rsidR="003A7234" w:rsidRPr="00F52F54">
              <w:rPr>
                <w:rFonts w:ascii="Calibri" w:hAnsi="Calibri"/>
                <w:color w:val="404040" w:themeColor="text1" w:themeTint="BF"/>
                <w:sz w:val="18"/>
                <w:szCs w:val="18"/>
              </w:rPr>
              <w:t>Provision</w:t>
            </w:r>
            <w:r w:rsidR="00D0756C" w:rsidRPr="00F52F54">
              <w:rPr>
                <w:rFonts w:ascii="Calibri" w:hAnsi="Calibri"/>
                <w:color w:val="404040" w:themeColor="text1" w:themeTint="BF"/>
                <w:sz w:val="18"/>
                <w:szCs w:val="18"/>
              </w:rPr>
              <w:t>:</w:t>
            </w:r>
          </w:p>
        </w:tc>
        <w:tc>
          <w:tcPr>
            <w:tcW w:w="1288" w:type="pct"/>
            <w:tcBorders>
              <w:top w:val="nil"/>
              <w:left w:val="nil"/>
              <w:bottom w:val="nil"/>
              <w:right w:val="single" w:sz="4" w:space="0" w:color="FFFFFF" w:themeColor="background2"/>
            </w:tcBorders>
            <w:vAlign w:val="center"/>
          </w:tcPr>
          <w:p w14:paraId="316253D0" w14:textId="09ECB926" w:rsidR="00DA66CB" w:rsidRPr="00F52F54" w:rsidRDefault="00CC3913" w:rsidP="00951C13">
            <w:pPr>
              <w:jc w:val="center"/>
              <w:cnfStyle w:val="000000100000" w:firstRow="0" w:lastRow="0" w:firstColumn="0" w:lastColumn="0" w:oddVBand="0" w:evenVBand="0" w:oddHBand="1" w:evenHBand="0" w:firstRowFirstColumn="0" w:firstRowLastColumn="0" w:lastRowFirstColumn="0" w:lastRowLastColumn="0"/>
              <w:rPr>
                <w:rFonts w:ascii="Calibri" w:hAnsi="Calibri"/>
                <w:noProof/>
                <w:color w:val="404040" w:themeColor="text1" w:themeTint="BF"/>
                <w:sz w:val="18"/>
                <w:szCs w:val="18"/>
              </w:rPr>
            </w:pPr>
            <w:r>
              <w:rPr>
                <w:rFonts w:ascii="Calibri" w:hAnsi="Calibri"/>
                <w:noProof/>
                <w:color w:val="404040" w:themeColor="text1" w:themeTint="BF"/>
                <w:sz w:val="18"/>
                <w:szCs w:val="18"/>
              </w:rPr>
              <w:t>Triggered by departure or inactivity of both Jay Cornforth and Brian Gagne</w:t>
            </w:r>
            <w:r w:rsidR="00C55C50">
              <w:rPr>
                <w:rFonts w:ascii="Calibri" w:hAnsi="Calibri"/>
                <w:noProof/>
                <w:color w:val="404040" w:themeColor="text1" w:themeTint="BF"/>
                <w:sz w:val="18"/>
                <w:szCs w:val="18"/>
              </w:rPr>
              <w:t>, resulting in a cause event</w:t>
            </w:r>
            <w:r w:rsidR="005F0A32">
              <w:rPr>
                <w:rFonts w:ascii="Calibri" w:hAnsi="Calibri"/>
                <w:noProof/>
                <w:color w:val="404040" w:themeColor="text1" w:themeTint="BF"/>
                <w:sz w:val="18"/>
                <w:szCs w:val="18"/>
              </w:rPr>
              <w:t xml:space="preserve"> in the below removal provision</w:t>
            </w:r>
          </w:p>
        </w:tc>
        <w:tc>
          <w:tcPr>
            <w:tcW w:w="711" w:type="pct"/>
            <w:tcBorders>
              <w:top w:val="nil"/>
              <w:left w:val="single" w:sz="4" w:space="0" w:color="FFFFFF" w:themeColor="background2"/>
              <w:bottom w:val="nil"/>
              <w:right w:val="nil"/>
            </w:tcBorders>
            <w:vAlign w:val="center"/>
          </w:tcPr>
          <w:p w14:paraId="24361D31" w14:textId="715C34A4" w:rsidR="008C066D" w:rsidRPr="00D27F46" w:rsidRDefault="00C75E01" w:rsidP="000C014F">
            <w:pPr>
              <w:jc w:val="center"/>
              <w:cnfStyle w:val="000000100000" w:firstRow="0" w:lastRow="0" w:firstColumn="0" w:lastColumn="0" w:oddVBand="0" w:evenVBand="0" w:oddHBand="1" w:evenHBand="0" w:firstRowFirstColumn="0" w:firstRowLastColumn="0" w:lastRowFirstColumn="0" w:lastRowLastColumn="0"/>
              <w:rPr>
                <w:rFonts w:ascii="Calibri" w:hAnsi="Calibri"/>
                <w:b/>
                <w:color w:val="404040" w:themeColor="text1" w:themeTint="BF"/>
                <w:sz w:val="18"/>
                <w:szCs w:val="18"/>
              </w:rPr>
            </w:pPr>
            <w:r>
              <w:rPr>
                <w:rFonts w:ascii="Calibri" w:hAnsi="Calibri"/>
                <w:b/>
                <w:color w:val="404040" w:themeColor="text1" w:themeTint="BF"/>
                <w:sz w:val="18"/>
                <w:szCs w:val="18"/>
              </w:rPr>
              <w:t>Negative</w:t>
            </w:r>
          </w:p>
        </w:tc>
        <w:tc>
          <w:tcPr>
            <w:tcW w:w="2023" w:type="pct"/>
            <w:tcBorders>
              <w:top w:val="nil"/>
              <w:left w:val="nil"/>
              <w:bottom w:val="nil"/>
              <w:right w:val="nil"/>
            </w:tcBorders>
            <w:vAlign w:val="center"/>
          </w:tcPr>
          <w:p w14:paraId="4B0AB758" w14:textId="7E987B0C" w:rsidR="0060530A" w:rsidRPr="00D27F46" w:rsidRDefault="00C75E01" w:rsidP="00B612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404040" w:themeColor="text1" w:themeTint="BF"/>
                <w:sz w:val="18"/>
                <w:szCs w:val="18"/>
              </w:rPr>
            </w:pPr>
            <w:r>
              <w:rPr>
                <w:rFonts w:ascii="Calibri" w:hAnsi="Calibri"/>
                <w:color w:val="404040" w:themeColor="text1" w:themeTint="BF"/>
                <w:sz w:val="18"/>
                <w:szCs w:val="18"/>
              </w:rPr>
              <w:t xml:space="preserve">Subject to a replacement right </w:t>
            </w:r>
            <w:r w:rsidR="00F54F91">
              <w:rPr>
                <w:rFonts w:ascii="Calibri" w:hAnsi="Calibri"/>
                <w:color w:val="404040" w:themeColor="text1" w:themeTint="BF"/>
                <w:sz w:val="18"/>
                <w:szCs w:val="18"/>
              </w:rPr>
              <w:t>at NYSCRF discretion</w:t>
            </w:r>
            <w:r w:rsidR="005A75C6">
              <w:rPr>
                <w:rFonts w:ascii="Calibri" w:hAnsi="Calibri"/>
                <w:color w:val="404040" w:themeColor="text1" w:themeTint="BF"/>
                <w:sz w:val="18"/>
                <w:szCs w:val="18"/>
              </w:rPr>
              <w:t xml:space="preserve">. At this stage preference would be for </w:t>
            </w:r>
            <w:r w:rsidR="005F0A32">
              <w:rPr>
                <w:rFonts w:ascii="Calibri" w:hAnsi="Calibri"/>
                <w:color w:val="404040" w:themeColor="text1" w:themeTint="BF"/>
                <w:sz w:val="18"/>
                <w:szCs w:val="18"/>
              </w:rPr>
              <w:t>both Key Persons to</w:t>
            </w:r>
            <w:r w:rsidR="00642823">
              <w:rPr>
                <w:rFonts w:ascii="Calibri" w:hAnsi="Calibri"/>
                <w:color w:val="404040" w:themeColor="text1" w:themeTint="BF"/>
                <w:sz w:val="18"/>
                <w:szCs w:val="18"/>
              </w:rPr>
              <w:t xml:space="preserve"> trigger an event individually but this is alleviated by NYSCRF’s level of investment discretion</w:t>
            </w:r>
          </w:p>
        </w:tc>
      </w:tr>
      <w:tr w:rsidR="00D21E2B" w:rsidRPr="00DA4498" w14:paraId="3A73CBAB" w14:textId="77777777" w:rsidTr="00410972">
        <w:trPr>
          <w:trHeight w:val="790"/>
        </w:trPr>
        <w:tc>
          <w:tcPr>
            <w:cnfStyle w:val="001000000000" w:firstRow="0" w:lastRow="0" w:firstColumn="1" w:lastColumn="0" w:oddVBand="0" w:evenVBand="0" w:oddHBand="0" w:evenHBand="0" w:firstRowFirstColumn="0" w:firstRowLastColumn="0" w:lastRowFirstColumn="0" w:lastRowLastColumn="0"/>
            <w:tcW w:w="979" w:type="pct"/>
            <w:tcBorders>
              <w:top w:val="nil"/>
              <w:left w:val="nil"/>
              <w:bottom w:val="nil"/>
              <w:right w:val="nil"/>
            </w:tcBorders>
            <w:vAlign w:val="center"/>
          </w:tcPr>
          <w:p w14:paraId="2D4DF874" w14:textId="77777777" w:rsidR="00D21E2B" w:rsidRPr="00F52F54" w:rsidRDefault="00D21E2B" w:rsidP="00D0756C">
            <w:pPr>
              <w:widowControl w:val="0"/>
              <w:jc w:val="right"/>
              <w:rPr>
                <w:rFonts w:ascii="Calibri" w:hAnsi="Calibri"/>
                <w:color w:val="404040" w:themeColor="text1" w:themeTint="BF"/>
                <w:sz w:val="18"/>
                <w:szCs w:val="18"/>
              </w:rPr>
            </w:pPr>
            <w:r w:rsidRPr="00F52F54">
              <w:rPr>
                <w:rFonts w:ascii="Calibri" w:hAnsi="Calibri"/>
                <w:color w:val="404040" w:themeColor="text1" w:themeTint="BF"/>
                <w:sz w:val="18"/>
                <w:szCs w:val="18"/>
              </w:rPr>
              <w:t>For Cause Removal:</w:t>
            </w:r>
          </w:p>
        </w:tc>
        <w:tc>
          <w:tcPr>
            <w:tcW w:w="1288" w:type="pct"/>
            <w:tcBorders>
              <w:top w:val="nil"/>
              <w:left w:val="nil"/>
              <w:bottom w:val="nil"/>
              <w:right w:val="single" w:sz="4" w:space="0" w:color="FFFFFF" w:themeColor="background2"/>
            </w:tcBorders>
            <w:vAlign w:val="center"/>
          </w:tcPr>
          <w:p w14:paraId="234137F5" w14:textId="71355A83" w:rsidR="00D21E2B" w:rsidRPr="001304EC" w:rsidRDefault="00CF70F0" w:rsidP="00DA66CB">
            <w:pPr>
              <w:jc w:val="center"/>
              <w:cnfStyle w:val="000000000000" w:firstRow="0" w:lastRow="0" w:firstColumn="0" w:lastColumn="0" w:oddVBand="0" w:evenVBand="0" w:oddHBand="0" w:evenHBand="0" w:firstRowFirstColumn="0" w:firstRowLastColumn="0" w:lastRowFirstColumn="0" w:lastRowLastColumn="0"/>
              <w:rPr>
                <w:rFonts w:ascii="Calibri" w:hAnsi="Calibri"/>
                <w:noProof/>
                <w:color w:val="404040" w:themeColor="text1" w:themeTint="BF"/>
                <w:sz w:val="18"/>
                <w:szCs w:val="18"/>
              </w:rPr>
            </w:pPr>
            <w:r>
              <w:rPr>
                <w:rFonts w:ascii="Calibri" w:hAnsi="Calibri"/>
                <w:noProof/>
                <w:color w:val="404040" w:themeColor="text1" w:themeTint="BF"/>
                <w:sz w:val="18"/>
                <w:szCs w:val="18"/>
              </w:rPr>
              <w:t>At NYSCRF discretion</w:t>
            </w:r>
            <w:r w:rsidR="00517E8C">
              <w:rPr>
                <w:rFonts w:ascii="Calibri" w:hAnsi="Calibri"/>
                <w:noProof/>
                <w:color w:val="404040" w:themeColor="text1" w:themeTint="BF"/>
                <w:sz w:val="18"/>
                <w:szCs w:val="18"/>
              </w:rPr>
              <w:t xml:space="preserve"> with cause event</w:t>
            </w:r>
          </w:p>
        </w:tc>
        <w:tc>
          <w:tcPr>
            <w:tcW w:w="711" w:type="pct"/>
            <w:tcBorders>
              <w:top w:val="nil"/>
              <w:left w:val="single" w:sz="4" w:space="0" w:color="FFFFFF" w:themeColor="background2"/>
              <w:bottom w:val="nil"/>
              <w:right w:val="nil"/>
            </w:tcBorders>
            <w:vAlign w:val="center"/>
          </w:tcPr>
          <w:p w14:paraId="180C863A" w14:textId="222037EB" w:rsidR="00D21E2B" w:rsidRPr="001304EC" w:rsidRDefault="00CF70F0" w:rsidP="000C014F">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404040" w:themeColor="text1" w:themeTint="BF"/>
                <w:sz w:val="18"/>
                <w:szCs w:val="18"/>
              </w:rPr>
            </w:pPr>
            <w:r>
              <w:rPr>
                <w:rFonts w:ascii="Calibri" w:hAnsi="Calibri"/>
                <w:b/>
                <w:color w:val="404040" w:themeColor="text1" w:themeTint="BF"/>
                <w:sz w:val="18"/>
                <w:szCs w:val="18"/>
              </w:rPr>
              <w:t>Positive</w:t>
            </w:r>
          </w:p>
        </w:tc>
        <w:tc>
          <w:tcPr>
            <w:tcW w:w="2023" w:type="pct"/>
            <w:tcBorders>
              <w:top w:val="nil"/>
              <w:left w:val="nil"/>
              <w:bottom w:val="nil"/>
              <w:right w:val="nil"/>
            </w:tcBorders>
            <w:vAlign w:val="center"/>
          </w:tcPr>
          <w:p w14:paraId="338618D7" w14:textId="525F8905" w:rsidR="00D21E2B" w:rsidRPr="001304EC" w:rsidRDefault="00CF70F0" w:rsidP="00B61212">
            <w:pPr>
              <w:jc w:val="center"/>
              <w:cnfStyle w:val="000000000000" w:firstRow="0" w:lastRow="0" w:firstColumn="0" w:lastColumn="0" w:oddVBand="0" w:evenVBand="0" w:oddHBand="0" w:evenHBand="0" w:firstRowFirstColumn="0" w:firstRowLastColumn="0" w:lastRowFirstColumn="0" w:lastRowLastColumn="0"/>
              <w:rPr>
                <w:rFonts w:ascii="Calibri" w:hAnsi="Calibri"/>
                <w:color w:val="404040" w:themeColor="text1" w:themeTint="BF"/>
                <w:sz w:val="18"/>
                <w:szCs w:val="18"/>
              </w:rPr>
            </w:pPr>
            <w:r>
              <w:rPr>
                <w:rFonts w:ascii="Calibri" w:hAnsi="Calibri"/>
                <w:color w:val="404040" w:themeColor="text1" w:themeTint="BF"/>
                <w:sz w:val="18"/>
                <w:szCs w:val="18"/>
              </w:rPr>
              <w:t xml:space="preserve">Subject to </w:t>
            </w:r>
            <w:r w:rsidR="004540D3">
              <w:rPr>
                <w:rFonts w:ascii="Calibri" w:hAnsi="Calibri"/>
                <w:color w:val="404040" w:themeColor="text1" w:themeTint="BF"/>
                <w:sz w:val="18"/>
                <w:szCs w:val="18"/>
              </w:rPr>
              <w:t>a dispute resolution mechanism TBD within operating documents and cure rights for cause</w:t>
            </w:r>
            <w:r w:rsidR="00F977EB">
              <w:rPr>
                <w:rFonts w:ascii="Calibri" w:hAnsi="Calibri"/>
                <w:color w:val="404040" w:themeColor="text1" w:themeTint="BF"/>
                <w:sz w:val="18"/>
                <w:szCs w:val="18"/>
              </w:rPr>
              <w:t xml:space="preserve"> event</w:t>
            </w:r>
            <w:r w:rsidR="004540D3">
              <w:rPr>
                <w:rFonts w:ascii="Calibri" w:hAnsi="Calibri"/>
                <w:color w:val="404040" w:themeColor="text1" w:themeTint="BF"/>
                <w:sz w:val="18"/>
                <w:szCs w:val="18"/>
              </w:rPr>
              <w:t xml:space="preserve"> triggered by non</w:t>
            </w:r>
            <w:r w:rsidR="00495B82">
              <w:rPr>
                <w:rFonts w:ascii="Calibri" w:hAnsi="Calibri"/>
                <w:color w:val="404040" w:themeColor="text1" w:themeTint="BF"/>
                <w:sz w:val="18"/>
                <w:szCs w:val="18"/>
              </w:rPr>
              <w:t>-Key Person employees</w:t>
            </w:r>
          </w:p>
        </w:tc>
      </w:tr>
      <w:tr w:rsidR="008C066D" w:rsidRPr="00DA4498" w14:paraId="3887A4E5" w14:textId="77777777" w:rsidTr="00042D48">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979" w:type="pct"/>
            <w:tcBorders>
              <w:top w:val="nil"/>
              <w:left w:val="nil"/>
              <w:bottom w:val="nil"/>
              <w:right w:val="nil"/>
            </w:tcBorders>
            <w:vAlign w:val="center"/>
          </w:tcPr>
          <w:p w14:paraId="0759379D" w14:textId="77777777" w:rsidR="008C066D" w:rsidRPr="00F52F54" w:rsidRDefault="00D21E2B" w:rsidP="00B81128">
            <w:pPr>
              <w:widowControl w:val="0"/>
              <w:jc w:val="right"/>
              <w:rPr>
                <w:rFonts w:ascii="Calibri" w:hAnsi="Calibri"/>
                <w:color w:val="404040" w:themeColor="text1" w:themeTint="BF"/>
                <w:sz w:val="18"/>
                <w:szCs w:val="18"/>
              </w:rPr>
            </w:pPr>
            <w:r w:rsidRPr="00F52F54">
              <w:rPr>
                <w:rFonts w:ascii="Calibri" w:hAnsi="Calibri"/>
                <w:color w:val="404040" w:themeColor="text1" w:themeTint="BF"/>
                <w:sz w:val="18"/>
                <w:szCs w:val="18"/>
              </w:rPr>
              <w:t xml:space="preserve">No Fault </w:t>
            </w:r>
            <w:r w:rsidR="00DA66CB" w:rsidRPr="00F52F54">
              <w:rPr>
                <w:rFonts w:ascii="Calibri" w:hAnsi="Calibri"/>
                <w:color w:val="404040" w:themeColor="text1" w:themeTint="BF"/>
                <w:sz w:val="18"/>
                <w:szCs w:val="18"/>
              </w:rPr>
              <w:t>Provisions:</w:t>
            </w:r>
          </w:p>
        </w:tc>
        <w:tc>
          <w:tcPr>
            <w:tcW w:w="1288" w:type="pct"/>
            <w:tcBorders>
              <w:top w:val="nil"/>
              <w:left w:val="nil"/>
              <w:bottom w:val="nil"/>
              <w:right w:val="single" w:sz="4" w:space="0" w:color="FFFFFF" w:themeColor="background2"/>
            </w:tcBorders>
            <w:vAlign w:val="center"/>
          </w:tcPr>
          <w:p w14:paraId="04B7495F" w14:textId="31BF6F63" w:rsidR="00F52F54" w:rsidRPr="001304EC" w:rsidRDefault="006B100C" w:rsidP="009D5F7E">
            <w:pPr>
              <w:jc w:val="center"/>
              <w:cnfStyle w:val="000000100000" w:firstRow="0" w:lastRow="0" w:firstColumn="0" w:lastColumn="0" w:oddVBand="0" w:evenVBand="0" w:oddHBand="1" w:evenHBand="0" w:firstRowFirstColumn="0" w:firstRowLastColumn="0" w:lastRowFirstColumn="0" w:lastRowLastColumn="0"/>
              <w:rPr>
                <w:rFonts w:ascii="Calibri" w:hAnsi="Calibri"/>
                <w:noProof/>
                <w:color w:val="404040" w:themeColor="text1" w:themeTint="BF"/>
                <w:sz w:val="18"/>
                <w:szCs w:val="18"/>
              </w:rPr>
            </w:pPr>
            <w:r>
              <w:rPr>
                <w:rFonts w:ascii="Calibri" w:hAnsi="Calibri"/>
                <w:noProof/>
                <w:color w:val="404040" w:themeColor="text1" w:themeTint="BF"/>
                <w:sz w:val="18"/>
                <w:szCs w:val="18"/>
              </w:rPr>
              <w:t>No ca</w:t>
            </w:r>
            <w:r w:rsidR="00517E8C">
              <w:rPr>
                <w:rFonts w:ascii="Calibri" w:hAnsi="Calibri"/>
                <w:noProof/>
                <w:color w:val="404040" w:themeColor="text1" w:themeTint="BF"/>
                <w:sz w:val="18"/>
                <w:szCs w:val="18"/>
              </w:rPr>
              <w:t>u</w:t>
            </w:r>
            <w:r>
              <w:rPr>
                <w:rFonts w:ascii="Calibri" w:hAnsi="Calibri"/>
                <w:noProof/>
                <w:color w:val="404040" w:themeColor="text1" w:themeTint="BF"/>
                <w:sz w:val="18"/>
                <w:szCs w:val="18"/>
              </w:rPr>
              <w:t>se removal a</w:t>
            </w:r>
            <w:r w:rsidR="0093686E">
              <w:rPr>
                <w:rFonts w:ascii="Calibri" w:hAnsi="Calibri"/>
                <w:noProof/>
                <w:color w:val="404040" w:themeColor="text1" w:themeTint="BF"/>
                <w:sz w:val="18"/>
                <w:szCs w:val="18"/>
              </w:rPr>
              <w:t>t NYSCRF discretion</w:t>
            </w:r>
          </w:p>
        </w:tc>
        <w:tc>
          <w:tcPr>
            <w:tcW w:w="711" w:type="pct"/>
            <w:tcBorders>
              <w:top w:val="nil"/>
              <w:left w:val="single" w:sz="4" w:space="0" w:color="FFFFFF" w:themeColor="background2"/>
              <w:bottom w:val="nil"/>
              <w:right w:val="nil"/>
            </w:tcBorders>
            <w:vAlign w:val="center"/>
          </w:tcPr>
          <w:p w14:paraId="068671FF" w14:textId="0CDF93CF" w:rsidR="008C066D" w:rsidRPr="001304EC" w:rsidRDefault="0096595B" w:rsidP="000C014F">
            <w:pPr>
              <w:jc w:val="center"/>
              <w:cnfStyle w:val="000000100000" w:firstRow="0" w:lastRow="0" w:firstColumn="0" w:lastColumn="0" w:oddVBand="0" w:evenVBand="0" w:oddHBand="1" w:evenHBand="0" w:firstRowFirstColumn="0" w:firstRowLastColumn="0" w:lastRowFirstColumn="0" w:lastRowLastColumn="0"/>
              <w:rPr>
                <w:rFonts w:ascii="Calibri" w:hAnsi="Calibri"/>
                <w:b/>
                <w:color w:val="404040" w:themeColor="text1" w:themeTint="BF"/>
                <w:sz w:val="18"/>
                <w:szCs w:val="18"/>
              </w:rPr>
            </w:pPr>
            <w:r>
              <w:rPr>
                <w:rFonts w:ascii="Calibri" w:hAnsi="Calibri"/>
                <w:b/>
                <w:color w:val="404040" w:themeColor="text1" w:themeTint="BF"/>
                <w:sz w:val="18"/>
                <w:szCs w:val="18"/>
              </w:rPr>
              <w:t>Neutral</w:t>
            </w:r>
          </w:p>
        </w:tc>
        <w:tc>
          <w:tcPr>
            <w:tcW w:w="2023" w:type="pct"/>
            <w:tcBorders>
              <w:top w:val="nil"/>
              <w:left w:val="nil"/>
              <w:bottom w:val="nil"/>
              <w:right w:val="nil"/>
            </w:tcBorders>
            <w:vAlign w:val="center"/>
          </w:tcPr>
          <w:p w14:paraId="6ECFE4C1" w14:textId="3FAAF440" w:rsidR="008C066D" w:rsidRPr="001304EC" w:rsidRDefault="00006229" w:rsidP="00B61212">
            <w:pPr>
              <w:jc w:val="center"/>
              <w:cnfStyle w:val="000000100000" w:firstRow="0" w:lastRow="0" w:firstColumn="0" w:lastColumn="0" w:oddVBand="0" w:evenVBand="0" w:oddHBand="1" w:evenHBand="0" w:firstRowFirstColumn="0" w:firstRowLastColumn="0" w:lastRowFirstColumn="0" w:lastRowLastColumn="0"/>
              <w:rPr>
                <w:rFonts w:ascii="Calibri" w:hAnsi="Calibri"/>
                <w:color w:val="404040" w:themeColor="text1" w:themeTint="BF"/>
                <w:sz w:val="18"/>
                <w:szCs w:val="18"/>
              </w:rPr>
            </w:pPr>
            <w:r>
              <w:rPr>
                <w:rFonts w:ascii="Calibri" w:hAnsi="Calibri"/>
                <w:color w:val="404040" w:themeColor="text1" w:themeTint="BF"/>
                <w:sz w:val="18"/>
                <w:szCs w:val="18"/>
              </w:rPr>
              <w:t>No Cause Removal to be effective as of each project stabilization date or 24 months from CO</w:t>
            </w:r>
          </w:p>
        </w:tc>
      </w:tr>
    </w:tbl>
    <w:bookmarkStart w:id="49" w:name="_Toc179797304"/>
    <w:bookmarkEnd w:id="48"/>
    <w:p w14:paraId="5A2CD55C" w14:textId="6CB6D939" w:rsidR="00BD581F" w:rsidRPr="009F64B0" w:rsidRDefault="0070073B" w:rsidP="004572EC">
      <w:pPr>
        <w:pStyle w:val="Heading2"/>
        <w:rPr>
          <w:color w:val="8CA4A4" w:themeColor="accent5"/>
          <w:sz w:val="22"/>
          <w:szCs w:val="22"/>
        </w:rPr>
      </w:pPr>
      <w:r w:rsidRPr="009F64B0">
        <w:rPr>
          <w:noProof/>
          <w:szCs w:val="22"/>
        </w:rPr>
        <w:lastRenderedPageBreak/>
        <mc:AlternateContent>
          <mc:Choice Requires="wps">
            <w:drawing>
              <wp:anchor distT="0" distB="0" distL="114300" distR="114300" simplePos="0" relativeHeight="251662336" behindDoc="0" locked="0" layoutInCell="1" allowOverlap="1" wp14:anchorId="7DA180C5" wp14:editId="37D5F450">
                <wp:simplePos x="0" y="0"/>
                <wp:positionH relativeFrom="margin">
                  <wp:posOffset>-12700</wp:posOffset>
                </wp:positionH>
                <wp:positionV relativeFrom="paragraph">
                  <wp:posOffset>163407</wp:posOffset>
                </wp:positionV>
                <wp:extent cx="6492240" cy="0"/>
                <wp:effectExtent l="0" t="0" r="0" b="0"/>
                <wp:wrapNone/>
                <wp:docPr id="79"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2240" cy="0"/>
                        </a:xfrm>
                        <a:prstGeom prst="straightConnector1">
                          <a:avLst/>
                        </a:prstGeom>
                        <a:noFill/>
                        <a:ln w="9525">
                          <a:solidFill>
                            <a:schemeClr val="tx1">
                              <a:lumMod val="75000"/>
                              <a:lumOff val="2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B7CA24" id="AutoShape 5" o:spid="_x0000_s1026" type="#_x0000_t32" style="position:absolute;margin-left:-1pt;margin-top:12.85pt;width:511.2pt;height: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0M10AEAAJADAAAOAAAAZHJzL2Uyb0RvYy54bWysU01v2zAMvQ/YfxB0X+wYTbcacXpI1126&#10;LUC7H8DIsi1MFgVJiZ1/P0qOva9b0Ysgkebj4+Pz9n7sNTtL5xWaiq9XOWfSCKyVaSv+4+XxwyfO&#10;fABTg0YjK36Rnt/v3r/bDraUBXaoa+kYgRhfDrbiXQi2zDIvOtmDX6GVhpINuh4CPV2b1Q4GQu91&#10;VuT5bTagq61DIb2n6MOU5LuE3zRShO9N42VguuLELaTTpfMYz2y3hbJ1YDslrjTgFSx6UIaaLlAP&#10;EICdnPoPqlfCoccmrAT2GTaNEjLNQNOs83+mee7AyjQLiePtIpN/O1jx7bw3Bxepi9E82ycUPz0z&#10;uO/AtDIReLlYWtw6SpUN1pdLSXx4e3DsOHzFmr6BU8Ckwti4PkLSfGxMYl8WseUYmKDg7c1dUdzQ&#10;TsScy6CcC63z4YvEnsVLxX1woNou7NEYWim6dWoD5ycfIi0o54LY1eCj0jptVhs2VPxuU2xSgUet&#10;6piMnyWPyb127AzkjjBOoPrU0zRT7OMmz68eoTA5aQoXc5gaLyiJxl8NHJ5MnWh0EurP13sApac7&#10;VWtzFTXqGE3ryyPWl4Obxaa1J+CrRaOv/nyn6t8/0u4XAAAA//8DAFBLAwQUAAYACAAAACEAvPB3&#10;SN4AAAAJAQAADwAAAGRycy9kb3ducmV2LnhtbEyPwU7DMBBE70j9B2uRuKDWbkRpG+JUCAnRE1Jb&#10;RK9OvCQR9jqy3TT8Pa56gOPsrGbeFJvRGjagD50jCfOZAIZUO91RI+Hj8DpdAQtRkVbGEUr4wQCb&#10;cnJTqFy7M+1w2MeGpRAKuZLQxtjnnIe6RavCzPVIyfty3qqYpG+49uqcwq3hmRCP3KqOUkOrenxp&#10;sf7en6yE+5UfzbZaHj4rH4UdFsf3tzVJeXc7Pj8BizjGv2e44Cd0KBNT5U6kAzMSplmaEiVkiyWw&#10;iy8y8QCsul54WfD/C8pfAAAA//8DAFBLAQItABQABgAIAAAAIQC2gziS/gAAAOEBAAATAAAAAAAA&#10;AAAAAAAAAAAAAABbQ29udGVudF9UeXBlc10ueG1sUEsBAi0AFAAGAAgAAAAhADj9If/WAAAAlAEA&#10;AAsAAAAAAAAAAAAAAAAALwEAAF9yZWxzLy5yZWxzUEsBAi0AFAAGAAgAAAAhAGP3QzXQAQAAkAMA&#10;AA4AAAAAAAAAAAAAAAAALgIAAGRycy9lMm9Eb2MueG1sUEsBAi0AFAAGAAgAAAAhALzwd0jeAAAA&#10;CQEAAA8AAAAAAAAAAAAAAAAAKgQAAGRycy9kb3ducmV2LnhtbFBLBQYAAAAABAAEAPMAAAA1BQAA&#10;AAA=&#10;" strokecolor="#404040 [2429]">
                <w10:wrap anchorx="margin"/>
              </v:shape>
            </w:pict>
          </mc:Fallback>
        </mc:AlternateContent>
      </w:r>
      <w:r w:rsidRPr="009F64B0">
        <w:rPr>
          <w:color w:val="8CA4A4" w:themeColor="accent5"/>
          <w:sz w:val="22"/>
          <w:szCs w:val="22"/>
        </w:rPr>
        <w:t>fees and Distributions</w:t>
      </w:r>
      <w:bookmarkEnd w:id="49"/>
    </w:p>
    <w:p w14:paraId="050204DD" w14:textId="60D5D8DF" w:rsidR="004572EC" w:rsidRPr="009F64B0" w:rsidRDefault="004572EC" w:rsidP="004572EC">
      <w:pPr>
        <w:rPr>
          <w:sz w:val="16"/>
          <w:szCs w:val="16"/>
        </w:rPr>
      </w:pPr>
    </w:p>
    <w:tbl>
      <w:tblPr>
        <w:tblStyle w:val="MediumGrid1-Accent4"/>
        <w:tblW w:w="10160" w:type="dxa"/>
        <w:tblLayout w:type="fixed"/>
        <w:tblLook w:val="0480" w:firstRow="0" w:lastRow="0" w:firstColumn="1" w:lastColumn="0" w:noHBand="0" w:noVBand="1"/>
      </w:tblPr>
      <w:tblGrid>
        <w:gridCol w:w="2150"/>
        <w:gridCol w:w="8010"/>
      </w:tblGrid>
      <w:tr w:rsidR="004B5347" w:rsidRPr="009F64B0" w14:paraId="30BFAB9B" w14:textId="77777777" w:rsidTr="00E17720">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160" w:type="dxa"/>
            <w:gridSpan w:val="2"/>
            <w:tcBorders>
              <w:bottom w:val="nil"/>
            </w:tcBorders>
            <w:shd w:val="clear" w:color="auto" w:fill="003A5D" w:themeFill="text2"/>
            <w:vAlign w:val="center"/>
          </w:tcPr>
          <w:p w14:paraId="39814EFA" w14:textId="11670AEB" w:rsidR="004B5347" w:rsidRPr="009F64B0" w:rsidRDefault="004B5347" w:rsidP="000C014F">
            <w:pPr>
              <w:pStyle w:val="NoSpacing"/>
              <w:jc w:val="center"/>
              <w:rPr>
                <w:rFonts w:ascii="Calibri" w:hAnsi="Calibri" w:cs="Garamond"/>
                <w:bCs w:val="0"/>
                <w:color w:val="404040" w:themeColor="text1" w:themeTint="BF"/>
                <w:sz w:val="18"/>
                <w:szCs w:val="18"/>
              </w:rPr>
            </w:pPr>
            <w:bookmarkStart w:id="50" w:name="_Toc413830811"/>
            <w:r w:rsidRPr="009F64B0">
              <w:rPr>
                <w:rFonts w:ascii="Calibri" w:hAnsi="Calibri" w:cs="Garamond"/>
                <w:color w:val="FFFFFF" w:themeColor="background2"/>
                <w:sz w:val="18"/>
                <w:szCs w:val="18"/>
              </w:rPr>
              <w:t>Fees and Distribution Waterfall</w:t>
            </w:r>
          </w:p>
        </w:tc>
      </w:tr>
      <w:tr w:rsidR="004B5347" w:rsidRPr="009F64B0" w14:paraId="27173249" w14:textId="77777777" w:rsidTr="00804961">
        <w:trPr>
          <w:trHeight w:val="511"/>
        </w:trPr>
        <w:tc>
          <w:tcPr>
            <w:cnfStyle w:val="001000000000" w:firstRow="0" w:lastRow="0" w:firstColumn="1" w:lastColumn="0" w:oddVBand="0" w:evenVBand="0" w:oddHBand="0" w:evenHBand="0" w:firstRowFirstColumn="0" w:firstRowLastColumn="0" w:lastRowFirstColumn="0" w:lastRowLastColumn="0"/>
            <w:tcW w:w="2150" w:type="dxa"/>
            <w:tcBorders>
              <w:top w:val="nil"/>
              <w:left w:val="nil"/>
              <w:bottom w:val="nil"/>
              <w:right w:val="single" w:sz="4" w:space="0" w:color="FFFFFF" w:themeColor="background2"/>
            </w:tcBorders>
            <w:vAlign w:val="center"/>
          </w:tcPr>
          <w:p w14:paraId="44272A88" w14:textId="42B05179" w:rsidR="004B5347" w:rsidRPr="009F64B0" w:rsidRDefault="004B5347" w:rsidP="00B07373">
            <w:pPr>
              <w:widowControl w:val="0"/>
              <w:rPr>
                <w:rFonts w:ascii="Calibri" w:hAnsi="Calibri"/>
                <w:color w:val="404040" w:themeColor="text1" w:themeTint="BF"/>
                <w:sz w:val="18"/>
                <w:szCs w:val="18"/>
              </w:rPr>
            </w:pPr>
            <w:r w:rsidRPr="009F64B0">
              <w:rPr>
                <w:rFonts w:ascii="Calibri" w:hAnsi="Calibri"/>
                <w:color w:val="404040" w:themeColor="text1" w:themeTint="BF"/>
                <w:sz w:val="18"/>
                <w:szCs w:val="18"/>
              </w:rPr>
              <w:t>Expenses:</w:t>
            </w:r>
          </w:p>
        </w:tc>
        <w:tc>
          <w:tcPr>
            <w:tcW w:w="8010" w:type="dxa"/>
            <w:tcBorders>
              <w:top w:val="nil"/>
              <w:left w:val="single" w:sz="4" w:space="0" w:color="FFFFFF" w:themeColor="background2"/>
              <w:bottom w:val="nil"/>
              <w:right w:val="nil"/>
            </w:tcBorders>
            <w:vAlign w:val="center"/>
          </w:tcPr>
          <w:p w14:paraId="2D97795A" w14:textId="53574F4F" w:rsidR="0081779E" w:rsidRPr="009F64B0" w:rsidRDefault="00A81522" w:rsidP="00193078">
            <w:pPr>
              <w:pStyle w:val="NoSpacing"/>
              <w:jc w:val="center"/>
              <w:cnfStyle w:val="000000000000" w:firstRow="0" w:lastRow="0" w:firstColumn="0" w:lastColumn="0" w:oddVBand="0" w:evenVBand="0" w:oddHBand="0" w:evenHBand="0" w:firstRowFirstColumn="0" w:firstRowLastColumn="0" w:lastRowFirstColumn="0" w:lastRowLastColumn="0"/>
              <w:rPr>
                <w:rFonts w:ascii="Calibri" w:hAnsi="Calibri"/>
                <w:color w:val="404040" w:themeColor="text1" w:themeTint="BF"/>
                <w:sz w:val="18"/>
                <w:szCs w:val="18"/>
              </w:rPr>
            </w:pPr>
            <w:r>
              <w:rPr>
                <w:rFonts w:ascii="Calibri" w:hAnsi="Calibri"/>
                <w:color w:val="404040" w:themeColor="text1" w:themeTint="BF"/>
                <w:sz w:val="18"/>
                <w:szCs w:val="18"/>
              </w:rPr>
              <w:t>Fund’s</w:t>
            </w:r>
            <w:r w:rsidR="00257CBC">
              <w:rPr>
                <w:rFonts w:ascii="Calibri" w:hAnsi="Calibri"/>
                <w:color w:val="404040" w:themeColor="text1" w:themeTint="BF"/>
                <w:sz w:val="18"/>
                <w:szCs w:val="18"/>
              </w:rPr>
              <w:t xml:space="preserve"> initial</w:t>
            </w:r>
            <w:r>
              <w:rPr>
                <w:rFonts w:ascii="Calibri" w:hAnsi="Calibri"/>
                <w:color w:val="404040" w:themeColor="text1" w:themeTint="BF"/>
                <w:sz w:val="18"/>
                <w:szCs w:val="18"/>
              </w:rPr>
              <w:t xml:space="preserve"> org</w:t>
            </w:r>
            <w:r w:rsidR="00257CBC">
              <w:rPr>
                <w:rFonts w:ascii="Calibri" w:hAnsi="Calibri"/>
                <w:color w:val="404040" w:themeColor="text1" w:themeTint="BF"/>
                <w:sz w:val="18"/>
                <w:szCs w:val="18"/>
              </w:rPr>
              <w:t xml:space="preserve"> expense estimate is between $500,000 and $700,000. Ongoing </w:t>
            </w:r>
            <w:r w:rsidR="00804961">
              <w:rPr>
                <w:rFonts w:ascii="Calibri" w:hAnsi="Calibri"/>
                <w:color w:val="404040" w:themeColor="text1" w:themeTint="BF"/>
                <w:sz w:val="18"/>
                <w:szCs w:val="18"/>
              </w:rPr>
              <w:t xml:space="preserve">fund </w:t>
            </w:r>
            <w:r w:rsidR="00257CBC">
              <w:rPr>
                <w:rFonts w:ascii="Calibri" w:hAnsi="Calibri"/>
                <w:color w:val="404040" w:themeColor="text1" w:themeTint="BF"/>
                <w:sz w:val="18"/>
                <w:szCs w:val="18"/>
              </w:rPr>
              <w:t>expenses</w:t>
            </w:r>
            <w:r w:rsidR="00804961">
              <w:rPr>
                <w:rFonts w:ascii="Calibri" w:hAnsi="Calibri"/>
                <w:color w:val="404040" w:themeColor="text1" w:themeTint="BF"/>
                <w:sz w:val="18"/>
                <w:szCs w:val="18"/>
              </w:rPr>
              <w:t xml:space="preserve"> to be borne by the partnership </w:t>
            </w:r>
            <w:r w:rsidR="00257CBC">
              <w:rPr>
                <w:rFonts w:ascii="Calibri" w:hAnsi="Calibri"/>
                <w:color w:val="404040" w:themeColor="text1" w:themeTint="BF"/>
                <w:sz w:val="18"/>
                <w:szCs w:val="18"/>
              </w:rPr>
              <w:t xml:space="preserve">estimated </w:t>
            </w:r>
            <w:r w:rsidR="00804961">
              <w:rPr>
                <w:rFonts w:ascii="Calibri" w:hAnsi="Calibri"/>
                <w:color w:val="404040" w:themeColor="text1" w:themeTint="BF"/>
                <w:sz w:val="18"/>
                <w:szCs w:val="18"/>
              </w:rPr>
              <w:t>at 0.25% of total commitments annually</w:t>
            </w:r>
          </w:p>
        </w:tc>
      </w:tr>
      <w:tr w:rsidR="004B5347" w:rsidRPr="00DA4498" w14:paraId="7AE56B5D" w14:textId="77777777" w:rsidTr="00D63FCC">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150" w:type="dxa"/>
            <w:tcBorders>
              <w:top w:val="nil"/>
              <w:left w:val="nil"/>
              <w:bottom w:val="nil"/>
              <w:right w:val="single" w:sz="4" w:space="0" w:color="FFFFFF" w:themeColor="background2"/>
            </w:tcBorders>
            <w:vAlign w:val="center"/>
          </w:tcPr>
          <w:p w14:paraId="3FF0E406" w14:textId="77777777" w:rsidR="004B5347" w:rsidRPr="009F64B0" w:rsidRDefault="00514999" w:rsidP="00B07373">
            <w:pPr>
              <w:widowControl w:val="0"/>
              <w:rPr>
                <w:rFonts w:ascii="Calibri" w:hAnsi="Calibri"/>
                <w:color w:val="404040" w:themeColor="text1" w:themeTint="BF"/>
                <w:sz w:val="18"/>
                <w:szCs w:val="18"/>
              </w:rPr>
            </w:pPr>
            <w:r w:rsidRPr="009F64B0">
              <w:rPr>
                <w:rFonts w:ascii="Calibri" w:hAnsi="Calibri"/>
                <w:color w:val="404040" w:themeColor="text1" w:themeTint="BF"/>
                <w:sz w:val="18"/>
                <w:szCs w:val="18"/>
              </w:rPr>
              <w:t>Management Fee:</w:t>
            </w:r>
          </w:p>
        </w:tc>
        <w:tc>
          <w:tcPr>
            <w:tcW w:w="8010" w:type="dxa"/>
            <w:tcBorders>
              <w:top w:val="nil"/>
              <w:left w:val="single" w:sz="4" w:space="0" w:color="FFFFFF" w:themeColor="background2"/>
              <w:bottom w:val="nil"/>
              <w:right w:val="nil"/>
            </w:tcBorders>
            <w:vAlign w:val="center"/>
          </w:tcPr>
          <w:p w14:paraId="7D150D4F" w14:textId="367EC7D5" w:rsidR="00FC1E80" w:rsidRDefault="00804961" w:rsidP="00B17FB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404040" w:themeColor="text1" w:themeTint="BF"/>
                <w:sz w:val="18"/>
                <w:szCs w:val="18"/>
              </w:rPr>
            </w:pPr>
            <w:r>
              <w:rPr>
                <w:rFonts w:ascii="Calibri" w:hAnsi="Calibri" w:cs="Calibri"/>
                <w:color w:val="404040" w:themeColor="text1" w:themeTint="BF"/>
                <w:sz w:val="18"/>
                <w:szCs w:val="18"/>
              </w:rPr>
              <w:t xml:space="preserve">.35% on </w:t>
            </w:r>
            <w:r w:rsidR="007C4EF9">
              <w:rPr>
                <w:rFonts w:ascii="Calibri" w:hAnsi="Calibri" w:cs="Calibri"/>
                <w:color w:val="404040" w:themeColor="text1" w:themeTint="BF"/>
                <w:sz w:val="18"/>
                <w:szCs w:val="18"/>
              </w:rPr>
              <w:t xml:space="preserve">GAV (initially equivalent to ~.875% on NAV given 60% leverage assumption) </w:t>
            </w:r>
            <w:r w:rsidR="00B81816">
              <w:rPr>
                <w:rFonts w:ascii="Calibri" w:hAnsi="Calibri" w:cs="Calibri"/>
                <w:color w:val="404040" w:themeColor="text1" w:themeTint="BF"/>
                <w:sz w:val="18"/>
                <w:szCs w:val="18"/>
              </w:rPr>
              <w:t xml:space="preserve">assessed upon issuance of individual asset certificate of occupancy, through the initial </w:t>
            </w:r>
            <w:r w:rsidR="00840469">
              <w:rPr>
                <w:rFonts w:ascii="Calibri" w:hAnsi="Calibri" w:cs="Calibri"/>
                <w:color w:val="404040" w:themeColor="text1" w:themeTint="BF"/>
                <w:sz w:val="18"/>
                <w:szCs w:val="18"/>
              </w:rPr>
              <w:t>8-year</w:t>
            </w:r>
            <w:r w:rsidR="00B81816">
              <w:rPr>
                <w:rFonts w:ascii="Calibri" w:hAnsi="Calibri" w:cs="Calibri"/>
                <w:color w:val="404040" w:themeColor="text1" w:themeTint="BF"/>
                <w:sz w:val="18"/>
                <w:szCs w:val="18"/>
              </w:rPr>
              <w:t xml:space="preserve"> term.</w:t>
            </w:r>
          </w:p>
          <w:p w14:paraId="16362160" w14:textId="77777777" w:rsidR="00B81816" w:rsidRDefault="00B81816" w:rsidP="00B17FB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404040" w:themeColor="text1" w:themeTint="BF"/>
                <w:sz w:val="18"/>
                <w:szCs w:val="18"/>
              </w:rPr>
            </w:pPr>
          </w:p>
          <w:p w14:paraId="3DA19532" w14:textId="3935B220" w:rsidR="00B81816" w:rsidRPr="009F64B0" w:rsidRDefault="00840469" w:rsidP="00B17FB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404040" w:themeColor="text1" w:themeTint="BF"/>
                <w:sz w:val="18"/>
                <w:szCs w:val="18"/>
              </w:rPr>
            </w:pPr>
            <w:r>
              <w:rPr>
                <w:rFonts w:ascii="Calibri" w:hAnsi="Calibri" w:cs="Calibri"/>
                <w:color w:val="404040" w:themeColor="text1" w:themeTint="BF"/>
                <w:sz w:val="18"/>
                <w:szCs w:val="18"/>
              </w:rPr>
              <w:t xml:space="preserve">The initial proposal for a </w:t>
            </w:r>
            <w:r w:rsidR="00B36D80">
              <w:rPr>
                <w:rFonts w:ascii="Calibri" w:hAnsi="Calibri" w:cs="Calibri"/>
                <w:color w:val="404040" w:themeColor="text1" w:themeTint="BF"/>
                <w:sz w:val="18"/>
                <w:szCs w:val="18"/>
              </w:rPr>
              <w:t xml:space="preserve">post-Term management fee is </w:t>
            </w:r>
            <w:r w:rsidR="005B14F6">
              <w:rPr>
                <w:rFonts w:ascii="Calibri" w:hAnsi="Calibri" w:cs="Calibri"/>
                <w:color w:val="404040" w:themeColor="text1" w:themeTint="BF"/>
                <w:sz w:val="18"/>
                <w:szCs w:val="18"/>
              </w:rPr>
              <w:t>6</w:t>
            </w:r>
            <w:r w:rsidR="00B36D80">
              <w:rPr>
                <w:rFonts w:ascii="Calibri" w:hAnsi="Calibri" w:cs="Calibri"/>
                <w:color w:val="404040" w:themeColor="text1" w:themeTint="BF"/>
                <w:sz w:val="18"/>
                <w:szCs w:val="18"/>
              </w:rPr>
              <w:t>0 bps on NAV</w:t>
            </w:r>
          </w:p>
        </w:tc>
      </w:tr>
      <w:tr w:rsidR="004B5347" w:rsidRPr="00DA4498" w14:paraId="4753ED1A" w14:textId="77777777" w:rsidTr="00AA1D8C">
        <w:trPr>
          <w:trHeight w:val="1186"/>
        </w:trPr>
        <w:tc>
          <w:tcPr>
            <w:cnfStyle w:val="001000000000" w:firstRow="0" w:lastRow="0" w:firstColumn="1" w:lastColumn="0" w:oddVBand="0" w:evenVBand="0" w:oddHBand="0" w:evenHBand="0" w:firstRowFirstColumn="0" w:firstRowLastColumn="0" w:lastRowFirstColumn="0" w:lastRowLastColumn="0"/>
            <w:tcW w:w="2150" w:type="dxa"/>
            <w:tcBorders>
              <w:top w:val="nil"/>
              <w:left w:val="nil"/>
              <w:bottom w:val="nil"/>
              <w:right w:val="single" w:sz="4" w:space="0" w:color="FFFFFF" w:themeColor="background2"/>
            </w:tcBorders>
            <w:vAlign w:val="center"/>
          </w:tcPr>
          <w:p w14:paraId="4E54C492" w14:textId="77777777" w:rsidR="004B5347" w:rsidRPr="003304E0" w:rsidRDefault="00F636C7" w:rsidP="008E0595">
            <w:pPr>
              <w:widowControl w:val="0"/>
              <w:rPr>
                <w:rFonts w:ascii="Calibri" w:hAnsi="Calibri"/>
                <w:color w:val="404040" w:themeColor="text1" w:themeTint="BF"/>
                <w:sz w:val="18"/>
                <w:szCs w:val="18"/>
              </w:rPr>
            </w:pPr>
            <w:r w:rsidRPr="003304E0">
              <w:rPr>
                <w:rFonts w:ascii="Calibri" w:hAnsi="Calibri"/>
                <w:color w:val="404040" w:themeColor="text1" w:themeTint="BF"/>
                <w:sz w:val="18"/>
                <w:szCs w:val="18"/>
              </w:rPr>
              <w:t>Incentive Fee</w:t>
            </w:r>
            <w:r w:rsidR="005F573C" w:rsidRPr="003304E0">
              <w:rPr>
                <w:rFonts w:ascii="Calibri" w:hAnsi="Calibri"/>
                <w:color w:val="404040" w:themeColor="text1" w:themeTint="BF"/>
                <w:sz w:val="18"/>
                <w:szCs w:val="18"/>
              </w:rPr>
              <w:t xml:space="preserve"> Waterfall:</w:t>
            </w:r>
          </w:p>
        </w:tc>
        <w:tc>
          <w:tcPr>
            <w:tcW w:w="8010" w:type="dxa"/>
            <w:tcBorders>
              <w:top w:val="nil"/>
              <w:left w:val="single" w:sz="4" w:space="0" w:color="FFFFFF" w:themeColor="background2"/>
              <w:bottom w:val="nil"/>
              <w:right w:val="nil"/>
            </w:tcBorders>
            <w:vAlign w:val="center"/>
          </w:tcPr>
          <w:p w14:paraId="46F1FCD9" w14:textId="77777777" w:rsidR="00D45B92" w:rsidRDefault="00D45B92" w:rsidP="00D45B9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404040" w:themeColor="text1" w:themeTint="BF"/>
                <w:sz w:val="18"/>
                <w:szCs w:val="18"/>
              </w:rPr>
            </w:pPr>
            <w:r>
              <w:rPr>
                <w:rFonts w:ascii="Calibri" w:hAnsi="Calibri" w:cs="Calibri"/>
                <w:color w:val="404040" w:themeColor="text1" w:themeTint="BF"/>
                <w:sz w:val="18"/>
                <w:szCs w:val="18"/>
              </w:rPr>
              <w:t>9% preferred return</w:t>
            </w:r>
          </w:p>
          <w:p w14:paraId="4C7DE6C6" w14:textId="77777777" w:rsidR="00D45B92" w:rsidRDefault="00D45B92" w:rsidP="00D45B9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404040" w:themeColor="text1" w:themeTint="BF"/>
                <w:sz w:val="18"/>
                <w:szCs w:val="18"/>
              </w:rPr>
            </w:pPr>
            <w:r>
              <w:rPr>
                <w:rFonts w:ascii="Calibri" w:hAnsi="Calibri" w:cs="Calibri"/>
                <w:color w:val="404040" w:themeColor="text1" w:themeTint="BF"/>
                <w:sz w:val="18"/>
                <w:szCs w:val="18"/>
              </w:rPr>
              <w:t>80% LP / 20% GP until LP receives 13% return.</w:t>
            </w:r>
          </w:p>
          <w:p w14:paraId="150B20E2" w14:textId="77777777" w:rsidR="00D45B92" w:rsidRDefault="00D45B92" w:rsidP="00D45B9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404040" w:themeColor="text1" w:themeTint="BF"/>
                <w:sz w:val="18"/>
                <w:szCs w:val="18"/>
              </w:rPr>
            </w:pPr>
            <w:r>
              <w:rPr>
                <w:rFonts w:ascii="Calibri" w:hAnsi="Calibri" w:cs="Calibri"/>
                <w:color w:val="404040" w:themeColor="text1" w:themeTint="BF"/>
                <w:sz w:val="18"/>
                <w:szCs w:val="18"/>
              </w:rPr>
              <w:t>70% LP / 30% GP thereafter</w:t>
            </w:r>
          </w:p>
          <w:p w14:paraId="0B6372BB" w14:textId="77777777" w:rsidR="009873F2" w:rsidRDefault="00D45B92" w:rsidP="00D45B9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404040" w:themeColor="text1" w:themeTint="BF"/>
                <w:sz w:val="18"/>
                <w:szCs w:val="18"/>
              </w:rPr>
            </w:pPr>
            <w:r>
              <w:rPr>
                <w:rFonts w:ascii="Calibri" w:hAnsi="Calibri" w:cs="Calibri"/>
                <w:color w:val="404040" w:themeColor="text1" w:themeTint="BF"/>
                <w:sz w:val="18"/>
                <w:szCs w:val="18"/>
              </w:rPr>
              <w:t xml:space="preserve">Calculated and distributed on a deal-by-deal basis at </w:t>
            </w:r>
            <w:r w:rsidR="00D92301">
              <w:rPr>
                <w:rFonts w:ascii="Calibri" w:hAnsi="Calibri" w:cs="Calibri"/>
                <w:color w:val="404040" w:themeColor="text1" w:themeTint="BF"/>
                <w:sz w:val="18"/>
                <w:szCs w:val="18"/>
              </w:rPr>
              <w:t xml:space="preserve">asset </w:t>
            </w:r>
            <w:proofErr w:type="gramStart"/>
            <w:r>
              <w:rPr>
                <w:rFonts w:ascii="Calibri" w:hAnsi="Calibri" w:cs="Calibri"/>
                <w:color w:val="404040" w:themeColor="text1" w:themeTint="BF"/>
                <w:sz w:val="18"/>
                <w:szCs w:val="18"/>
              </w:rPr>
              <w:t>stabilization</w:t>
            </w:r>
            <w:proofErr w:type="gramEnd"/>
          </w:p>
          <w:p w14:paraId="2FA42609" w14:textId="0956A5B4" w:rsidR="0018212E" w:rsidRPr="003304E0" w:rsidRDefault="0018212E" w:rsidP="00D45B9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404040" w:themeColor="text1" w:themeTint="BF"/>
                <w:sz w:val="18"/>
                <w:szCs w:val="18"/>
              </w:rPr>
            </w:pPr>
            <w:r>
              <w:rPr>
                <w:rFonts w:ascii="Calibri" w:hAnsi="Calibri" w:cs="Calibri"/>
                <w:color w:val="404040" w:themeColor="text1" w:themeTint="BF"/>
                <w:sz w:val="18"/>
                <w:szCs w:val="18"/>
              </w:rPr>
              <w:t xml:space="preserve">Promote is crystalized based on value at stabilization </w:t>
            </w:r>
            <w:r w:rsidR="002E0E40">
              <w:rPr>
                <w:rFonts w:ascii="Calibri" w:hAnsi="Calibri" w:cs="Calibri"/>
                <w:color w:val="404040" w:themeColor="text1" w:themeTint="BF"/>
                <w:sz w:val="18"/>
                <w:szCs w:val="18"/>
              </w:rPr>
              <w:t>with 50% to be paid in cash and 50% rolled as equity</w:t>
            </w:r>
          </w:p>
        </w:tc>
      </w:tr>
      <w:tr w:rsidR="00F00DC7" w:rsidRPr="00DA4498" w14:paraId="252B7B29" w14:textId="77777777" w:rsidTr="00AA1D8C">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150" w:type="dxa"/>
            <w:tcBorders>
              <w:top w:val="nil"/>
              <w:left w:val="nil"/>
              <w:bottom w:val="nil"/>
              <w:right w:val="single" w:sz="4" w:space="0" w:color="FFFFFF" w:themeColor="background2"/>
            </w:tcBorders>
            <w:vAlign w:val="center"/>
          </w:tcPr>
          <w:p w14:paraId="79BBE35F" w14:textId="77777777" w:rsidR="00F00DC7" w:rsidRPr="003304E0" w:rsidRDefault="005179F9" w:rsidP="005179F9">
            <w:pPr>
              <w:widowControl w:val="0"/>
              <w:rPr>
                <w:rFonts w:ascii="Calibri" w:hAnsi="Calibri"/>
                <w:color w:val="404040" w:themeColor="text1" w:themeTint="BF"/>
                <w:sz w:val="18"/>
                <w:szCs w:val="18"/>
              </w:rPr>
            </w:pPr>
            <w:proofErr w:type="spellStart"/>
            <w:r w:rsidRPr="003304E0">
              <w:rPr>
                <w:rFonts w:ascii="Calibri" w:hAnsi="Calibri"/>
                <w:color w:val="404040" w:themeColor="text1" w:themeTint="BF"/>
                <w:sz w:val="18"/>
                <w:szCs w:val="18"/>
              </w:rPr>
              <w:t>Clawback</w:t>
            </w:r>
            <w:proofErr w:type="spellEnd"/>
            <w:r w:rsidRPr="003304E0">
              <w:rPr>
                <w:rFonts w:ascii="Calibri" w:hAnsi="Calibri"/>
                <w:color w:val="404040" w:themeColor="text1" w:themeTint="BF"/>
                <w:sz w:val="18"/>
                <w:szCs w:val="18"/>
              </w:rPr>
              <w:t>:</w:t>
            </w:r>
          </w:p>
        </w:tc>
        <w:tc>
          <w:tcPr>
            <w:tcW w:w="8010" w:type="dxa"/>
            <w:tcBorders>
              <w:top w:val="nil"/>
              <w:left w:val="single" w:sz="4" w:space="0" w:color="FFFFFF" w:themeColor="background2"/>
              <w:bottom w:val="nil"/>
              <w:right w:val="nil"/>
            </w:tcBorders>
            <w:vAlign w:val="center"/>
          </w:tcPr>
          <w:p w14:paraId="380EA70D" w14:textId="54CD2C78" w:rsidR="005179F9" w:rsidRPr="003304E0" w:rsidRDefault="00974386" w:rsidP="00CD6E41">
            <w:p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olor w:val="404040" w:themeColor="text1" w:themeTint="BF"/>
                <w:sz w:val="18"/>
                <w:szCs w:val="18"/>
              </w:rPr>
            </w:pPr>
            <w:r w:rsidRPr="00974386">
              <w:rPr>
                <w:rFonts w:ascii="Calibri" w:hAnsi="Calibri"/>
                <w:color w:val="404040" w:themeColor="text1" w:themeTint="BF"/>
                <w:sz w:val="18"/>
                <w:szCs w:val="18"/>
              </w:rPr>
              <w:t>The earned Incentive Payment would be subject to a repayment or</w:t>
            </w:r>
            <w:r w:rsidR="007911F5">
              <w:rPr>
                <w:rFonts w:ascii="Calibri" w:hAnsi="Calibri"/>
                <w:color w:val="404040" w:themeColor="text1" w:themeTint="BF"/>
                <w:sz w:val="18"/>
                <w:szCs w:val="18"/>
              </w:rPr>
              <w:t xml:space="preserve"> reduction (net of taxes) </w:t>
            </w:r>
            <w:r w:rsidRPr="00974386">
              <w:rPr>
                <w:rFonts w:ascii="Calibri" w:hAnsi="Calibri"/>
                <w:color w:val="404040" w:themeColor="text1" w:themeTint="BF"/>
                <w:sz w:val="18"/>
                <w:szCs w:val="18"/>
              </w:rPr>
              <w:t xml:space="preserve">to provide a portfolio-wide minimum gross IRR of 9%. The </w:t>
            </w:r>
            <w:proofErr w:type="spellStart"/>
            <w:r w:rsidRPr="00974386">
              <w:rPr>
                <w:rFonts w:ascii="Calibri" w:hAnsi="Calibri"/>
                <w:color w:val="404040" w:themeColor="text1" w:themeTint="BF"/>
                <w:sz w:val="18"/>
                <w:szCs w:val="18"/>
              </w:rPr>
              <w:t>Clawback</w:t>
            </w:r>
            <w:proofErr w:type="spellEnd"/>
            <w:r w:rsidRPr="00974386">
              <w:rPr>
                <w:rFonts w:ascii="Calibri" w:hAnsi="Calibri"/>
                <w:color w:val="404040" w:themeColor="text1" w:themeTint="BF"/>
                <w:sz w:val="18"/>
                <w:szCs w:val="18"/>
              </w:rPr>
              <w:t xml:space="preserve"> Amount will be netted out of </w:t>
            </w:r>
            <w:r w:rsidR="001312F0">
              <w:rPr>
                <w:rFonts w:ascii="Calibri" w:hAnsi="Calibri"/>
                <w:color w:val="404040" w:themeColor="text1" w:themeTint="BF"/>
                <w:sz w:val="18"/>
                <w:szCs w:val="18"/>
              </w:rPr>
              <w:t>r</w:t>
            </w:r>
            <w:r w:rsidRPr="00974386">
              <w:rPr>
                <w:rFonts w:ascii="Calibri" w:hAnsi="Calibri"/>
                <w:color w:val="404040" w:themeColor="text1" w:themeTint="BF"/>
                <w:sz w:val="18"/>
                <w:szCs w:val="18"/>
              </w:rPr>
              <w:t xml:space="preserve">olled </w:t>
            </w:r>
            <w:r w:rsidR="001312F0">
              <w:rPr>
                <w:rFonts w:ascii="Calibri" w:hAnsi="Calibri"/>
                <w:color w:val="404040" w:themeColor="text1" w:themeTint="BF"/>
                <w:sz w:val="18"/>
                <w:szCs w:val="18"/>
              </w:rPr>
              <w:t>e</w:t>
            </w:r>
            <w:r w:rsidRPr="00974386">
              <w:rPr>
                <w:rFonts w:ascii="Calibri" w:hAnsi="Calibri"/>
                <w:color w:val="404040" w:themeColor="text1" w:themeTint="BF"/>
                <w:sz w:val="18"/>
                <w:szCs w:val="18"/>
              </w:rPr>
              <w:t>quity</w:t>
            </w:r>
            <w:r w:rsidR="0013709C">
              <w:rPr>
                <w:rFonts w:ascii="Calibri" w:hAnsi="Calibri"/>
                <w:color w:val="404040" w:themeColor="text1" w:themeTint="BF"/>
                <w:sz w:val="18"/>
                <w:szCs w:val="18"/>
              </w:rPr>
              <w:t>.</w:t>
            </w:r>
          </w:p>
        </w:tc>
      </w:tr>
    </w:tbl>
    <w:p w14:paraId="160A4C28" w14:textId="77777777" w:rsidR="00CF75D1" w:rsidRPr="00DA4498" w:rsidRDefault="00CF75D1" w:rsidP="00B01EBD">
      <w:pPr>
        <w:rPr>
          <w:highlight w:val="yellow"/>
        </w:rPr>
      </w:pPr>
    </w:p>
    <w:bookmarkStart w:id="51" w:name="_Toc179797305"/>
    <w:p w14:paraId="4DDE97B0" w14:textId="2AB12122" w:rsidR="004572EC" w:rsidRPr="006D0FD6" w:rsidRDefault="004572EC" w:rsidP="004572EC">
      <w:pPr>
        <w:pStyle w:val="Heading2"/>
        <w:rPr>
          <w:color w:val="8CA4A4" w:themeColor="accent5"/>
          <w:sz w:val="22"/>
          <w:szCs w:val="22"/>
        </w:rPr>
      </w:pPr>
      <w:r w:rsidRPr="00CD4BAE">
        <w:rPr>
          <w:noProof/>
          <w:szCs w:val="22"/>
          <w:highlight w:val="yellow"/>
        </w:rPr>
        <mc:AlternateContent>
          <mc:Choice Requires="wps">
            <w:drawing>
              <wp:anchor distT="0" distB="0" distL="114300" distR="114300" simplePos="0" relativeHeight="251664384" behindDoc="0" locked="0" layoutInCell="1" allowOverlap="1" wp14:anchorId="7B5414FB" wp14:editId="044578DB">
                <wp:simplePos x="0" y="0"/>
                <wp:positionH relativeFrom="margin">
                  <wp:posOffset>-12700</wp:posOffset>
                </wp:positionH>
                <wp:positionV relativeFrom="paragraph">
                  <wp:posOffset>163407</wp:posOffset>
                </wp:positionV>
                <wp:extent cx="6492240" cy="0"/>
                <wp:effectExtent l="0" t="0" r="0" b="0"/>
                <wp:wrapNone/>
                <wp:docPr id="80"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2240" cy="0"/>
                        </a:xfrm>
                        <a:prstGeom prst="straightConnector1">
                          <a:avLst/>
                        </a:prstGeom>
                        <a:noFill/>
                        <a:ln w="9525">
                          <a:solidFill>
                            <a:schemeClr val="tx1">
                              <a:lumMod val="75000"/>
                              <a:lumOff val="2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C6C9FA3" id="_x0000_t32" coordsize="21600,21600" o:spt="32" o:oned="t" path="m,l21600,21600e" filled="f">
                <v:path arrowok="t" fillok="f" o:connecttype="none"/>
                <o:lock v:ext="edit" shapetype="t"/>
              </v:shapetype>
              <v:shape id="AutoShape 5" o:spid="_x0000_s1026" type="#_x0000_t32" style="position:absolute;margin-left:-1pt;margin-top:12.85pt;width:511.2pt;height:0;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0M10AEAAJADAAAOAAAAZHJzL2Uyb0RvYy54bWysU01v2zAMvQ/YfxB0X+wYTbcacXpI1126&#10;LUC7H8DIsi1MFgVJiZ1/P0qOva9b0Ysgkebj4+Pz9n7sNTtL5xWaiq9XOWfSCKyVaSv+4+XxwyfO&#10;fABTg0YjK36Rnt/v3r/bDraUBXaoa+kYgRhfDrbiXQi2zDIvOtmDX6GVhpINuh4CPV2b1Q4GQu91&#10;VuT5bTagq61DIb2n6MOU5LuE3zRShO9N42VguuLELaTTpfMYz2y3hbJ1YDslrjTgFSx6UIaaLlAP&#10;EICdnPoPqlfCoccmrAT2GTaNEjLNQNOs83+mee7AyjQLiePtIpN/O1jx7bw3Bxepi9E82ycUPz0z&#10;uO/AtDIReLlYWtw6SpUN1pdLSXx4e3DsOHzFmr6BU8Ckwti4PkLSfGxMYl8WseUYmKDg7c1dUdzQ&#10;TsScy6CcC63z4YvEnsVLxX1woNou7NEYWim6dWoD5ycfIi0o54LY1eCj0jptVhs2VPxuU2xSgUet&#10;6piMnyWPyb127AzkjjBOoPrU0zRT7OMmz68eoTA5aQoXc5gaLyiJxl8NHJ5MnWh0EurP13sApac7&#10;VWtzFTXqGE3ryyPWl4Obxaa1J+CrRaOv/nyn6t8/0u4XAAAA//8DAFBLAwQUAAYACAAAACEAvPB3&#10;SN4AAAAJAQAADwAAAGRycy9kb3ducmV2LnhtbEyPwU7DMBBE70j9B2uRuKDWbkRpG+JUCAnRE1Jb&#10;RK9OvCQR9jqy3TT8Pa56gOPsrGbeFJvRGjagD50jCfOZAIZUO91RI+Hj8DpdAQtRkVbGEUr4wQCb&#10;cnJTqFy7M+1w2MeGpRAKuZLQxtjnnIe6RavCzPVIyfty3qqYpG+49uqcwq3hmRCP3KqOUkOrenxp&#10;sf7en6yE+5UfzbZaHj4rH4UdFsf3tzVJeXc7Pj8BizjGv2e44Cd0KBNT5U6kAzMSplmaEiVkiyWw&#10;iy8y8QCsul54WfD/C8pfAAAA//8DAFBLAQItABQABgAIAAAAIQC2gziS/gAAAOEBAAATAAAAAAAA&#10;AAAAAAAAAAAAAABbQ29udGVudF9UeXBlc10ueG1sUEsBAi0AFAAGAAgAAAAhADj9If/WAAAAlAEA&#10;AAsAAAAAAAAAAAAAAAAALwEAAF9yZWxzLy5yZWxzUEsBAi0AFAAGAAgAAAAhAGP3QzXQAQAAkAMA&#10;AA4AAAAAAAAAAAAAAAAALgIAAGRycy9lMm9Eb2MueG1sUEsBAi0AFAAGAAgAAAAhALzwd0jeAAAA&#10;CQEAAA8AAAAAAAAAAAAAAAAAKgQAAGRycy9kb3ducmV2LnhtbFBLBQYAAAAABAAEAPMAAAA1BQAA&#10;AAA=&#10;" strokecolor="#404040 [2429]">
                <w10:wrap anchorx="margin"/>
              </v:shape>
            </w:pict>
          </mc:Fallback>
        </mc:AlternateContent>
      </w:r>
      <w:r w:rsidRPr="00CD4BAE">
        <w:rPr>
          <w:color w:val="8CA4A4" w:themeColor="accent5"/>
          <w:sz w:val="22"/>
          <w:szCs w:val="22"/>
          <w:highlight w:val="yellow"/>
        </w:rPr>
        <w:t>Fee Analysis</w:t>
      </w:r>
      <w:bookmarkEnd w:id="51"/>
    </w:p>
    <w:p w14:paraId="1395E885" w14:textId="10CBB29C" w:rsidR="001F303F" w:rsidRPr="003C3CF4" w:rsidRDefault="003C3CF4" w:rsidP="009C2FB9">
      <w:pPr>
        <w:jc w:val="both"/>
        <w:rPr>
          <w:i/>
          <w:iCs/>
          <w:color w:val="404040" w:themeColor="text1" w:themeTint="BF"/>
          <w:szCs w:val="22"/>
        </w:rPr>
      </w:pPr>
      <w:r w:rsidRPr="003C3CF4">
        <w:rPr>
          <w:i/>
          <w:iCs/>
          <w:color w:val="404040" w:themeColor="text1" w:themeTint="BF"/>
          <w:szCs w:val="22"/>
        </w:rPr>
        <w:t>Development Phase and Fund Term</w:t>
      </w:r>
    </w:p>
    <w:p w14:paraId="7FEA83AD" w14:textId="57380221" w:rsidR="003B3D6F" w:rsidRPr="00025F95" w:rsidRDefault="00025F95" w:rsidP="0011696F">
      <w:pPr>
        <w:jc w:val="both"/>
        <w:rPr>
          <w:color w:val="404040" w:themeColor="text1" w:themeTint="BF"/>
          <w:szCs w:val="22"/>
        </w:rPr>
      </w:pPr>
      <w:r w:rsidRPr="003B3D6F">
        <w:rPr>
          <w:noProof/>
        </w:rPr>
        <w:drawing>
          <wp:anchor distT="0" distB="0" distL="114300" distR="114300" simplePos="0" relativeHeight="251677696" behindDoc="0" locked="0" layoutInCell="1" allowOverlap="1" wp14:anchorId="450F8BE9" wp14:editId="2AA5D292">
            <wp:simplePos x="0" y="0"/>
            <wp:positionH relativeFrom="column">
              <wp:posOffset>2076450</wp:posOffset>
            </wp:positionH>
            <wp:positionV relativeFrom="paragraph">
              <wp:posOffset>576580</wp:posOffset>
            </wp:positionV>
            <wp:extent cx="4457065" cy="2551430"/>
            <wp:effectExtent l="0" t="0" r="635" b="1270"/>
            <wp:wrapSquare wrapText="bothSides"/>
            <wp:docPr id="13516597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921"/>
                    <a:stretch/>
                  </pic:blipFill>
                  <pic:spPr bwMode="auto">
                    <a:xfrm>
                      <a:off x="0" y="0"/>
                      <a:ext cx="4457065" cy="2551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696F">
        <w:rPr>
          <w:color w:val="404040" w:themeColor="text1" w:themeTint="BF"/>
          <w:szCs w:val="22"/>
        </w:rPr>
        <w:t>T</w:t>
      </w:r>
      <w:r w:rsidR="0011696F" w:rsidRPr="009B60A3">
        <w:rPr>
          <w:color w:val="404040" w:themeColor="text1" w:themeTint="BF"/>
          <w:szCs w:val="22"/>
        </w:rPr>
        <w:t xml:space="preserve">ownsend compared the </w:t>
      </w:r>
      <w:r w:rsidR="006D584C">
        <w:rPr>
          <w:color w:val="404040" w:themeColor="text1" w:themeTint="BF"/>
          <w:szCs w:val="22"/>
        </w:rPr>
        <w:t xml:space="preserve">proposed </w:t>
      </w:r>
      <w:r w:rsidR="0011696F" w:rsidRPr="009B60A3">
        <w:rPr>
          <w:color w:val="404040" w:themeColor="text1" w:themeTint="BF"/>
          <w:szCs w:val="22"/>
        </w:rPr>
        <w:t xml:space="preserve">fee structure </w:t>
      </w:r>
      <w:r w:rsidR="006D584C">
        <w:rPr>
          <w:color w:val="404040" w:themeColor="text1" w:themeTint="BF"/>
          <w:szCs w:val="22"/>
        </w:rPr>
        <w:t>for the Fund’s</w:t>
      </w:r>
      <w:r w:rsidR="0011696F" w:rsidRPr="009B60A3">
        <w:rPr>
          <w:color w:val="404040" w:themeColor="text1" w:themeTint="BF"/>
          <w:szCs w:val="22"/>
        </w:rPr>
        <w:t xml:space="preserve"> initial term (first 8 years) to</w:t>
      </w:r>
      <w:r w:rsidR="00DD045D">
        <w:rPr>
          <w:color w:val="404040" w:themeColor="text1" w:themeTint="BF"/>
          <w:szCs w:val="22"/>
        </w:rPr>
        <w:t xml:space="preserve"> the median term set of a s</w:t>
      </w:r>
      <w:r w:rsidR="00BC0860">
        <w:rPr>
          <w:color w:val="404040" w:themeColor="text1" w:themeTint="BF"/>
          <w:szCs w:val="22"/>
        </w:rPr>
        <w:t xml:space="preserve">ample of </w:t>
      </w:r>
      <w:r w:rsidR="0011696F" w:rsidRPr="009B60A3">
        <w:rPr>
          <w:color w:val="404040" w:themeColor="text1" w:themeTint="BF"/>
          <w:szCs w:val="22"/>
        </w:rPr>
        <w:t>264 U.S. non-core funds</w:t>
      </w:r>
      <w:r w:rsidR="00BA1B07">
        <w:rPr>
          <w:color w:val="404040" w:themeColor="text1" w:themeTint="BF"/>
          <w:szCs w:val="22"/>
        </w:rPr>
        <w:t xml:space="preserve"> (assuming base fee rates)</w:t>
      </w:r>
      <w:r w:rsidR="0011696F" w:rsidRPr="009B60A3">
        <w:rPr>
          <w:color w:val="404040" w:themeColor="text1" w:themeTint="BF"/>
          <w:szCs w:val="22"/>
        </w:rPr>
        <w:t xml:space="preserve"> </w:t>
      </w:r>
      <w:r w:rsidR="0011696F" w:rsidRPr="00F26D19">
        <w:rPr>
          <w:color w:val="404040" w:themeColor="text1" w:themeTint="BF"/>
          <w:szCs w:val="22"/>
        </w:rPr>
        <w:t>an</w:t>
      </w:r>
      <w:r w:rsidR="00BC13D8" w:rsidRPr="00F26D19">
        <w:rPr>
          <w:color w:val="404040" w:themeColor="text1" w:themeTint="BF"/>
          <w:szCs w:val="22"/>
        </w:rPr>
        <w:t>d</w:t>
      </w:r>
      <w:r w:rsidR="0011696F" w:rsidRPr="00F26D19">
        <w:rPr>
          <w:color w:val="404040" w:themeColor="text1" w:themeTint="BF"/>
          <w:szCs w:val="22"/>
        </w:rPr>
        <w:t xml:space="preserve"> 8 U.S. industrial pure-play funds</w:t>
      </w:r>
      <w:r w:rsidR="00F26D19">
        <w:rPr>
          <w:color w:val="404040" w:themeColor="text1" w:themeTint="BF"/>
          <w:szCs w:val="22"/>
        </w:rPr>
        <w:t xml:space="preserve"> </w:t>
      </w:r>
      <w:r w:rsidR="00BA1B07">
        <w:rPr>
          <w:color w:val="404040" w:themeColor="text1" w:themeTint="BF"/>
          <w:szCs w:val="22"/>
        </w:rPr>
        <w:t xml:space="preserve">(current and recent offerings </w:t>
      </w:r>
      <w:r w:rsidR="00F26D19">
        <w:rPr>
          <w:color w:val="404040" w:themeColor="text1" w:themeTint="BF"/>
          <w:szCs w:val="22"/>
        </w:rPr>
        <w:t>with marketed size discounts)</w:t>
      </w:r>
      <w:r w:rsidR="0011696F" w:rsidRPr="00F26D19">
        <w:rPr>
          <w:color w:val="404040" w:themeColor="text1" w:themeTint="BF"/>
          <w:szCs w:val="22"/>
        </w:rPr>
        <w:t xml:space="preserve"> </w:t>
      </w:r>
      <w:r w:rsidR="003E7E5E">
        <w:rPr>
          <w:color w:val="404040" w:themeColor="text1" w:themeTint="BF"/>
          <w:szCs w:val="22"/>
        </w:rPr>
        <w:t>assuming</w:t>
      </w:r>
      <w:r w:rsidR="0011696F" w:rsidRPr="009B60A3">
        <w:rPr>
          <w:color w:val="404040" w:themeColor="text1" w:themeTint="BF"/>
          <w:szCs w:val="22"/>
        </w:rPr>
        <w:t xml:space="preserve"> a commitment size of $600M</w:t>
      </w:r>
      <w:r w:rsidR="004F35D7">
        <w:rPr>
          <w:color w:val="404040" w:themeColor="text1" w:themeTint="BF"/>
          <w:szCs w:val="22"/>
        </w:rPr>
        <w:t xml:space="preserve">. The gross/net spread results were charted </w:t>
      </w:r>
      <w:r w:rsidR="0011696F" w:rsidRPr="009B60A3">
        <w:rPr>
          <w:color w:val="404040" w:themeColor="text1" w:themeTint="BF"/>
          <w:szCs w:val="22"/>
        </w:rPr>
        <w:t xml:space="preserve">across </w:t>
      </w:r>
      <w:r w:rsidR="00A8309C">
        <w:rPr>
          <w:color w:val="404040" w:themeColor="text1" w:themeTint="BF"/>
          <w:szCs w:val="22"/>
        </w:rPr>
        <w:t>a range of</w:t>
      </w:r>
      <w:r w:rsidR="0011696F" w:rsidRPr="009B60A3">
        <w:rPr>
          <w:color w:val="404040" w:themeColor="text1" w:themeTint="BF"/>
          <w:szCs w:val="22"/>
        </w:rPr>
        <w:t xml:space="preserve"> gross return outcomes. </w:t>
      </w:r>
      <w:r w:rsidR="00C91C56">
        <w:rPr>
          <w:color w:val="404040" w:themeColor="text1" w:themeTint="BF"/>
          <w:szCs w:val="22"/>
        </w:rPr>
        <w:t xml:space="preserve">At returns below the </w:t>
      </w:r>
      <w:r w:rsidR="000B711A">
        <w:rPr>
          <w:color w:val="404040" w:themeColor="text1" w:themeTint="BF"/>
          <w:szCs w:val="22"/>
        </w:rPr>
        <w:t xml:space="preserve">fund’s </w:t>
      </w:r>
      <w:proofErr w:type="spellStart"/>
      <w:r w:rsidR="000B711A">
        <w:rPr>
          <w:color w:val="404040" w:themeColor="text1" w:themeTint="BF"/>
          <w:szCs w:val="22"/>
        </w:rPr>
        <w:t>pref</w:t>
      </w:r>
      <w:proofErr w:type="spellEnd"/>
      <w:r w:rsidR="000B711A">
        <w:rPr>
          <w:color w:val="404040" w:themeColor="text1" w:themeTint="BF"/>
          <w:szCs w:val="22"/>
        </w:rPr>
        <w:t xml:space="preserve">, the </w:t>
      </w:r>
      <w:r w:rsidR="005D3C39">
        <w:rPr>
          <w:color w:val="404040" w:themeColor="text1" w:themeTint="BF"/>
          <w:szCs w:val="22"/>
        </w:rPr>
        <w:t xml:space="preserve">fund has meaningfully lower fee/expense leakage; the Fund’s </w:t>
      </w:r>
      <w:r w:rsidR="0079355F">
        <w:rPr>
          <w:color w:val="404040" w:themeColor="text1" w:themeTint="BF"/>
          <w:szCs w:val="22"/>
        </w:rPr>
        <w:t xml:space="preserve">management fee </w:t>
      </w:r>
      <w:r w:rsidR="009E397E">
        <w:rPr>
          <w:color w:val="404040" w:themeColor="text1" w:themeTint="BF"/>
          <w:szCs w:val="22"/>
        </w:rPr>
        <w:t xml:space="preserve">of 35 bps on GAV </w:t>
      </w:r>
      <w:r w:rsidR="0079355F">
        <w:rPr>
          <w:color w:val="404040" w:themeColor="text1" w:themeTint="BF"/>
          <w:szCs w:val="22"/>
        </w:rPr>
        <w:t xml:space="preserve">is below the typical rate of 1.5% on </w:t>
      </w:r>
      <w:r w:rsidR="00FE65EA">
        <w:rPr>
          <w:color w:val="404040" w:themeColor="text1" w:themeTint="BF"/>
          <w:szCs w:val="22"/>
        </w:rPr>
        <w:t>C</w:t>
      </w:r>
      <w:r w:rsidR="0079355F">
        <w:rPr>
          <w:color w:val="404040" w:themeColor="text1" w:themeTint="BF"/>
          <w:szCs w:val="22"/>
        </w:rPr>
        <w:t xml:space="preserve">ommitted then </w:t>
      </w:r>
      <w:r w:rsidR="00FE65EA">
        <w:rPr>
          <w:color w:val="404040" w:themeColor="text1" w:themeTint="BF"/>
          <w:szCs w:val="22"/>
        </w:rPr>
        <w:t>I</w:t>
      </w:r>
      <w:r w:rsidR="0079355F">
        <w:rPr>
          <w:color w:val="404040" w:themeColor="text1" w:themeTint="BF"/>
          <w:szCs w:val="22"/>
        </w:rPr>
        <w:t xml:space="preserve">nvested capital and only begins </w:t>
      </w:r>
      <w:r w:rsidR="00ED66F5">
        <w:rPr>
          <w:color w:val="404040" w:themeColor="text1" w:themeTint="BF"/>
          <w:szCs w:val="22"/>
        </w:rPr>
        <w:t xml:space="preserve">once each asset reaches stabilization. </w:t>
      </w:r>
      <w:r w:rsidR="00A8309C">
        <w:rPr>
          <w:color w:val="404040" w:themeColor="text1" w:themeTint="BF"/>
          <w:szCs w:val="22"/>
        </w:rPr>
        <w:t xml:space="preserve">The preferred return is slightly higher than the sample median of </w:t>
      </w:r>
      <w:r w:rsidR="00A1125C">
        <w:rPr>
          <w:color w:val="404040" w:themeColor="text1" w:themeTint="BF"/>
          <w:szCs w:val="22"/>
        </w:rPr>
        <w:t xml:space="preserve">8%. The </w:t>
      </w:r>
      <w:r w:rsidR="00025560">
        <w:rPr>
          <w:color w:val="404040" w:themeColor="text1" w:themeTint="BF"/>
          <w:szCs w:val="22"/>
        </w:rPr>
        <w:t>two-tiered</w:t>
      </w:r>
      <w:r w:rsidR="00A1125C">
        <w:rPr>
          <w:color w:val="404040" w:themeColor="text1" w:themeTint="BF"/>
          <w:szCs w:val="22"/>
        </w:rPr>
        <w:t xml:space="preserve"> preferred return and lack of GP catch-up (typically 50/50 after an 8% </w:t>
      </w:r>
      <w:proofErr w:type="spellStart"/>
      <w:r w:rsidR="00A1125C">
        <w:rPr>
          <w:color w:val="404040" w:themeColor="text1" w:themeTint="BF"/>
          <w:szCs w:val="22"/>
        </w:rPr>
        <w:t>pref</w:t>
      </w:r>
      <w:proofErr w:type="spellEnd"/>
      <w:r w:rsidR="00A1125C">
        <w:rPr>
          <w:color w:val="404040" w:themeColor="text1" w:themeTint="BF"/>
          <w:szCs w:val="22"/>
        </w:rPr>
        <w:t xml:space="preserve">) </w:t>
      </w:r>
      <w:r w:rsidR="0045492E">
        <w:rPr>
          <w:color w:val="404040" w:themeColor="text1" w:themeTint="BF"/>
          <w:szCs w:val="22"/>
        </w:rPr>
        <w:t>pushes the GP incentive out to higher return levels and reduces leakage below gross IRRs in the mid-20% range</w:t>
      </w:r>
      <w:r w:rsidR="006B0D6B">
        <w:rPr>
          <w:color w:val="404040" w:themeColor="text1" w:themeTint="BF"/>
          <w:szCs w:val="22"/>
        </w:rPr>
        <w:t xml:space="preserve"> relative to the broad peer set. </w:t>
      </w:r>
      <w:r w:rsidR="00EC6A2B">
        <w:rPr>
          <w:color w:val="404040" w:themeColor="text1" w:themeTint="BF"/>
          <w:szCs w:val="22"/>
        </w:rPr>
        <w:t xml:space="preserve">The 30% final GP carry split is higher than </w:t>
      </w:r>
      <w:r w:rsidR="00ED7388">
        <w:rPr>
          <w:color w:val="404040" w:themeColor="text1" w:themeTint="BF"/>
          <w:szCs w:val="22"/>
        </w:rPr>
        <w:t xml:space="preserve">most peers, but again the lack of a GP catch-up keeps the proportion of profits </w:t>
      </w:r>
      <w:proofErr w:type="gramStart"/>
      <w:r w:rsidR="00ED7388">
        <w:rPr>
          <w:color w:val="404040" w:themeColor="text1" w:themeTint="BF"/>
          <w:szCs w:val="22"/>
        </w:rPr>
        <w:t>similar to</w:t>
      </w:r>
      <w:proofErr w:type="gramEnd"/>
      <w:r w:rsidR="00ED7388">
        <w:rPr>
          <w:color w:val="404040" w:themeColor="text1" w:themeTint="BF"/>
          <w:szCs w:val="22"/>
        </w:rPr>
        <w:t xml:space="preserve"> standard funds </w:t>
      </w:r>
      <w:r w:rsidR="006021DF">
        <w:rPr>
          <w:color w:val="404040" w:themeColor="text1" w:themeTint="BF"/>
          <w:szCs w:val="22"/>
        </w:rPr>
        <w:t xml:space="preserve">until material outperformance is achieved. The deal-by-deal distributions </w:t>
      </w:r>
      <w:r>
        <w:rPr>
          <w:color w:val="404040" w:themeColor="text1" w:themeTint="BF"/>
          <w:szCs w:val="22"/>
        </w:rPr>
        <w:t>contribute to marginally higher IRR leakage by way of earlier promote distributions relative to a fully pooled model</w:t>
      </w:r>
      <w:r w:rsidR="00FA3126">
        <w:rPr>
          <w:color w:val="404040" w:themeColor="text1" w:themeTint="BF"/>
          <w:szCs w:val="22"/>
        </w:rPr>
        <w:t xml:space="preserve"> and create the potential for </w:t>
      </w:r>
      <w:r w:rsidR="009B6216">
        <w:rPr>
          <w:color w:val="404040" w:themeColor="text1" w:themeTint="BF"/>
          <w:szCs w:val="22"/>
        </w:rPr>
        <w:t>higher-than-expected</w:t>
      </w:r>
      <w:r w:rsidR="00FA3126">
        <w:rPr>
          <w:color w:val="404040" w:themeColor="text1" w:themeTint="BF"/>
          <w:szCs w:val="22"/>
        </w:rPr>
        <w:t xml:space="preserve"> leakage in the event of a wide dispersion of returns as previously discussed.</w:t>
      </w:r>
    </w:p>
    <w:p w14:paraId="0B0E1CF1" w14:textId="78FB594D" w:rsidR="003B3D6F" w:rsidRDefault="003B3D6F" w:rsidP="0011696F">
      <w:pPr>
        <w:jc w:val="both"/>
        <w:rPr>
          <w:color w:val="404040" w:themeColor="text1" w:themeTint="BF"/>
          <w:szCs w:val="22"/>
        </w:rPr>
      </w:pPr>
    </w:p>
    <w:p w14:paraId="005217B7" w14:textId="77777777" w:rsidR="00C05BE5" w:rsidRDefault="00C05BE5" w:rsidP="0011696F">
      <w:pPr>
        <w:jc w:val="both"/>
        <w:rPr>
          <w:color w:val="404040" w:themeColor="text1" w:themeTint="BF"/>
          <w:szCs w:val="22"/>
        </w:rPr>
      </w:pPr>
    </w:p>
    <w:p w14:paraId="4BF47A7F" w14:textId="77777777" w:rsidR="00C05BE5" w:rsidRDefault="00C05BE5" w:rsidP="0011696F">
      <w:pPr>
        <w:jc w:val="both"/>
        <w:rPr>
          <w:color w:val="404040" w:themeColor="text1" w:themeTint="BF"/>
          <w:szCs w:val="22"/>
        </w:rPr>
      </w:pPr>
    </w:p>
    <w:p w14:paraId="334B0CEE" w14:textId="77777777" w:rsidR="0052323A" w:rsidRDefault="0052323A" w:rsidP="0011696F">
      <w:pPr>
        <w:jc w:val="both"/>
        <w:rPr>
          <w:color w:val="404040" w:themeColor="text1" w:themeTint="BF"/>
          <w:szCs w:val="22"/>
        </w:rPr>
      </w:pPr>
    </w:p>
    <w:p w14:paraId="506683A9" w14:textId="77777777" w:rsidR="0052323A" w:rsidRDefault="0052323A" w:rsidP="0011696F">
      <w:pPr>
        <w:jc w:val="both"/>
        <w:rPr>
          <w:color w:val="404040" w:themeColor="text1" w:themeTint="BF"/>
          <w:szCs w:val="22"/>
        </w:rPr>
      </w:pPr>
    </w:p>
    <w:p w14:paraId="2FC2BD15" w14:textId="2D16C309" w:rsidR="00025F95" w:rsidRDefault="00580D2D" w:rsidP="0011696F">
      <w:pPr>
        <w:jc w:val="both"/>
        <w:rPr>
          <w:color w:val="404040" w:themeColor="text1" w:themeTint="BF"/>
          <w:szCs w:val="22"/>
        </w:rPr>
      </w:pPr>
      <w:r w:rsidRPr="00CD4BAE">
        <w:rPr>
          <w:i/>
          <w:iCs/>
          <w:color w:val="404040" w:themeColor="text1" w:themeTint="BF"/>
          <w:szCs w:val="22"/>
          <w:highlight w:val="red"/>
        </w:rPr>
        <w:lastRenderedPageBreak/>
        <w:t>Post-Term Fee Proposal</w:t>
      </w:r>
    </w:p>
    <w:p w14:paraId="2068A214" w14:textId="64C0202C" w:rsidR="00580D2D" w:rsidRPr="00580D2D" w:rsidRDefault="00FA3126" w:rsidP="0011696F">
      <w:pPr>
        <w:jc w:val="both"/>
        <w:rPr>
          <w:color w:val="404040" w:themeColor="text1" w:themeTint="BF"/>
          <w:szCs w:val="22"/>
        </w:rPr>
      </w:pPr>
      <w:r w:rsidRPr="00DA6887">
        <w:rPr>
          <w:noProof/>
        </w:rPr>
        <w:drawing>
          <wp:anchor distT="0" distB="0" distL="114300" distR="114300" simplePos="0" relativeHeight="251680768" behindDoc="0" locked="0" layoutInCell="1" allowOverlap="1" wp14:anchorId="0411D4A4" wp14:editId="4BA21EF2">
            <wp:simplePos x="0" y="0"/>
            <wp:positionH relativeFrom="column">
              <wp:posOffset>2098040</wp:posOffset>
            </wp:positionH>
            <wp:positionV relativeFrom="paragraph">
              <wp:posOffset>379095</wp:posOffset>
            </wp:positionV>
            <wp:extent cx="4559935" cy="1943100"/>
            <wp:effectExtent l="0" t="0" r="0" b="0"/>
            <wp:wrapSquare wrapText="bothSides"/>
            <wp:docPr id="303083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9935"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0D2D">
        <w:rPr>
          <w:color w:val="404040" w:themeColor="text1" w:themeTint="BF"/>
          <w:szCs w:val="22"/>
        </w:rPr>
        <w:t xml:space="preserve">After the Fund’s initial </w:t>
      </w:r>
      <w:proofErr w:type="gramStart"/>
      <w:r w:rsidR="00580D2D">
        <w:rPr>
          <w:color w:val="404040" w:themeColor="text1" w:themeTint="BF"/>
          <w:szCs w:val="22"/>
        </w:rPr>
        <w:t>eight year</w:t>
      </w:r>
      <w:proofErr w:type="gramEnd"/>
      <w:r w:rsidR="00580D2D">
        <w:rPr>
          <w:color w:val="404040" w:themeColor="text1" w:themeTint="BF"/>
          <w:szCs w:val="22"/>
        </w:rPr>
        <w:t xml:space="preserve"> term, it is expected NYSCRF will have the ability to roll over </w:t>
      </w:r>
      <w:r w:rsidR="006B0981">
        <w:rPr>
          <w:color w:val="404040" w:themeColor="text1" w:themeTint="BF"/>
          <w:szCs w:val="22"/>
        </w:rPr>
        <w:t xml:space="preserve">long term hold assets in an operating portfolio to be held indefinitely. </w:t>
      </w:r>
      <w:r w:rsidR="00B203EA">
        <w:rPr>
          <w:color w:val="404040" w:themeColor="text1" w:themeTint="BF"/>
          <w:szCs w:val="22"/>
        </w:rPr>
        <w:t>An initial</w:t>
      </w:r>
      <w:r w:rsidR="006B0981">
        <w:rPr>
          <w:color w:val="404040" w:themeColor="text1" w:themeTint="BF"/>
          <w:szCs w:val="22"/>
        </w:rPr>
        <w:t xml:space="preserve"> proposal </w:t>
      </w:r>
      <w:r w:rsidR="00F71248">
        <w:rPr>
          <w:color w:val="404040" w:themeColor="text1" w:themeTint="BF"/>
          <w:szCs w:val="22"/>
        </w:rPr>
        <w:t xml:space="preserve">for this phase </w:t>
      </w:r>
      <w:r w:rsidR="00B203EA">
        <w:rPr>
          <w:color w:val="404040" w:themeColor="text1" w:themeTint="BF"/>
          <w:szCs w:val="22"/>
        </w:rPr>
        <w:t xml:space="preserve">(presented in early BLP marketing materials) </w:t>
      </w:r>
      <w:r w:rsidR="00F71248">
        <w:rPr>
          <w:color w:val="404040" w:themeColor="text1" w:themeTint="BF"/>
          <w:szCs w:val="22"/>
        </w:rPr>
        <w:t xml:space="preserve">is for a </w:t>
      </w:r>
      <w:proofErr w:type="gramStart"/>
      <w:r w:rsidR="00F71248">
        <w:rPr>
          <w:color w:val="404040" w:themeColor="text1" w:themeTint="BF"/>
          <w:szCs w:val="22"/>
        </w:rPr>
        <w:t>60 bps</w:t>
      </w:r>
      <w:proofErr w:type="gramEnd"/>
      <w:r w:rsidR="00F71248">
        <w:rPr>
          <w:color w:val="404040" w:themeColor="text1" w:themeTint="BF"/>
          <w:szCs w:val="22"/>
        </w:rPr>
        <w:t xml:space="preserve"> fee on NAV and 10% incentive allocation over an 8% preferred return. </w:t>
      </w:r>
      <w:r w:rsidR="00D76BD6">
        <w:rPr>
          <w:color w:val="404040" w:themeColor="text1" w:themeTint="BF"/>
          <w:szCs w:val="22"/>
        </w:rPr>
        <w:t xml:space="preserve">Townsend compared the </w:t>
      </w:r>
      <w:r w:rsidR="00B203EA">
        <w:rPr>
          <w:color w:val="404040" w:themeColor="text1" w:themeTint="BF"/>
          <w:szCs w:val="22"/>
        </w:rPr>
        <w:t>potential</w:t>
      </w:r>
      <w:r w:rsidR="00D76BD6">
        <w:rPr>
          <w:color w:val="404040" w:themeColor="text1" w:themeTint="BF"/>
          <w:szCs w:val="22"/>
        </w:rPr>
        <w:t xml:space="preserve"> fee structure to a </w:t>
      </w:r>
      <w:r w:rsidR="00AC3915">
        <w:rPr>
          <w:color w:val="404040" w:themeColor="text1" w:themeTint="BF"/>
          <w:szCs w:val="22"/>
        </w:rPr>
        <w:t xml:space="preserve">peer set of core/core-plus industrial specialist </w:t>
      </w:r>
      <w:r w:rsidR="0006181A">
        <w:rPr>
          <w:color w:val="404040" w:themeColor="text1" w:themeTint="BF"/>
          <w:szCs w:val="22"/>
        </w:rPr>
        <w:t xml:space="preserve">OECF </w:t>
      </w:r>
      <w:r w:rsidR="00AC3915">
        <w:rPr>
          <w:color w:val="404040" w:themeColor="text1" w:themeTint="BF"/>
          <w:szCs w:val="22"/>
        </w:rPr>
        <w:t xml:space="preserve">alternatives. The </w:t>
      </w:r>
      <w:r w:rsidR="002D7485">
        <w:rPr>
          <w:color w:val="404040" w:themeColor="text1" w:themeTint="BF"/>
          <w:szCs w:val="22"/>
        </w:rPr>
        <w:t>analysis assumes the available management fee rates at a $600 million NAV level.</w:t>
      </w:r>
      <w:r w:rsidR="00E33283">
        <w:rPr>
          <w:color w:val="404040" w:themeColor="text1" w:themeTint="BF"/>
          <w:szCs w:val="22"/>
        </w:rPr>
        <w:t xml:space="preserve"> The Bridge proposal is favorable relative to the relevant marketed alternatives. </w:t>
      </w:r>
      <w:r w:rsidR="00B203EA">
        <w:rPr>
          <w:color w:val="404040" w:themeColor="text1" w:themeTint="BF"/>
          <w:szCs w:val="22"/>
        </w:rPr>
        <w:t xml:space="preserve">Again, this proposal has not been included in the initial term sheet, nor are operating documents for this Fund or any rollover vehicle fully prepared, but Townsend would view this favorably as a starting point for negotiation of that vehicle’s structure. </w:t>
      </w:r>
    </w:p>
    <w:p w14:paraId="3AECD2B7" w14:textId="77777777" w:rsidR="00F1162C" w:rsidRPr="00FB4407" w:rsidRDefault="00F1162C" w:rsidP="009C2FB9">
      <w:pPr>
        <w:jc w:val="both"/>
        <w:rPr>
          <w:color w:val="404040" w:themeColor="text1" w:themeTint="BF"/>
          <w:szCs w:val="22"/>
        </w:rPr>
      </w:pPr>
    </w:p>
    <w:p w14:paraId="76774A48" w14:textId="11B236A5" w:rsidR="00FA5EB1" w:rsidRPr="00B5389B" w:rsidRDefault="009B6D76" w:rsidP="00FA5EB1">
      <w:pPr>
        <w:pStyle w:val="Heading1"/>
        <w:rPr>
          <w:rFonts w:ascii="Calibri" w:hAnsi="Calibri"/>
          <w:sz w:val="28"/>
          <w:szCs w:val="28"/>
        </w:rPr>
      </w:pPr>
      <w:bookmarkStart w:id="52" w:name="_Toc179797306"/>
      <w:r w:rsidRPr="00B5389B">
        <w:rPr>
          <w:kern w:val="28"/>
          <w:sz w:val="28"/>
          <w:szCs w:val="28"/>
        </w:rPr>
        <w:t>PERFORMANCE</w:t>
      </w:r>
      <w:r w:rsidR="005A2240" w:rsidRPr="00B5389B">
        <w:rPr>
          <w:kern w:val="28"/>
          <w:sz w:val="28"/>
          <w:szCs w:val="28"/>
        </w:rPr>
        <w:t xml:space="preserve"> </w:t>
      </w:r>
      <w:r w:rsidR="00C82CD1" w:rsidRPr="00B5389B">
        <w:rPr>
          <w:kern w:val="28"/>
          <w:sz w:val="28"/>
          <w:szCs w:val="28"/>
        </w:rPr>
        <w:t xml:space="preserve">(as </w:t>
      </w:r>
      <w:r w:rsidR="00444BD4" w:rsidRPr="00B5389B">
        <w:rPr>
          <w:kern w:val="28"/>
          <w:sz w:val="28"/>
          <w:szCs w:val="28"/>
        </w:rPr>
        <w:t>Of</w:t>
      </w:r>
      <w:r w:rsidR="00FC1E80" w:rsidRPr="00B5389B">
        <w:rPr>
          <w:kern w:val="28"/>
          <w:sz w:val="28"/>
          <w:szCs w:val="28"/>
        </w:rPr>
        <w:t xml:space="preserve"> </w:t>
      </w:r>
      <w:r w:rsidR="00D9739C">
        <w:rPr>
          <w:kern w:val="28"/>
          <w:sz w:val="28"/>
          <w:szCs w:val="28"/>
        </w:rPr>
        <w:t>March 31, 2024</w:t>
      </w:r>
      <w:r w:rsidR="00C82CD1" w:rsidRPr="00B5389B">
        <w:rPr>
          <w:kern w:val="28"/>
          <w:sz w:val="28"/>
          <w:szCs w:val="28"/>
        </w:rPr>
        <w:t>)</w:t>
      </w:r>
      <w:bookmarkEnd w:id="12"/>
      <w:bookmarkEnd w:id="50"/>
      <w:bookmarkEnd w:id="52"/>
    </w:p>
    <w:bookmarkStart w:id="53" w:name="_Toc179797307"/>
    <w:p w14:paraId="479CDD4B" w14:textId="6A1532E2" w:rsidR="004F3BE8" w:rsidRPr="00D25E71" w:rsidRDefault="00FA5EB1" w:rsidP="00D25E71">
      <w:pPr>
        <w:pStyle w:val="Heading2"/>
        <w:rPr>
          <w:color w:val="8CA4A4" w:themeColor="accent5"/>
          <w:sz w:val="22"/>
          <w:szCs w:val="22"/>
        </w:rPr>
      </w:pPr>
      <w:r w:rsidRPr="00B5389B">
        <w:rPr>
          <w:noProof/>
          <w:szCs w:val="22"/>
        </w:rPr>
        <mc:AlternateContent>
          <mc:Choice Requires="wps">
            <w:drawing>
              <wp:anchor distT="0" distB="0" distL="114300" distR="114300" simplePos="0" relativeHeight="251663360" behindDoc="0" locked="0" layoutInCell="1" allowOverlap="1" wp14:anchorId="7B09EBDF" wp14:editId="46AAD168">
                <wp:simplePos x="0" y="0"/>
                <wp:positionH relativeFrom="margin">
                  <wp:posOffset>-12700</wp:posOffset>
                </wp:positionH>
                <wp:positionV relativeFrom="paragraph">
                  <wp:posOffset>163407</wp:posOffset>
                </wp:positionV>
                <wp:extent cx="6492240" cy="0"/>
                <wp:effectExtent l="0" t="0" r="0" b="0"/>
                <wp:wrapNone/>
                <wp:docPr id="2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2240" cy="0"/>
                        </a:xfrm>
                        <a:prstGeom prst="straightConnector1">
                          <a:avLst/>
                        </a:prstGeom>
                        <a:noFill/>
                        <a:ln w="9525">
                          <a:solidFill>
                            <a:schemeClr val="tx1">
                              <a:lumMod val="75000"/>
                              <a:lumOff val="2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39897D" id="AutoShape 5" o:spid="_x0000_s1026" type="#_x0000_t32" style="position:absolute;margin-left:-1pt;margin-top:12.85pt;width:511.2pt;height: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0M10AEAAJADAAAOAAAAZHJzL2Uyb0RvYy54bWysU01v2zAMvQ/YfxB0X+wYTbcacXpI1126&#10;LUC7H8DIsi1MFgVJiZ1/P0qOva9b0Ysgkebj4+Pz9n7sNTtL5xWaiq9XOWfSCKyVaSv+4+XxwyfO&#10;fABTg0YjK36Rnt/v3r/bDraUBXaoa+kYgRhfDrbiXQi2zDIvOtmDX6GVhpINuh4CPV2b1Q4GQu91&#10;VuT5bTagq61DIb2n6MOU5LuE3zRShO9N42VguuLELaTTpfMYz2y3hbJ1YDslrjTgFSx6UIaaLlAP&#10;EICdnPoPqlfCoccmrAT2GTaNEjLNQNOs83+mee7AyjQLiePtIpN/O1jx7bw3Bxepi9E82ycUPz0z&#10;uO/AtDIReLlYWtw6SpUN1pdLSXx4e3DsOHzFmr6BU8Ckwti4PkLSfGxMYl8WseUYmKDg7c1dUdzQ&#10;TsScy6CcC63z4YvEnsVLxX1woNou7NEYWim6dWoD5ycfIi0o54LY1eCj0jptVhs2VPxuU2xSgUet&#10;6piMnyWPyb127AzkjjBOoPrU0zRT7OMmz68eoTA5aQoXc5gaLyiJxl8NHJ5MnWh0EurP13sApac7&#10;VWtzFTXqGE3ryyPWl4Obxaa1J+CrRaOv/nyn6t8/0u4XAAAA//8DAFBLAwQUAAYACAAAACEAvPB3&#10;SN4AAAAJAQAADwAAAGRycy9kb3ducmV2LnhtbEyPwU7DMBBE70j9B2uRuKDWbkRpG+JUCAnRE1Jb&#10;RK9OvCQR9jqy3TT8Pa56gOPsrGbeFJvRGjagD50jCfOZAIZUO91RI+Hj8DpdAQtRkVbGEUr4wQCb&#10;cnJTqFy7M+1w2MeGpRAKuZLQxtjnnIe6RavCzPVIyfty3qqYpG+49uqcwq3hmRCP3KqOUkOrenxp&#10;sf7en6yE+5UfzbZaHj4rH4UdFsf3tzVJeXc7Pj8BizjGv2e44Cd0KBNT5U6kAzMSplmaEiVkiyWw&#10;iy8y8QCsul54WfD/C8pfAAAA//8DAFBLAQItABQABgAIAAAAIQC2gziS/gAAAOEBAAATAAAAAAAA&#10;AAAAAAAAAAAAAABbQ29udGVudF9UeXBlc10ueG1sUEsBAi0AFAAGAAgAAAAhADj9If/WAAAAlAEA&#10;AAsAAAAAAAAAAAAAAAAALwEAAF9yZWxzLy5yZWxzUEsBAi0AFAAGAAgAAAAhAGP3QzXQAQAAkAMA&#10;AA4AAAAAAAAAAAAAAAAALgIAAGRycy9lMm9Eb2MueG1sUEsBAi0AFAAGAAgAAAAhALzwd0jeAAAA&#10;CQEAAA8AAAAAAAAAAAAAAAAAKgQAAGRycy9kb3ducmV2LnhtbFBLBQYAAAAABAAEAPMAAAA1BQAA&#10;AAA=&#10;" strokecolor="#404040 [2429]">
                <w10:wrap anchorx="margin"/>
              </v:shape>
            </w:pict>
          </mc:Fallback>
        </mc:AlternateContent>
      </w:r>
      <w:r w:rsidR="00D74BF2">
        <w:rPr>
          <w:color w:val="8CA4A4" w:themeColor="accent5"/>
          <w:sz w:val="22"/>
          <w:szCs w:val="22"/>
        </w:rPr>
        <w:t>Logistics VAlue Ventures</w:t>
      </w:r>
      <w:bookmarkEnd w:id="53"/>
    </w:p>
    <w:p w14:paraId="3A65493C" w14:textId="77777777" w:rsidR="00A613E7" w:rsidRDefault="00A613E7" w:rsidP="006C582B">
      <w:pPr>
        <w:pStyle w:val="BodyText"/>
        <w:spacing w:before="0"/>
        <w:ind w:firstLine="0"/>
        <w:jc w:val="both"/>
      </w:pPr>
    </w:p>
    <w:p w14:paraId="387F6503" w14:textId="223255BB" w:rsidR="006C582B" w:rsidRDefault="00DE562C" w:rsidP="006C582B">
      <w:pPr>
        <w:pStyle w:val="BodyText"/>
        <w:spacing w:before="0"/>
        <w:ind w:firstLine="0"/>
        <w:jc w:val="both"/>
        <w:rPr>
          <w:color w:val="404040" w:themeColor="text1" w:themeTint="BF"/>
        </w:rPr>
      </w:pPr>
      <w:r w:rsidRPr="00DE562C">
        <w:rPr>
          <w:noProof/>
        </w:rPr>
        <w:drawing>
          <wp:inline distT="0" distB="0" distL="0" distR="0" wp14:anchorId="6F7DCD21" wp14:editId="378351B9">
            <wp:extent cx="6492240" cy="885190"/>
            <wp:effectExtent l="0" t="0" r="3810" b="0"/>
            <wp:docPr id="65603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92240" cy="885190"/>
                    </a:xfrm>
                    <a:prstGeom prst="rect">
                      <a:avLst/>
                    </a:prstGeom>
                    <a:noFill/>
                    <a:ln>
                      <a:noFill/>
                    </a:ln>
                  </pic:spPr>
                </pic:pic>
              </a:graphicData>
            </a:graphic>
          </wp:inline>
        </w:drawing>
      </w:r>
    </w:p>
    <w:p w14:paraId="086CF998" w14:textId="77777777" w:rsidR="00A613E7" w:rsidRDefault="00A613E7" w:rsidP="006C582B">
      <w:pPr>
        <w:pStyle w:val="BodyText"/>
        <w:spacing w:before="0"/>
        <w:ind w:firstLine="0"/>
        <w:jc w:val="both"/>
        <w:rPr>
          <w:color w:val="404040" w:themeColor="text1" w:themeTint="BF"/>
        </w:rPr>
      </w:pPr>
    </w:p>
    <w:p w14:paraId="00065BC0" w14:textId="6CA38A2B" w:rsidR="00733893" w:rsidRDefault="00870E1D" w:rsidP="006C582B">
      <w:pPr>
        <w:pStyle w:val="BodyText"/>
        <w:spacing w:before="0"/>
        <w:ind w:firstLine="0"/>
        <w:jc w:val="both"/>
        <w:rPr>
          <w:color w:val="404040" w:themeColor="text1" w:themeTint="BF"/>
        </w:rPr>
      </w:pPr>
      <w:r w:rsidRPr="003F3872">
        <w:rPr>
          <w:b/>
          <w:bCs/>
          <w:color w:val="404040" w:themeColor="text1" w:themeTint="BF"/>
          <w:u w:val="single"/>
        </w:rPr>
        <w:t xml:space="preserve">BLV Fund I (2021 </w:t>
      </w:r>
      <w:r w:rsidR="00F23CB9" w:rsidRPr="003F3872">
        <w:rPr>
          <w:b/>
          <w:bCs/>
          <w:color w:val="404040" w:themeColor="text1" w:themeTint="BF"/>
          <w:u w:val="single"/>
        </w:rPr>
        <w:t>V</w:t>
      </w:r>
      <w:r w:rsidRPr="003F3872">
        <w:rPr>
          <w:b/>
          <w:bCs/>
          <w:color w:val="404040" w:themeColor="text1" w:themeTint="BF"/>
          <w:u w:val="single"/>
        </w:rPr>
        <w:t>intage):</w:t>
      </w:r>
      <w:r w:rsidRPr="003F3872">
        <w:rPr>
          <w:color w:val="404040" w:themeColor="text1" w:themeTint="BF"/>
        </w:rPr>
        <w:t xml:space="preserve"> </w:t>
      </w:r>
      <w:r w:rsidR="00AA4802" w:rsidRPr="003F3872">
        <w:rPr>
          <w:color w:val="404040" w:themeColor="text1" w:themeTint="BF"/>
        </w:rPr>
        <w:t xml:space="preserve">This was the first vehicle launched under Bridge’s newly established logistics program </w:t>
      </w:r>
      <w:r w:rsidR="00403E96" w:rsidRPr="003F3872">
        <w:rPr>
          <w:color w:val="404040" w:themeColor="text1" w:themeTint="BF"/>
        </w:rPr>
        <w:t xml:space="preserve">and was formed as a programmatic joint venture </w:t>
      </w:r>
      <w:r w:rsidR="00202531">
        <w:rPr>
          <w:color w:val="404040" w:themeColor="text1" w:themeTint="BF"/>
        </w:rPr>
        <w:t xml:space="preserve">between </w:t>
      </w:r>
      <w:r w:rsidR="00403E96" w:rsidRPr="003F3872">
        <w:rPr>
          <w:color w:val="404040" w:themeColor="text1" w:themeTint="BF"/>
        </w:rPr>
        <w:t xml:space="preserve">BLP and Townsend, with two additional </w:t>
      </w:r>
      <w:r w:rsidR="00F23CB9" w:rsidRPr="003F3872">
        <w:rPr>
          <w:color w:val="404040" w:themeColor="text1" w:themeTint="BF"/>
        </w:rPr>
        <w:t>equity partners brought in under a syndication in 2022.</w:t>
      </w:r>
      <w:r w:rsidRPr="003F3872">
        <w:rPr>
          <w:color w:val="404040" w:themeColor="text1" w:themeTint="BF"/>
        </w:rPr>
        <w:t xml:space="preserve"> </w:t>
      </w:r>
      <w:r w:rsidR="00733893" w:rsidRPr="003F3872">
        <w:rPr>
          <w:color w:val="404040" w:themeColor="text1" w:themeTint="BF"/>
        </w:rPr>
        <w:t xml:space="preserve">The </w:t>
      </w:r>
      <w:r w:rsidR="00F360E2">
        <w:rPr>
          <w:color w:val="404040" w:themeColor="text1" w:themeTint="BF"/>
        </w:rPr>
        <w:t>f</w:t>
      </w:r>
      <w:r w:rsidR="00733893" w:rsidRPr="003F3872">
        <w:rPr>
          <w:color w:val="404040" w:themeColor="text1" w:themeTint="BF"/>
        </w:rPr>
        <w:t>und’s focus was to acquire/develop infill logistics assets across the United States</w:t>
      </w:r>
      <w:r w:rsidR="00076D71" w:rsidRPr="003F3872">
        <w:rPr>
          <w:color w:val="404040" w:themeColor="text1" w:themeTint="BF"/>
        </w:rPr>
        <w:t xml:space="preserve">. The </w:t>
      </w:r>
      <w:r w:rsidR="00F360E2">
        <w:rPr>
          <w:color w:val="404040" w:themeColor="text1" w:themeTint="BF"/>
        </w:rPr>
        <w:t>f</w:t>
      </w:r>
      <w:r w:rsidR="00076D71" w:rsidRPr="003F3872">
        <w:rPr>
          <w:color w:val="404040" w:themeColor="text1" w:themeTint="BF"/>
        </w:rPr>
        <w:t>und deployed capital into a portfolio of 32 assets concentrated</w:t>
      </w:r>
      <w:r w:rsidR="00597CA7" w:rsidRPr="003F3872">
        <w:rPr>
          <w:color w:val="404040" w:themeColor="text1" w:themeTint="BF"/>
        </w:rPr>
        <w:t xml:space="preserve"> primarily in SoCal (40%), NNJ (</w:t>
      </w:r>
      <w:r w:rsidR="006B03AF" w:rsidRPr="003F3872">
        <w:rPr>
          <w:color w:val="404040" w:themeColor="text1" w:themeTint="BF"/>
        </w:rPr>
        <w:t>30</w:t>
      </w:r>
      <w:r w:rsidR="00597CA7" w:rsidRPr="003F3872">
        <w:rPr>
          <w:color w:val="404040" w:themeColor="text1" w:themeTint="BF"/>
        </w:rPr>
        <w:t>%), DFW (15%) and South Florida (6%)</w:t>
      </w:r>
      <w:r w:rsidR="000A186F" w:rsidRPr="003F3872">
        <w:rPr>
          <w:color w:val="404040" w:themeColor="text1" w:themeTint="BF"/>
        </w:rPr>
        <w:t xml:space="preserve"> with 9% in other Regional Growth markets.</w:t>
      </w:r>
      <w:r w:rsidR="00425AC0">
        <w:rPr>
          <w:color w:val="404040" w:themeColor="text1" w:themeTint="BF"/>
        </w:rPr>
        <w:t xml:space="preserve"> Assets were primarily infill distribution or last mile buildings</w:t>
      </w:r>
      <w:r w:rsidR="00264A7F">
        <w:rPr>
          <w:color w:val="404040" w:themeColor="text1" w:themeTint="BF"/>
        </w:rPr>
        <w:t xml:space="preserve"> with a smaller allocation to bulk distribution and truck terminal / IOS sites.</w:t>
      </w:r>
      <w:r w:rsidR="00597CA7" w:rsidRPr="003F3872">
        <w:rPr>
          <w:color w:val="404040" w:themeColor="text1" w:themeTint="BF"/>
        </w:rPr>
        <w:t xml:space="preserve"> </w:t>
      </w:r>
      <w:r w:rsidR="00197F19">
        <w:rPr>
          <w:color w:val="404040" w:themeColor="text1" w:themeTint="BF"/>
        </w:rPr>
        <w:t>Of the</w:t>
      </w:r>
      <w:r w:rsidR="004C45D5" w:rsidRPr="003F3872">
        <w:rPr>
          <w:color w:val="404040" w:themeColor="text1" w:themeTint="BF"/>
        </w:rPr>
        <w:t xml:space="preserve"> 32 assets (</w:t>
      </w:r>
      <w:r w:rsidR="007629B2" w:rsidRPr="003F3872">
        <w:rPr>
          <w:color w:val="404040" w:themeColor="text1" w:themeTint="BF"/>
        </w:rPr>
        <w:t>30 acquisitions and 2 developments)</w:t>
      </w:r>
      <w:r w:rsidR="00197F19">
        <w:rPr>
          <w:color w:val="404040" w:themeColor="text1" w:themeTint="BF"/>
        </w:rPr>
        <w:t xml:space="preserve"> </w:t>
      </w:r>
      <w:r w:rsidR="007629B2" w:rsidRPr="003F3872">
        <w:rPr>
          <w:color w:val="404040" w:themeColor="text1" w:themeTint="BF"/>
        </w:rPr>
        <w:t>the majority</w:t>
      </w:r>
      <w:r w:rsidR="008E0753">
        <w:rPr>
          <w:color w:val="404040" w:themeColor="text1" w:themeTint="BF"/>
        </w:rPr>
        <w:t xml:space="preserve"> (27)</w:t>
      </w:r>
      <w:r w:rsidR="007629B2" w:rsidRPr="003F3872">
        <w:rPr>
          <w:color w:val="404040" w:themeColor="text1" w:themeTint="BF"/>
        </w:rPr>
        <w:t xml:space="preserve"> were acquired in 2021 and 2022 prio</w:t>
      </w:r>
      <w:r w:rsidR="00415606">
        <w:rPr>
          <w:color w:val="404040" w:themeColor="text1" w:themeTint="BF"/>
        </w:rPr>
        <w:t xml:space="preserve">r to </w:t>
      </w:r>
      <w:r w:rsidR="00F703AE">
        <w:rPr>
          <w:color w:val="404040" w:themeColor="text1" w:themeTint="BF"/>
        </w:rPr>
        <w:t xml:space="preserve">and during </w:t>
      </w:r>
      <w:r w:rsidR="00BF4B50">
        <w:rPr>
          <w:color w:val="404040" w:themeColor="text1" w:themeTint="BF"/>
        </w:rPr>
        <w:t>the</w:t>
      </w:r>
      <w:r w:rsidR="00415606">
        <w:rPr>
          <w:color w:val="404040" w:themeColor="text1" w:themeTint="BF"/>
        </w:rPr>
        <w:t xml:space="preserve"> </w:t>
      </w:r>
      <w:r w:rsidR="00BF4B50">
        <w:rPr>
          <w:color w:val="404040" w:themeColor="text1" w:themeTint="BF"/>
        </w:rPr>
        <w:t xml:space="preserve">interest </w:t>
      </w:r>
      <w:r w:rsidR="008D7056">
        <w:rPr>
          <w:color w:val="404040" w:themeColor="text1" w:themeTint="BF"/>
        </w:rPr>
        <w:t>rate hikes of 2022</w:t>
      </w:r>
      <w:r w:rsidR="0052499A">
        <w:rPr>
          <w:color w:val="404040" w:themeColor="text1" w:themeTint="BF"/>
        </w:rPr>
        <w:t xml:space="preserve"> before materially slowing investment pace in September of that year.</w:t>
      </w:r>
    </w:p>
    <w:p w14:paraId="122293E5" w14:textId="77777777" w:rsidR="00D57B69" w:rsidRDefault="00D57B69" w:rsidP="006C582B">
      <w:pPr>
        <w:pStyle w:val="BodyText"/>
        <w:spacing w:before="0"/>
        <w:ind w:firstLine="0"/>
        <w:jc w:val="both"/>
        <w:rPr>
          <w:color w:val="404040" w:themeColor="text1" w:themeTint="BF"/>
        </w:rPr>
      </w:pPr>
    </w:p>
    <w:p w14:paraId="68BB570E" w14:textId="20B0E308" w:rsidR="00D57B69" w:rsidRDefault="002B72EE" w:rsidP="006C582B">
      <w:pPr>
        <w:pStyle w:val="BodyText"/>
        <w:spacing w:before="0"/>
        <w:ind w:firstLine="0"/>
        <w:jc w:val="both"/>
        <w:rPr>
          <w:color w:val="404040" w:themeColor="text1" w:themeTint="BF"/>
        </w:rPr>
      </w:pPr>
      <w:r>
        <w:rPr>
          <w:color w:val="404040" w:themeColor="text1" w:themeTint="BF"/>
        </w:rPr>
        <w:t xml:space="preserve">On an operational level, the fund has performed consistent with or ahead of business plan. </w:t>
      </w:r>
      <w:r w:rsidR="004E066C">
        <w:rPr>
          <w:color w:val="404040" w:themeColor="text1" w:themeTint="BF"/>
        </w:rPr>
        <w:t>1</w:t>
      </w:r>
      <w:r w:rsidR="0081579D">
        <w:rPr>
          <w:color w:val="404040" w:themeColor="text1" w:themeTint="BF"/>
        </w:rPr>
        <w:t>6</w:t>
      </w:r>
      <w:r w:rsidR="004E066C">
        <w:rPr>
          <w:color w:val="404040" w:themeColor="text1" w:themeTint="BF"/>
        </w:rPr>
        <w:t xml:space="preserve"> of the Fund’s 32 assets are stabilized. </w:t>
      </w:r>
      <w:r w:rsidR="008D48FC">
        <w:rPr>
          <w:color w:val="404040" w:themeColor="text1" w:themeTint="BF"/>
        </w:rPr>
        <w:t xml:space="preserve">The </w:t>
      </w:r>
      <w:r w:rsidR="00A02B10">
        <w:rPr>
          <w:color w:val="404040" w:themeColor="text1" w:themeTint="BF"/>
        </w:rPr>
        <w:t>fund is currently near 90% occupancy with a 4.7% in place yield-on-cost</w:t>
      </w:r>
      <w:r w:rsidR="00400018">
        <w:rPr>
          <w:color w:val="404040" w:themeColor="text1" w:themeTint="BF"/>
        </w:rPr>
        <w:t xml:space="preserve"> and projecting an aggregate </w:t>
      </w:r>
      <w:r w:rsidR="00087C9D">
        <w:rPr>
          <w:color w:val="404040" w:themeColor="text1" w:themeTint="BF"/>
        </w:rPr>
        <w:t>6.0% yield-on-cost at exit.</w:t>
      </w:r>
      <w:r w:rsidR="004E066C">
        <w:rPr>
          <w:color w:val="404040" w:themeColor="text1" w:themeTint="BF"/>
        </w:rPr>
        <w:t xml:space="preserve"> </w:t>
      </w:r>
      <w:r w:rsidR="00CB2790">
        <w:rPr>
          <w:color w:val="404040" w:themeColor="text1" w:themeTint="BF"/>
        </w:rPr>
        <w:t xml:space="preserve">The </w:t>
      </w:r>
      <w:r w:rsidR="00C516ED">
        <w:rPr>
          <w:color w:val="404040" w:themeColor="text1" w:themeTint="BF"/>
        </w:rPr>
        <w:t xml:space="preserve">venture has completed </w:t>
      </w:r>
      <w:r w:rsidR="00B11FA7">
        <w:rPr>
          <w:color w:val="404040" w:themeColor="text1" w:themeTint="BF"/>
        </w:rPr>
        <w:t xml:space="preserve">31 leases totaling over 1.3 million square feet. </w:t>
      </w:r>
      <w:r w:rsidR="006C21CD">
        <w:rPr>
          <w:color w:val="404040" w:themeColor="text1" w:themeTint="BF"/>
        </w:rPr>
        <w:t>Aggregate net e</w:t>
      </w:r>
      <w:r w:rsidR="00F14E62">
        <w:rPr>
          <w:color w:val="404040" w:themeColor="text1" w:themeTint="BF"/>
        </w:rPr>
        <w:t xml:space="preserve">ffective rents </w:t>
      </w:r>
      <w:r w:rsidR="00A3738E">
        <w:rPr>
          <w:color w:val="404040" w:themeColor="text1" w:themeTint="BF"/>
        </w:rPr>
        <w:t>were</w:t>
      </w:r>
      <w:r w:rsidR="00F14E62">
        <w:rPr>
          <w:color w:val="404040" w:themeColor="text1" w:themeTint="BF"/>
        </w:rPr>
        <w:t xml:space="preserve"> </w:t>
      </w:r>
      <w:r w:rsidR="00B6685B">
        <w:rPr>
          <w:color w:val="404040" w:themeColor="text1" w:themeTint="BF"/>
        </w:rPr>
        <w:t>20.1% ahead of initi</w:t>
      </w:r>
      <w:r w:rsidR="00A3738E">
        <w:rPr>
          <w:color w:val="404040" w:themeColor="text1" w:themeTint="BF"/>
        </w:rPr>
        <w:t>al underwriting on leasing activity to date.</w:t>
      </w:r>
    </w:p>
    <w:p w14:paraId="6EF9D25C" w14:textId="1FD822E9" w:rsidR="00087C9D" w:rsidRDefault="00087C9D" w:rsidP="00087C9D">
      <w:pPr>
        <w:pStyle w:val="BodyText"/>
        <w:numPr>
          <w:ilvl w:val="0"/>
          <w:numId w:val="31"/>
        </w:numPr>
        <w:spacing w:before="0"/>
        <w:jc w:val="both"/>
        <w:rPr>
          <w:color w:val="404040" w:themeColor="text1" w:themeTint="BF"/>
        </w:rPr>
      </w:pPr>
      <w:r>
        <w:rPr>
          <w:color w:val="404040" w:themeColor="text1" w:themeTint="BF"/>
        </w:rPr>
        <w:t xml:space="preserve">The stabilized portfolio has a </w:t>
      </w:r>
      <w:proofErr w:type="gramStart"/>
      <w:r>
        <w:rPr>
          <w:color w:val="404040" w:themeColor="text1" w:themeTint="BF"/>
        </w:rPr>
        <w:t>6.5 year</w:t>
      </w:r>
      <w:proofErr w:type="gramEnd"/>
      <w:r>
        <w:rPr>
          <w:color w:val="404040" w:themeColor="text1" w:themeTint="BF"/>
        </w:rPr>
        <w:t xml:space="preserve"> WALT</w:t>
      </w:r>
      <w:r w:rsidR="00EB0B91">
        <w:rPr>
          <w:color w:val="404040" w:themeColor="text1" w:themeTint="BF"/>
        </w:rPr>
        <w:t xml:space="preserve"> with in-place rents in line with market</w:t>
      </w:r>
      <w:r w:rsidR="00A52AC6">
        <w:rPr>
          <w:color w:val="404040" w:themeColor="text1" w:themeTint="BF"/>
        </w:rPr>
        <w:t>,</w:t>
      </w:r>
      <w:r w:rsidR="00EB0B91">
        <w:rPr>
          <w:color w:val="404040" w:themeColor="text1" w:themeTint="BF"/>
        </w:rPr>
        <w:t xml:space="preserve"> representing a 5.5% YOC, projected to grow to 6.0% at exit.</w:t>
      </w:r>
    </w:p>
    <w:p w14:paraId="6F48F7BF" w14:textId="57C45762" w:rsidR="00EB0B91" w:rsidRDefault="00EB0B91" w:rsidP="00087C9D">
      <w:pPr>
        <w:pStyle w:val="BodyText"/>
        <w:numPr>
          <w:ilvl w:val="0"/>
          <w:numId w:val="31"/>
        </w:numPr>
        <w:spacing w:before="0"/>
        <w:jc w:val="both"/>
        <w:rPr>
          <w:color w:val="404040" w:themeColor="text1" w:themeTint="BF"/>
        </w:rPr>
      </w:pPr>
      <w:r>
        <w:rPr>
          <w:color w:val="404040" w:themeColor="text1" w:themeTint="BF"/>
        </w:rPr>
        <w:t xml:space="preserve">The 14 non-stabilized assets </w:t>
      </w:r>
      <w:r w:rsidR="00FA64C1">
        <w:rPr>
          <w:color w:val="404040" w:themeColor="text1" w:themeTint="BF"/>
        </w:rPr>
        <w:t xml:space="preserve">have WALT of 2.5 years with 3.8% YOC, projected to stabilize at </w:t>
      </w:r>
      <w:r w:rsidR="0029062F">
        <w:rPr>
          <w:color w:val="404040" w:themeColor="text1" w:themeTint="BF"/>
        </w:rPr>
        <w:t>5.9%</w:t>
      </w:r>
      <w:r w:rsidR="002B09F9">
        <w:rPr>
          <w:color w:val="404040" w:themeColor="text1" w:themeTint="BF"/>
        </w:rPr>
        <w:t>.</w:t>
      </w:r>
    </w:p>
    <w:p w14:paraId="52B38F5B" w14:textId="20E7C018" w:rsidR="002B09F9" w:rsidRDefault="002B09F9" w:rsidP="00087C9D">
      <w:pPr>
        <w:pStyle w:val="BodyText"/>
        <w:numPr>
          <w:ilvl w:val="0"/>
          <w:numId w:val="31"/>
        </w:numPr>
        <w:spacing w:before="0"/>
        <w:jc w:val="both"/>
        <w:rPr>
          <w:color w:val="404040" w:themeColor="text1" w:themeTint="BF"/>
        </w:rPr>
      </w:pPr>
      <w:r>
        <w:rPr>
          <w:color w:val="404040" w:themeColor="text1" w:themeTint="BF"/>
        </w:rPr>
        <w:lastRenderedPageBreak/>
        <w:t xml:space="preserve">The fund acquired 2 land sites for development in 2022. One </w:t>
      </w:r>
      <w:r w:rsidR="00F07118">
        <w:rPr>
          <w:color w:val="404040" w:themeColor="text1" w:themeTint="BF"/>
        </w:rPr>
        <w:t>site (</w:t>
      </w:r>
      <w:r w:rsidR="000C6A2C">
        <w:rPr>
          <w:color w:val="404040" w:themeColor="text1" w:themeTint="BF"/>
        </w:rPr>
        <w:t>located in the Inland Empire)</w:t>
      </w:r>
      <w:r>
        <w:rPr>
          <w:color w:val="404040" w:themeColor="text1" w:themeTint="BF"/>
        </w:rPr>
        <w:t xml:space="preserve"> expected to be sold </w:t>
      </w:r>
      <w:r w:rsidR="00F07118">
        <w:rPr>
          <w:color w:val="404040" w:themeColor="text1" w:themeTint="BF"/>
        </w:rPr>
        <w:t xml:space="preserve">just above </w:t>
      </w:r>
      <w:r w:rsidR="00F07118" w:rsidRPr="00CD4BAE">
        <w:rPr>
          <w:color w:val="404040" w:themeColor="text1" w:themeTint="BF"/>
        </w:rPr>
        <w:t>cost. The other site in DFW</w:t>
      </w:r>
      <w:r w:rsidR="006F1451" w:rsidRPr="00CD4BAE">
        <w:rPr>
          <w:color w:val="404040" w:themeColor="text1" w:themeTint="BF"/>
        </w:rPr>
        <w:t xml:space="preserve"> is underway with a </w:t>
      </w:r>
      <w:proofErr w:type="gramStart"/>
      <w:r w:rsidR="006F1451" w:rsidRPr="00CD4BAE">
        <w:rPr>
          <w:color w:val="404040" w:themeColor="text1" w:themeTint="BF"/>
        </w:rPr>
        <w:t>two building</w:t>
      </w:r>
      <w:proofErr w:type="gramEnd"/>
      <w:r w:rsidR="006F1451" w:rsidRPr="00CD4BAE">
        <w:rPr>
          <w:color w:val="404040" w:themeColor="text1" w:themeTint="BF"/>
        </w:rPr>
        <w:t xml:space="preserve"> project totaling 285k sf </w:t>
      </w:r>
      <w:r w:rsidR="007B1D64" w:rsidRPr="00CD4BAE">
        <w:rPr>
          <w:color w:val="404040" w:themeColor="text1" w:themeTint="BF"/>
        </w:rPr>
        <w:t xml:space="preserve">expected to deliver in Q4 2024 and lease </w:t>
      </w:r>
      <w:r w:rsidR="00904BAE" w:rsidRPr="00CD4BAE">
        <w:rPr>
          <w:color w:val="404040" w:themeColor="text1" w:themeTint="BF"/>
        </w:rPr>
        <w:t>at a</w:t>
      </w:r>
      <w:r w:rsidR="007B1D64" w:rsidRPr="00CD4BAE">
        <w:rPr>
          <w:color w:val="404040" w:themeColor="text1" w:themeTint="BF"/>
        </w:rPr>
        <w:t xml:space="preserve"> 7.0% YOC.</w:t>
      </w:r>
    </w:p>
    <w:p w14:paraId="0D8A9689" w14:textId="21E20B50" w:rsidR="00A3738E" w:rsidRDefault="00A3738E" w:rsidP="00A3738E">
      <w:pPr>
        <w:pStyle w:val="BodyText"/>
        <w:spacing w:before="0"/>
        <w:ind w:firstLine="0"/>
        <w:jc w:val="both"/>
        <w:rPr>
          <w:color w:val="404040" w:themeColor="text1" w:themeTint="BF"/>
        </w:rPr>
      </w:pPr>
    </w:p>
    <w:p w14:paraId="69288DD4" w14:textId="78FEA3AA" w:rsidR="00A3738E" w:rsidRDefault="00A3738E" w:rsidP="00A3738E">
      <w:pPr>
        <w:pStyle w:val="BodyText"/>
        <w:spacing w:before="0"/>
        <w:ind w:firstLine="0"/>
        <w:jc w:val="both"/>
        <w:rPr>
          <w:color w:val="404040" w:themeColor="text1" w:themeTint="BF"/>
        </w:rPr>
      </w:pPr>
      <w:r>
        <w:rPr>
          <w:color w:val="404040" w:themeColor="text1" w:themeTint="BF"/>
        </w:rPr>
        <w:t xml:space="preserve">The </w:t>
      </w:r>
      <w:r w:rsidR="004B1D85">
        <w:rPr>
          <w:color w:val="404040" w:themeColor="text1" w:themeTint="BF"/>
        </w:rPr>
        <w:t>f</w:t>
      </w:r>
      <w:r>
        <w:rPr>
          <w:color w:val="404040" w:themeColor="text1" w:themeTint="BF"/>
        </w:rPr>
        <w:t>und is still relatively early in its lif</w:t>
      </w:r>
      <w:r w:rsidR="00230F22">
        <w:rPr>
          <w:color w:val="404040" w:themeColor="text1" w:themeTint="BF"/>
        </w:rPr>
        <w:t xml:space="preserve">e. Mark-to-market and reforecast returns are driven </w:t>
      </w:r>
      <w:r w:rsidR="00871457">
        <w:rPr>
          <w:color w:val="404040" w:themeColor="text1" w:themeTint="BF"/>
        </w:rPr>
        <w:t>primarily</w:t>
      </w:r>
      <w:r w:rsidR="00230F22">
        <w:rPr>
          <w:color w:val="404040" w:themeColor="text1" w:themeTint="BF"/>
        </w:rPr>
        <w:t xml:space="preserve"> by changes in exit cap rate assumptions driven by changes in the interest rate environment. </w:t>
      </w:r>
      <w:r w:rsidR="002A5824">
        <w:rPr>
          <w:color w:val="404040" w:themeColor="text1" w:themeTint="BF"/>
        </w:rPr>
        <w:t xml:space="preserve">The fund’s aggregate underwritten return was </w:t>
      </w:r>
      <w:r w:rsidR="009B2ECC">
        <w:rPr>
          <w:color w:val="404040" w:themeColor="text1" w:themeTint="BF"/>
        </w:rPr>
        <w:t xml:space="preserve">18.6% netting to an estimated 14.5%; </w:t>
      </w:r>
      <w:r w:rsidR="009B2ECC" w:rsidRPr="00CD4BAE">
        <w:rPr>
          <w:color w:val="404040" w:themeColor="text1" w:themeTint="BF"/>
          <w:highlight w:val="yellow"/>
        </w:rPr>
        <w:t xml:space="preserve">incorporating </w:t>
      </w:r>
      <w:r w:rsidR="005E5A33" w:rsidRPr="00CD4BAE">
        <w:rPr>
          <w:color w:val="404040" w:themeColor="text1" w:themeTint="BF"/>
          <w:highlight w:val="yellow"/>
        </w:rPr>
        <w:t>dilutive</w:t>
      </w:r>
      <w:r w:rsidR="009B2ECC" w:rsidRPr="00CD4BAE">
        <w:rPr>
          <w:color w:val="404040" w:themeColor="text1" w:themeTint="BF"/>
          <w:highlight w:val="yellow"/>
        </w:rPr>
        <w:t xml:space="preserve"> changes to the SOFR curve, </w:t>
      </w:r>
      <w:r w:rsidR="005E5A33" w:rsidRPr="00CD4BAE">
        <w:rPr>
          <w:color w:val="404040" w:themeColor="text1" w:themeTint="BF"/>
          <w:highlight w:val="yellow"/>
        </w:rPr>
        <w:t xml:space="preserve">positive outperformance at the asset level, and a re-forecast exit cap rate assumption of </w:t>
      </w:r>
      <w:r w:rsidR="00841736" w:rsidRPr="00CD4BAE">
        <w:rPr>
          <w:color w:val="404040" w:themeColor="text1" w:themeTint="BF"/>
          <w:highlight w:val="yellow"/>
        </w:rPr>
        <w:t xml:space="preserve">5.4% </w:t>
      </w:r>
      <w:r w:rsidR="009074B3" w:rsidRPr="00CD4BAE">
        <w:rPr>
          <w:color w:val="404040" w:themeColor="text1" w:themeTint="BF"/>
          <w:highlight w:val="yellow"/>
        </w:rPr>
        <w:t>vs the original 4.5% underwriting, the portfolio is expected to produce a 12.7% gross IRR and 10.3% net IRR</w:t>
      </w:r>
      <w:r w:rsidR="00575D09" w:rsidRPr="00CD4BAE">
        <w:rPr>
          <w:color w:val="404040" w:themeColor="text1" w:themeTint="BF"/>
          <w:highlight w:val="yellow"/>
        </w:rPr>
        <w:t xml:space="preserve"> through projected exit in late 2026</w:t>
      </w:r>
      <w:r w:rsidR="00575D09">
        <w:rPr>
          <w:color w:val="404040" w:themeColor="text1" w:themeTint="BF"/>
        </w:rPr>
        <w:t xml:space="preserve">. </w:t>
      </w:r>
      <w:r w:rsidR="006B1F65">
        <w:rPr>
          <w:color w:val="404040" w:themeColor="text1" w:themeTint="BF"/>
        </w:rPr>
        <w:t xml:space="preserve">A portfolio overview is included in </w:t>
      </w:r>
      <w:r w:rsidR="006B1F65" w:rsidRPr="006B1F65">
        <w:rPr>
          <w:b/>
          <w:bCs/>
          <w:color w:val="404040" w:themeColor="text1" w:themeTint="BF"/>
        </w:rPr>
        <w:t>Exhibit I</w:t>
      </w:r>
      <w:r w:rsidR="006B1F65">
        <w:rPr>
          <w:color w:val="404040" w:themeColor="text1" w:themeTint="BF"/>
        </w:rPr>
        <w:t xml:space="preserve"> and deal-by-deal performance in </w:t>
      </w:r>
      <w:r w:rsidR="006B1F65" w:rsidRPr="006B1F65">
        <w:rPr>
          <w:b/>
          <w:bCs/>
          <w:color w:val="404040" w:themeColor="text1" w:themeTint="BF"/>
        </w:rPr>
        <w:t>Exhibit J.</w:t>
      </w:r>
    </w:p>
    <w:p w14:paraId="15D41BE4" w14:textId="77777777" w:rsidR="00534B9B" w:rsidRDefault="00534B9B" w:rsidP="00A3738E">
      <w:pPr>
        <w:pStyle w:val="BodyText"/>
        <w:spacing w:before="0"/>
        <w:ind w:firstLine="0"/>
        <w:jc w:val="both"/>
        <w:rPr>
          <w:color w:val="404040" w:themeColor="text1" w:themeTint="BF"/>
        </w:rPr>
      </w:pPr>
    </w:p>
    <w:p w14:paraId="5376B962" w14:textId="5FB3D937" w:rsidR="00534B9B" w:rsidRPr="0024046D" w:rsidRDefault="00534B9B" w:rsidP="00A3738E">
      <w:pPr>
        <w:pStyle w:val="BodyText"/>
        <w:spacing w:before="0"/>
        <w:ind w:firstLine="0"/>
        <w:jc w:val="both"/>
        <w:rPr>
          <w:color w:val="404040" w:themeColor="text1" w:themeTint="BF"/>
        </w:rPr>
      </w:pPr>
      <w:r w:rsidRPr="00CD4BAE">
        <w:rPr>
          <w:b/>
          <w:bCs/>
          <w:color w:val="404040" w:themeColor="text1" w:themeTint="BF"/>
          <w:highlight w:val="yellow"/>
          <w:u w:val="single"/>
        </w:rPr>
        <w:t>BLV Fund II (202</w:t>
      </w:r>
      <w:r w:rsidR="00485B8D" w:rsidRPr="00CD4BAE">
        <w:rPr>
          <w:b/>
          <w:bCs/>
          <w:color w:val="404040" w:themeColor="text1" w:themeTint="BF"/>
          <w:highlight w:val="yellow"/>
          <w:u w:val="single"/>
        </w:rPr>
        <w:t>3</w:t>
      </w:r>
      <w:r w:rsidRPr="00CD4BAE">
        <w:rPr>
          <w:b/>
          <w:bCs/>
          <w:color w:val="404040" w:themeColor="text1" w:themeTint="BF"/>
          <w:highlight w:val="yellow"/>
          <w:u w:val="single"/>
        </w:rPr>
        <w:t xml:space="preserve"> Vintage):</w:t>
      </w:r>
      <w:r w:rsidR="00B605A5" w:rsidRPr="00CD4BAE">
        <w:rPr>
          <w:b/>
          <w:bCs/>
          <w:color w:val="404040" w:themeColor="text1" w:themeTint="BF"/>
          <w:highlight w:val="yellow"/>
          <w:u w:val="single"/>
        </w:rPr>
        <w:t xml:space="preserve"> </w:t>
      </w:r>
      <w:r w:rsidR="00DD01E9" w:rsidRPr="00CD4BAE">
        <w:rPr>
          <w:color w:val="404040" w:themeColor="text1" w:themeTint="BF"/>
          <w:highlight w:val="yellow"/>
        </w:rPr>
        <w:t xml:space="preserve">The fund launched in May 2023 with a </w:t>
      </w:r>
      <w:r w:rsidR="00483F46" w:rsidRPr="00CD4BAE">
        <w:rPr>
          <w:color w:val="404040" w:themeColor="text1" w:themeTint="BF"/>
          <w:highlight w:val="yellow"/>
        </w:rPr>
        <w:t>foundational commitment of $141 million from Townsend. Th</w:t>
      </w:r>
      <w:r w:rsidR="003C6383" w:rsidRPr="00CD4BAE">
        <w:rPr>
          <w:color w:val="404040" w:themeColor="text1" w:themeTint="BF"/>
          <w:highlight w:val="yellow"/>
        </w:rPr>
        <w:t xml:space="preserve">e vehicle will target $1.0 billion of capital commitments </w:t>
      </w:r>
      <w:r w:rsidR="00747A9E" w:rsidRPr="00CD4BAE">
        <w:rPr>
          <w:color w:val="404040" w:themeColor="text1" w:themeTint="BF"/>
          <w:highlight w:val="yellow"/>
        </w:rPr>
        <w:t>through a 2024</w:t>
      </w:r>
      <w:r w:rsidR="00E410BD" w:rsidRPr="00CD4BAE">
        <w:rPr>
          <w:color w:val="404040" w:themeColor="text1" w:themeTint="BF"/>
          <w:highlight w:val="yellow"/>
        </w:rPr>
        <w:t>/25</w:t>
      </w:r>
      <w:r w:rsidR="00747A9E" w:rsidRPr="00CD4BAE">
        <w:rPr>
          <w:color w:val="404040" w:themeColor="text1" w:themeTint="BF"/>
          <w:highlight w:val="yellow"/>
        </w:rPr>
        <w:t xml:space="preserve"> fundraise. </w:t>
      </w:r>
      <w:r w:rsidR="006E0AA6" w:rsidRPr="00CD4BAE">
        <w:rPr>
          <w:color w:val="404040" w:themeColor="text1" w:themeTint="BF"/>
          <w:highlight w:val="yellow"/>
        </w:rPr>
        <w:t>Following a similar strategy as BLV I, t</w:t>
      </w:r>
      <w:r w:rsidR="00747A9E" w:rsidRPr="00CD4BAE">
        <w:rPr>
          <w:color w:val="404040" w:themeColor="text1" w:themeTint="BF"/>
          <w:highlight w:val="yellow"/>
        </w:rPr>
        <w:t xml:space="preserve">he fund has compiled a seed portfolio of </w:t>
      </w:r>
      <w:r w:rsidR="006E0AA6" w:rsidRPr="00CD4BAE">
        <w:rPr>
          <w:color w:val="404040" w:themeColor="text1" w:themeTint="BF"/>
          <w:highlight w:val="yellow"/>
        </w:rPr>
        <w:t xml:space="preserve">9 assets </w:t>
      </w:r>
      <w:r w:rsidR="00262D59" w:rsidRPr="00CD4BAE">
        <w:rPr>
          <w:color w:val="404040" w:themeColor="text1" w:themeTint="BF"/>
          <w:highlight w:val="yellow"/>
        </w:rPr>
        <w:t xml:space="preserve">with 7 more in </w:t>
      </w:r>
      <w:r w:rsidR="00392908" w:rsidRPr="00CD4BAE">
        <w:rPr>
          <w:color w:val="404040" w:themeColor="text1" w:themeTint="BF"/>
          <w:highlight w:val="yellow"/>
        </w:rPr>
        <w:t xml:space="preserve">under agreement or in advanced discussions, </w:t>
      </w:r>
      <w:r w:rsidR="006E0AA6" w:rsidRPr="00CD4BAE">
        <w:rPr>
          <w:color w:val="404040" w:themeColor="text1" w:themeTint="BF"/>
          <w:highlight w:val="yellow"/>
        </w:rPr>
        <w:t xml:space="preserve">reflecting the substantial market repricing seen through 2023; stabilized yield-on-cost </w:t>
      </w:r>
      <w:r w:rsidR="0051137B" w:rsidRPr="00CD4BAE">
        <w:rPr>
          <w:color w:val="404040" w:themeColor="text1" w:themeTint="BF"/>
          <w:highlight w:val="yellow"/>
        </w:rPr>
        <w:t xml:space="preserve">of these assets is underwritten to an aggregate </w:t>
      </w:r>
      <w:r w:rsidR="00575E85" w:rsidRPr="00CD4BAE">
        <w:rPr>
          <w:color w:val="404040" w:themeColor="text1" w:themeTint="BF"/>
          <w:highlight w:val="yellow"/>
        </w:rPr>
        <w:t>7.7% at exit.</w:t>
      </w:r>
    </w:p>
    <w:p w14:paraId="34952457" w14:textId="77777777" w:rsidR="00CA6643" w:rsidRPr="00DA4498" w:rsidRDefault="00CA6643" w:rsidP="00CE29DD">
      <w:pPr>
        <w:pStyle w:val="BodyText"/>
        <w:spacing w:before="0"/>
        <w:ind w:firstLine="0"/>
        <w:jc w:val="both"/>
        <w:rPr>
          <w:color w:val="404040" w:themeColor="text1" w:themeTint="BF"/>
          <w:highlight w:val="yellow"/>
        </w:rPr>
      </w:pPr>
    </w:p>
    <w:bookmarkStart w:id="54" w:name="_Toc179797308"/>
    <w:p w14:paraId="029C28E7" w14:textId="328EF4A7" w:rsidR="00E220B1" w:rsidRPr="006E7040" w:rsidRDefault="006622E8" w:rsidP="00904A6B">
      <w:pPr>
        <w:pStyle w:val="Heading2"/>
        <w:rPr>
          <w:color w:val="8CA4A4" w:themeColor="accent5"/>
          <w:sz w:val="22"/>
          <w:szCs w:val="22"/>
        </w:rPr>
      </w:pPr>
      <w:r w:rsidRPr="006E7040">
        <w:rPr>
          <w:noProof/>
          <w:szCs w:val="22"/>
        </w:rPr>
        <mc:AlternateContent>
          <mc:Choice Requires="wps">
            <w:drawing>
              <wp:anchor distT="0" distB="0" distL="114300" distR="114300" simplePos="0" relativeHeight="251670528" behindDoc="0" locked="0" layoutInCell="1" allowOverlap="1" wp14:anchorId="472CAB6B" wp14:editId="17B9041C">
                <wp:simplePos x="0" y="0"/>
                <wp:positionH relativeFrom="margin">
                  <wp:posOffset>-12700</wp:posOffset>
                </wp:positionH>
                <wp:positionV relativeFrom="paragraph">
                  <wp:posOffset>163407</wp:posOffset>
                </wp:positionV>
                <wp:extent cx="6492240" cy="0"/>
                <wp:effectExtent l="0" t="0" r="0" b="0"/>
                <wp:wrapNone/>
                <wp:docPr id="27"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2240" cy="0"/>
                        </a:xfrm>
                        <a:prstGeom prst="straightConnector1">
                          <a:avLst/>
                        </a:prstGeom>
                        <a:noFill/>
                        <a:ln w="9525">
                          <a:solidFill>
                            <a:schemeClr val="tx1">
                              <a:lumMod val="75000"/>
                              <a:lumOff val="2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B5A8F0" id="AutoShape 5" o:spid="_x0000_s1026" type="#_x0000_t32" style="position:absolute;margin-left:-1pt;margin-top:12.85pt;width:511.2pt;height:0;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0M10AEAAJADAAAOAAAAZHJzL2Uyb0RvYy54bWysU01v2zAMvQ/YfxB0X+wYTbcacXpI1126&#10;LUC7H8DIsi1MFgVJiZ1/P0qOva9b0Ysgkebj4+Pz9n7sNTtL5xWaiq9XOWfSCKyVaSv+4+XxwyfO&#10;fABTg0YjK36Rnt/v3r/bDraUBXaoa+kYgRhfDrbiXQi2zDIvOtmDX6GVhpINuh4CPV2b1Q4GQu91&#10;VuT5bTagq61DIb2n6MOU5LuE3zRShO9N42VguuLELaTTpfMYz2y3hbJ1YDslrjTgFSx6UIaaLlAP&#10;EICdnPoPqlfCoccmrAT2GTaNEjLNQNOs83+mee7AyjQLiePtIpN/O1jx7bw3Bxepi9E82ycUPz0z&#10;uO/AtDIReLlYWtw6SpUN1pdLSXx4e3DsOHzFmr6BU8Ckwti4PkLSfGxMYl8WseUYmKDg7c1dUdzQ&#10;TsScy6CcC63z4YvEnsVLxX1woNou7NEYWim6dWoD5ycfIi0o54LY1eCj0jptVhs2VPxuU2xSgUet&#10;6piMnyWPyb127AzkjjBOoPrU0zRT7OMmz68eoTA5aQoXc5gaLyiJxl8NHJ5MnWh0EurP13sApac7&#10;VWtzFTXqGE3ryyPWl4Obxaa1J+CrRaOv/nyn6t8/0u4XAAAA//8DAFBLAwQUAAYACAAAACEAvPB3&#10;SN4AAAAJAQAADwAAAGRycy9kb3ducmV2LnhtbEyPwU7DMBBE70j9B2uRuKDWbkRpG+JUCAnRE1Jb&#10;RK9OvCQR9jqy3TT8Pa56gOPsrGbeFJvRGjagD50jCfOZAIZUO91RI+Hj8DpdAQtRkVbGEUr4wQCb&#10;cnJTqFy7M+1w2MeGpRAKuZLQxtjnnIe6RavCzPVIyfty3qqYpG+49uqcwq3hmRCP3KqOUkOrenxp&#10;sf7en6yE+5UfzbZaHj4rH4UdFsf3tzVJeXc7Pj8BizjGv2e44Cd0KBNT5U6kAzMSplmaEiVkiyWw&#10;iy8y8QCsul54WfD/C8pfAAAA//8DAFBLAQItABQABgAIAAAAIQC2gziS/gAAAOEBAAATAAAAAAAA&#10;AAAAAAAAAAAAAABbQ29udGVudF9UeXBlc10ueG1sUEsBAi0AFAAGAAgAAAAhADj9If/WAAAAlAEA&#10;AAsAAAAAAAAAAAAAAAAALwEAAF9yZWxzLy5yZWxzUEsBAi0AFAAGAAgAAAAhAGP3QzXQAQAAkAMA&#10;AA4AAAAAAAAAAAAAAAAALgIAAGRycy9lMm9Eb2MueG1sUEsBAi0AFAAGAAgAAAAhALzwd0jeAAAA&#10;CQEAAA8AAAAAAAAAAAAAAAAAKgQAAGRycy9kb3ducmV2LnhtbFBLBQYAAAAABAAEAPMAAAA1BQAA&#10;AAA=&#10;" strokecolor="#404040 [2429]">
                <w10:wrap anchorx="margin"/>
              </v:shape>
            </w:pict>
          </mc:Fallback>
        </mc:AlternateContent>
      </w:r>
      <w:r w:rsidR="00797A61">
        <w:rPr>
          <w:color w:val="8CA4A4" w:themeColor="accent5"/>
          <w:sz w:val="22"/>
          <w:szCs w:val="22"/>
        </w:rPr>
        <w:t xml:space="preserve">BLV I - </w:t>
      </w:r>
      <w:r w:rsidR="0000234A" w:rsidRPr="006E7040">
        <w:rPr>
          <w:color w:val="8CA4A4" w:themeColor="accent5"/>
          <w:sz w:val="22"/>
          <w:szCs w:val="22"/>
        </w:rPr>
        <w:t>Vintage Peer Comparison</w:t>
      </w:r>
      <w:bookmarkEnd w:id="54"/>
    </w:p>
    <w:p w14:paraId="39B82432" w14:textId="0D83C0F5" w:rsidR="00B22F4B" w:rsidRDefault="006E227F" w:rsidP="00FF00BE">
      <w:pPr>
        <w:pStyle w:val="BodyText"/>
        <w:spacing w:before="0"/>
        <w:ind w:firstLine="0"/>
        <w:jc w:val="both"/>
        <w:rPr>
          <w:color w:val="404040" w:themeColor="text1" w:themeTint="BF"/>
        </w:rPr>
      </w:pPr>
      <w:r>
        <w:rPr>
          <w:color w:val="404040" w:themeColor="text1" w:themeTint="BF"/>
        </w:rPr>
        <w:t>Relative performance</w:t>
      </w:r>
      <w:r w:rsidR="00DC74B4">
        <w:rPr>
          <w:color w:val="404040" w:themeColor="text1" w:themeTint="BF"/>
        </w:rPr>
        <w:t xml:space="preserve"> to a peer set of non-core peers investing over a similar vintage period is shown below but</w:t>
      </w:r>
      <w:r>
        <w:rPr>
          <w:color w:val="404040" w:themeColor="text1" w:themeTint="BF"/>
        </w:rPr>
        <w:t xml:space="preserve"> is not considered </w:t>
      </w:r>
      <w:r w:rsidR="000E31C4">
        <w:rPr>
          <w:color w:val="404040" w:themeColor="text1" w:themeTint="BF"/>
        </w:rPr>
        <w:t xml:space="preserve">overly meaningful at this stage. </w:t>
      </w:r>
      <w:r w:rsidR="005E4D0F">
        <w:rPr>
          <w:color w:val="404040" w:themeColor="text1" w:themeTint="BF"/>
        </w:rPr>
        <w:t xml:space="preserve">Mark-to-market returns at this stage are </w:t>
      </w:r>
      <w:r w:rsidR="0003502F">
        <w:rPr>
          <w:color w:val="404040" w:themeColor="text1" w:themeTint="BF"/>
        </w:rPr>
        <w:t xml:space="preserve">substantially influenced by </w:t>
      </w:r>
      <w:r w:rsidR="00973ECF">
        <w:rPr>
          <w:color w:val="404040" w:themeColor="text1" w:themeTint="BF"/>
        </w:rPr>
        <w:t>changes in the interest rate environment since the funds’ inception and</w:t>
      </w:r>
      <w:r w:rsidR="00621885">
        <w:rPr>
          <w:color w:val="404040" w:themeColor="text1" w:themeTint="BF"/>
        </w:rPr>
        <w:t xml:space="preserve"> the</w:t>
      </w:r>
      <w:r w:rsidR="00973ECF">
        <w:rPr>
          <w:color w:val="404040" w:themeColor="text1" w:themeTint="BF"/>
        </w:rPr>
        <w:t xml:space="preserve"> resulting effects on </w:t>
      </w:r>
      <w:r w:rsidR="0003502F">
        <w:rPr>
          <w:color w:val="404040" w:themeColor="text1" w:themeTint="BF"/>
        </w:rPr>
        <w:t>valuation</w:t>
      </w:r>
      <w:r w:rsidR="00973ECF">
        <w:rPr>
          <w:color w:val="404040" w:themeColor="text1" w:themeTint="BF"/>
        </w:rPr>
        <w:t xml:space="preserve">s, </w:t>
      </w:r>
      <w:r w:rsidR="005A6B7A">
        <w:rPr>
          <w:color w:val="404040" w:themeColor="text1" w:themeTint="BF"/>
        </w:rPr>
        <w:t>coupled with</w:t>
      </w:r>
      <w:r w:rsidR="00973ECF">
        <w:rPr>
          <w:color w:val="404040" w:themeColor="text1" w:themeTint="BF"/>
        </w:rPr>
        <w:t xml:space="preserve"> typical j-curve of recently invested funds. </w:t>
      </w:r>
      <w:r w:rsidR="009C1DC5">
        <w:rPr>
          <w:color w:val="404040" w:themeColor="text1" w:themeTint="BF"/>
        </w:rPr>
        <w:t xml:space="preserve">Townsend does not have full visibility into the valuation </w:t>
      </w:r>
      <w:r w:rsidR="00593D97">
        <w:rPr>
          <w:color w:val="404040" w:themeColor="text1" w:themeTint="BF"/>
        </w:rPr>
        <w:t xml:space="preserve">practices of all </w:t>
      </w:r>
      <w:r w:rsidR="001C68A7">
        <w:rPr>
          <w:color w:val="404040" w:themeColor="text1" w:themeTint="BF"/>
        </w:rPr>
        <w:t>constituents within the vintage data and there is likely var</w:t>
      </w:r>
      <w:r w:rsidR="00FA3A02">
        <w:rPr>
          <w:color w:val="404040" w:themeColor="text1" w:themeTint="BF"/>
        </w:rPr>
        <w:t xml:space="preserve">iance in how aggressively sponsors have re-underwritten </w:t>
      </w:r>
      <w:r w:rsidR="000E5273">
        <w:rPr>
          <w:color w:val="404040" w:themeColor="text1" w:themeTint="BF"/>
        </w:rPr>
        <w:t xml:space="preserve">expanded </w:t>
      </w:r>
      <w:r w:rsidR="00FA3A02">
        <w:rPr>
          <w:color w:val="404040" w:themeColor="text1" w:themeTint="BF"/>
        </w:rPr>
        <w:t>exit cap rate</w:t>
      </w:r>
      <w:r w:rsidR="00764168">
        <w:rPr>
          <w:color w:val="404040" w:themeColor="text1" w:themeTint="BF"/>
        </w:rPr>
        <w:t xml:space="preserve"> and business plan assumptions. </w:t>
      </w:r>
      <w:r w:rsidR="005506FE">
        <w:rPr>
          <w:color w:val="404040" w:themeColor="text1" w:themeTint="BF"/>
        </w:rPr>
        <w:t xml:space="preserve">Returns are heavily influenced by the amount of capital invested and any realizations achieved prior to the rate hikes and period of </w:t>
      </w:r>
      <w:r w:rsidR="00E7385C">
        <w:rPr>
          <w:color w:val="404040" w:themeColor="text1" w:themeTint="BF"/>
        </w:rPr>
        <w:t xml:space="preserve">illiquidity </w:t>
      </w:r>
      <w:r w:rsidR="002312D0">
        <w:rPr>
          <w:color w:val="404040" w:themeColor="text1" w:themeTint="BF"/>
        </w:rPr>
        <w:t>since</w:t>
      </w:r>
      <w:r w:rsidR="00E7385C">
        <w:rPr>
          <w:color w:val="404040" w:themeColor="text1" w:themeTint="BF"/>
        </w:rPr>
        <w:t xml:space="preserve"> late 2022.</w:t>
      </w:r>
    </w:p>
    <w:p w14:paraId="15C87251" w14:textId="1F670955" w:rsidR="008717A9" w:rsidRPr="00C05BE5" w:rsidRDefault="00C12AD0" w:rsidP="00C05BE5">
      <w:pPr>
        <w:pStyle w:val="BodyText"/>
        <w:numPr>
          <w:ilvl w:val="0"/>
          <w:numId w:val="36"/>
        </w:numPr>
        <w:spacing w:before="0"/>
        <w:jc w:val="both"/>
        <w:rPr>
          <w:color w:val="404040" w:themeColor="text1" w:themeTint="BF"/>
        </w:rPr>
      </w:pPr>
      <w:r>
        <w:rPr>
          <w:color w:val="404040" w:themeColor="text1" w:themeTint="BF"/>
        </w:rPr>
        <w:t xml:space="preserve">The fund similarly ranks in the </w:t>
      </w:r>
      <w:r w:rsidR="000A0A14">
        <w:rPr>
          <w:color w:val="404040" w:themeColor="text1" w:themeTint="BF"/>
        </w:rPr>
        <w:t xml:space="preserve">upper third quartile of industrial specialist vehicles, where the median return is currently slightly higher at 2.9% net IRR. </w:t>
      </w:r>
      <w:r w:rsidR="00DC37F5">
        <w:rPr>
          <w:color w:val="404040" w:themeColor="text1" w:themeTint="BF"/>
        </w:rPr>
        <w:t xml:space="preserve">Funds that populated the upper portion of this vintage range generally acquired assets earlier in 2021 before </w:t>
      </w:r>
      <w:r w:rsidR="00590E4B">
        <w:rPr>
          <w:color w:val="404040" w:themeColor="text1" w:themeTint="BF"/>
        </w:rPr>
        <w:t xml:space="preserve">a period of </w:t>
      </w:r>
      <w:r w:rsidR="00517DB4">
        <w:rPr>
          <w:color w:val="404040" w:themeColor="text1" w:themeTint="BF"/>
        </w:rPr>
        <w:t xml:space="preserve">significant </w:t>
      </w:r>
      <w:r w:rsidR="00590E4B">
        <w:rPr>
          <w:color w:val="404040" w:themeColor="text1" w:themeTint="BF"/>
        </w:rPr>
        <w:t>cap rate compression throughout that year. Some outperformance is also attributable to specialty industrial property types including IOS</w:t>
      </w:r>
      <w:r w:rsidR="004B4453">
        <w:rPr>
          <w:color w:val="404040" w:themeColor="text1" w:themeTint="BF"/>
        </w:rPr>
        <w:t>, truck terminals/high-flow-through assets, and cold storage which</w:t>
      </w:r>
      <w:r w:rsidR="0045711C">
        <w:rPr>
          <w:color w:val="404040" w:themeColor="text1" w:themeTint="BF"/>
        </w:rPr>
        <w:t xml:space="preserve"> have</w:t>
      </w:r>
      <w:r w:rsidR="004B4453">
        <w:rPr>
          <w:color w:val="404040" w:themeColor="text1" w:themeTint="BF"/>
        </w:rPr>
        <w:t xml:space="preserve"> gained </w:t>
      </w:r>
      <w:r w:rsidR="00FE0409">
        <w:rPr>
          <w:color w:val="404040" w:themeColor="text1" w:themeTint="BF"/>
        </w:rPr>
        <w:t>greater investor attention in recent vintages.</w:t>
      </w:r>
    </w:p>
    <w:p w14:paraId="59CCA502" w14:textId="3AD633ED" w:rsidR="00823385" w:rsidRPr="00B21201" w:rsidRDefault="004E4DBE" w:rsidP="00807198">
      <w:pPr>
        <w:pStyle w:val="BodyText"/>
        <w:spacing w:before="0"/>
        <w:ind w:firstLine="0"/>
        <w:jc w:val="center"/>
        <w:rPr>
          <w:color w:val="404040" w:themeColor="text1" w:themeTint="BF"/>
        </w:rPr>
      </w:pPr>
      <w:r w:rsidRPr="004E4DBE">
        <w:rPr>
          <w:noProof/>
        </w:rPr>
        <w:drawing>
          <wp:inline distT="0" distB="0" distL="0" distR="0" wp14:anchorId="2307C34A" wp14:editId="4E97A3BE">
            <wp:extent cx="5187950" cy="2640657"/>
            <wp:effectExtent l="0" t="0" r="0" b="0"/>
            <wp:docPr id="19892029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6428" cy="2675512"/>
                    </a:xfrm>
                    <a:prstGeom prst="rect">
                      <a:avLst/>
                    </a:prstGeom>
                    <a:noFill/>
                    <a:ln>
                      <a:noFill/>
                    </a:ln>
                  </pic:spPr>
                </pic:pic>
              </a:graphicData>
            </a:graphic>
          </wp:inline>
        </w:drawing>
      </w:r>
    </w:p>
    <w:bookmarkStart w:id="55" w:name="_Toc179797309"/>
    <w:p w14:paraId="2674060D" w14:textId="764A2077" w:rsidR="00363D82" w:rsidRPr="006E7040" w:rsidRDefault="00363D82" w:rsidP="00363D82">
      <w:pPr>
        <w:pStyle w:val="Heading2"/>
        <w:rPr>
          <w:color w:val="8CA4A4" w:themeColor="accent5"/>
          <w:sz w:val="22"/>
          <w:szCs w:val="22"/>
        </w:rPr>
      </w:pPr>
      <w:r w:rsidRPr="006E7040">
        <w:rPr>
          <w:noProof/>
          <w:szCs w:val="22"/>
        </w:rPr>
        <w:lastRenderedPageBreak/>
        <mc:AlternateContent>
          <mc:Choice Requires="wps">
            <w:drawing>
              <wp:anchor distT="0" distB="0" distL="114300" distR="114300" simplePos="0" relativeHeight="251657216" behindDoc="0" locked="0" layoutInCell="1" allowOverlap="1" wp14:anchorId="321427C7" wp14:editId="4A46D662">
                <wp:simplePos x="0" y="0"/>
                <wp:positionH relativeFrom="margin">
                  <wp:posOffset>-12700</wp:posOffset>
                </wp:positionH>
                <wp:positionV relativeFrom="paragraph">
                  <wp:posOffset>163407</wp:posOffset>
                </wp:positionV>
                <wp:extent cx="6492240" cy="0"/>
                <wp:effectExtent l="0" t="0" r="0" b="0"/>
                <wp:wrapNone/>
                <wp:docPr id="17"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2240" cy="0"/>
                        </a:xfrm>
                        <a:prstGeom prst="straightConnector1">
                          <a:avLst/>
                        </a:prstGeom>
                        <a:noFill/>
                        <a:ln w="9525">
                          <a:solidFill>
                            <a:schemeClr val="tx1">
                              <a:lumMod val="75000"/>
                              <a:lumOff val="2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766012" id="AutoShape 5" o:spid="_x0000_s1026" type="#_x0000_t32" style="position:absolute;margin-left:-1pt;margin-top:12.85pt;width:511.2pt;height:0;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0M10AEAAJADAAAOAAAAZHJzL2Uyb0RvYy54bWysU01v2zAMvQ/YfxB0X+wYTbcacXpI1126&#10;LUC7H8DIsi1MFgVJiZ1/P0qOva9b0Ysgkebj4+Pz9n7sNTtL5xWaiq9XOWfSCKyVaSv+4+XxwyfO&#10;fABTg0YjK36Rnt/v3r/bDraUBXaoa+kYgRhfDrbiXQi2zDIvOtmDX6GVhpINuh4CPV2b1Q4GQu91&#10;VuT5bTagq61DIb2n6MOU5LuE3zRShO9N42VguuLELaTTpfMYz2y3hbJ1YDslrjTgFSx6UIaaLlAP&#10;EICdnPoPqlfCoccmrAT2GTaNEjLNQNOs83+mee7AyjQLiePtIpN/O1jx7bw3Bxepi9E82ycUPz0z&#10;uO/AtDIReLlYWtw6SpUN1pdLSXx4e3DsOHzFmr6BU8Ckwti4PkLSfGxMYl8WseUYmKDg7c1dUdzQ&#10;TsScy6CcC63z4YvEnsVLxX1woNou7NEYWim6dWoD5ycfIi0o54LY1eCj0jptVhs2VPxuU2xSgUet&#10;6piMnyWPyb127AzkjjBOoPrU0zRT7OMmz68eoTA5aQoXc5gaLyiJxl8NHJ5MnWh0EurP13sApac7&#10;VWtzFTXqGE3ryyPWl4Obxaa1J+CrRaOv/nyn6t8/0u4XAAAA//8DAFBLAwQUAAYACAAAACEAvPB3&#10;SN4AAAAJAQAADwAAAGRycy9kb3ducmV2LnhtbEyPwU7DMBBE70j9B2uRuKDWbkRpG+JUCAnRE1Jb&#10;RK9OvCQR9jqy3TT8Pa56gOPsrGbeFJvRGjagD50jCfOZAIZUO91RI+Hj8DpdAQtRkVbGEUr4wQCb&#10;cnJTqFy7M+1w2MeGpRAKuZLQxtjnnIe6RavCzPVIyfty3qqYpG+49uqcwq3hmRCP3KqOUkOrenxp&#10;sf7en6yE+5UfzbZaHj4rH4UdFsf3tzVJeXc7Pj8BizjGv2e44Cd0KBNT5U6kAzMSplmaEiVkiyWw&#10;iy8y8QCsul54WfD/C8pfAAAA//8DAFBLAQItABQABgAIAAAAIQC2gziS/gAAAOEBAAATAAAAAAAA&#10;AAAAAAAAAAAAAABbQ29udGVudF9UeXBlc10ueG1sUEsBAi0AFAAGAAgAAAAhADj9If/WAAAAlAEA&#10;AAsAAAAAAAAAAAAAAAAALwEAAF9yZWxzLy5yZWxzUEsBAi0AFAAGAAgAAAAhAGP3QzXQAQAAkAMA&#10;AA4AAAAAAAAAAAAAAAAALgIAAGRycy9lMm9Eb2MueG1sUEsBAi0AFAAGAAgAAAAhALzwd0jeAAAA&#10;CQEAAA8AAAAAAAAAAAAAAAAAKgQAAGRycy9kb3ducmV2LnhtbFBLBQYAAAAABAAEAPMAAAA1BQAA&#10;AAA=&#10;" strokecolor="#404040 [2429]">
                <w10:wrap anchorx="margin"/>
              </v:shape>
            </w:pict>
          </mc:Fallback>
        </mc:AlternateContent>
      </w:r>
      <w:r w:rsidR="00797A61">
        <w:rPr>
          <w:color w:val="8CA4A4" w:themeColor="accent5"/>
          <w:sz w:val="22"/>
          <w:szCs w:val="22"/>
        </w:rPr>
        <w:t>BLV I – Index Comparison</w:t>
      </w:r>
      <w:bookmarkEnd w:id="55"/>
    </w:p>
    <w:p w14:paraId="3941A243" w14:textId="3264A37E" w:rsidR="00101A03" w:rsidRDefault="002A3AA7" w:rsidP="003576EE">
      <w:pPr>
        <w:pStyle w:val="BodyText"/>
        <w:spacing w:before="0"/>
        <w:ind w:firstLine="0"/>
        <w:jc w:val="both"/>
        <w:rPr>
          <w:noProof/>
          <w:color w:val="404040" w:themeColor="text1" w:themeTint="BF"/>
        </w:rPr>
      </w:pPr>
      <w:r>
        <w:rPr>
          <w:noProof/>
          <w:color w:val="404040" w:themeColor="text1" w:themeTint="BF"/>
        </w:rPr>
        <w:t xml:space="preserve">Townsend compared the BLV I since inception IRR to the NFI-ODCE index, the most commonly referenced index for U.S. fund-based core real estate performance. The analysis assumes </w:t>
      </w:r>
      <w:r w:rsidR="003576EE">
        <w:rPr>
          <w:noProof/>
          <w:color w:val="404040" w:themeColor="text1" w:themeTint="BF"/>
        </w:rPr>
        <w:t xml:space="preserve">BLV I net cash flows are invested into and withdrawn from the index to create an IRR equivalent from the TWR-based index. </w:t>
      </w:r>
    </w:p>
    <w:p w14:paraId="48F7F5B8" w14:textId="676ECB12" w:rsidR="00F04EC4" w:rsidRDefault="00F04EC4" w:rsidP="00F04EC4">
      <w:pPr>
        <w:pStyle w:val="BodyText"/>
        <w:numPr>
          <w:ilvl w:val="0"/>
          <w:numId w:val="35"/>
        </w:numPr>
        <w:spacing w:before="0"/>
        <w:jc w:val="both"/>
        <w:rPr>
          <w:noProof/>
          <w:color w:val="404040" w:themeColor="text1" w:themeTint="BF"/>
        </w:rPr>
      </w:pPr>
      <w:r>
        <w:rPr>
          <w:noProof/>
          <w:color w:val="404040" w:themeColor="text1" w:themeTint="BF"/>
        </w:rPr>
        <w:t xml:space="preserve">The net ODCE-equivalent IRR was </w:t>
      </w:r>
      <w:r w:rsidR="00756FBF">
        <w:rPr>
          <w:noProof/>
          <w:color w:val="404040" w:themeColor="text1" w:themeTint="BF"/>
        </w:rPr>
        <w:t xml:space="preserve">-6.4%, reflecting a time period of </w:t>
      </w:r>
      <w:r w:rsidR="008B7C42">
        <w:rPr>
          <w:noProof/>
          <w:color w:val="404040" w:themeColor="text1" w:themeTint="BF"/>
        </w:rPr>
        <w:t xml:space="preserve">valuation adjustments </w:t>
      </w:r>
      <w:r w:rsidR="00A12B4F">
        <w:rPr>
          <w:noProof/>
          <w:color w:val="404040" w:themeColor="text1" w:themeTint="BF"/>
        </w:rPr>
        <w:t xml:space="preserve">driven largely by increased interest rates and </w:t>
      </w:r>
      <w:r w:rsidR="009D7E50">
        <w:rPr>
          <w:noProof/>
          <w:color w:val="404040" w:themeColor="text1" w:themeTint="BF"/>
        </w:rPr>
        <w:t xml:space="preserve">questions around long term valution of the office sector, </w:t>
      </w:r>
      <w:r w:rsidR="00174CF5">
        <w:rPr>
          <w:noProof/>
          <w:color w:val="404040" w:themeColor="text1" w:themeTint="BF"/>
        </w:rPr>
        <w:t>which makes up a significant proportion of the index.</w:t>
      </w:r>
    </w:p>
    <w:p w14:paraId="37626305" w14:textId="494616F8" w:rsidR="00174CF5" w:rsidRPr="00101A03" w:rsidRDefault="00174CF5" w:rsidP="00F04EC4">
      <w:pPr>
        <w:pStyle w:val="BodyText"/>
        <w:numPr>
          <w:ilvl w:val="0"/>
          <w:numId w:val="35"/>
        </w:numPr>
        <w:spacing w:before="0"/>
        <w:jc w:val="both"/>
        <w:rPr>
          <w:noProof/>
          <w:color w:val="404040" w:themeColor="text1" w:themeTint="BF"/>
        </w:rPr>
      </w:pPr>
      <w:r>
        <w:rPr>
          <w:noProof/>
          <w:color w:val="404040" w:themeColor="text1" w:themeTint="BF"/>
        </w:rPr>
        <w:t xml:space="preserve">Townsend additionally compared </w:t>
      </w:r>
      <w:r w:rsidR="00B61A66">
        <w:rPr>
          <w:noProof/>
          <w:color w:val="404040" w:themeColor="text1" w:themeTint="BF"/>
        </w:rPr>
        <w:t>the fund’s gross IRR (</w:t>
      </w:r>
      <w:r w:rsidR="00DD5A86">
        <w:rPr>
          <w:noProof/>
          <w:color w:val="404040" w:themeColor="text1" w:themeTint="BF"/>
        </w:rPr>
        <w:t>-1.3%) to the subset of ODCE industrial properties , which outperformed the broader index (</w:t>
      </w:r>
      <w:r w:rsidR="00AF086A">
        <w:rPr>
          <w:noProof/>
          <w:color w:val="404040" w:themeColor="text1" w:themeTint="BF"/>
        </w:rPr>
        <w:t>producing a</w:t>
      </w:r>
      <w:r w:rsidR="00155288">
        <w:rPr>
          <w:noProof/>
          <w:color w:val="404040" w:themeColor="text1" w:themeTint="BF"/>
        </w:rPr>
        <w:t xml:space="preserve"> positive </w:t>
      </w:r>
      <w:r w:rsidR="00ED55D8">
        <w:rPr>
          <w:noProof/>
          <w:color w:val="404040" w:themeColor="text1" w:themeTint="BF"/>
        </w:rPr>
        <w:t xml:space="preserve">3.6% gross IRR). This reflects some abnormally </w:t>
      </w:r>
      <w:r w:rsidR="008E7798">
        <w:rPr>
          <w:noProof/>
          <w:color w:val="404040" w:themeColor="text1" w:themeTint="BF"/>
        </w:rPr>
        <w:t xml:space="preserve">high double-digit appreciation seen in early 2022 </w:t>
      </w:r>
      <w:r w:rsidR="00AF686C">
        <w:rPr>
          <w:noProof/>
          <w:color w:val="404040" w:themeColor="text1" w:themeTint="BF"/>
        </w:rPr>
        <w:t xml:space="preserve">prior to a period of flat and negative returns for the </w:t>
      </w:r>
      <w:r w:rsidR="00155288">
        <w:rPr>
          <w:noProof/>
          <w:color w:val="404040" w:themeColor="text1" w:themeTint="BF"/>
        </w:rPr>
        <w:t xml:space="preserve">sector during the </w:t>
      </w:r>
      <w:r w:rsidR="00AF686C">
        <w:rPr>
          <w:noProof/>
          <w:color w:val="404040" w:themeColor="text1" w:themeTint="BF"/>
        </w:rPr>
        <w:t xml:space="preserve">remainder of the measurement period to date. </w:t>
      </w:r>
    </w:p>
    <w:p w14:paraId="39CC3E73" w14:textId="77777777" w:rsidR="00CF75D1" w:rsidRPr="007E4A07" w:rsidRDefault="00CF75D1" w:rsidP="009A17EB">
      <w:pPr>
        <w:pStyle w:val="BodyText"/>
        <w:spacing w:before="0"/>
        <w:ind w:firstLine="0"/>
        <w:rPr>
          <w:noProof/>
          <w:color w:val="404040" w:themeColor="text1" w:themeTint="BF"/>
        </w:rPr>
      </w:pPr>
    </w:p>
    <w:bookmarkStart w:id="56" w:name="_Toc179797310"/>
    <w:p w14:paraId="1BA9BB6B" w14:textId="144842BE" w:rsidR="008E5FE7" w:rsidRPr="00510936" w:rsidRDefault="008E5FE7" w:rsidP="008E5FE7">
      <w:pPr>
        <w:pStyle w:val="Heading2"/>
        <w:rPr>
          <w:color w:val="8CA4A4" w:themeColor="accent5"/>
          <w:sz w:val="22"/>
          <w:szCs w:val="22"/>
        </w:rPr>
      </w:pPr>
      <w:r w:rsidRPr="00CD4BAE">
        <w:rPr>
          <w:noProof/>
          <w:szCs w:val="22"/>
          <w:highlight w:val="red"/>
        </w:rPr>
        <mc:AlternateContent>
          <mc:Choice Requires="wps">
            <w:drawing>
              <wp:anchor distT="0" distB="0" distL="114300" distR="114300" simplePos="0" relativeHeight="251672576" behindDoc="0" locked="0" layoutInCell="1" allowOverlap="1" wp14:anchorId="44C826E0" wp14:editId="4D8834A5">
                <wp:simplePos x="0" y="0"/>
                <wp:positionH relativeFrom="margin">
                  <wp:posOffset>-12700</wp:posOffset>
                </wp:positionH>
                <wp:positionV relativeFrom="paragraph">
                  <wp:posOffset>163407</wp:posOffset>
                </wp:positionV>
                <wp:extent cx="6492240" cy="0"/>
                <wp:effectExtent l="0" t="0" r="0" b="0"/>
                <wp:wrapNone/>
                <wp:docPr id="1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2240" cy="0"/>
                        </a:xfrm>
                        <a:prstGeom prst="straightConnector1">
                          <a:avLst/>
                        </a:prstGeom>
                        <a:noFill/>
                        <a:ln w="9525">
                          <a:solidFill>
                            <a:schemeClr val="tx1">
                              <a:lumMod val="75000"/>
                              <a:lumOff val="2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5485B6" id="AutoShape 5" o:spid="_x0000_s1026" type="#_x0000_t32" style="position:absolute;margin-left:-1pt;margin-top:12.85pt;width:511.2pt;height:0;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0M10AEAAJADAAAOAAAAZHJzL2Uyb0RvYy54bWysU01v2zAMvQ/YfxB0X+wYTbcacXpI1126&#10;LUC7H8DIsi1MFgVJiZ1/P0qOva9b0Ysgkebj4+Pz9n7sNTtL5xWaiq9XOWfSCKyVaSv+4+XxwyfO&#10;fABTg0YjK36Rnt/v3r/bDraUBXaoa+kYgRhfDrbiXQi2zDIvOtmDX6GVhpINuh4CPV2b1Q4GQu91&#10;VuT5bTagq61DIb2n6MOU5LuE3zRShO9N42VguuLELaTTpfMYz2y3hbJ1YDslrjTgFSx6UIaaLlAP&#10;EICdnPoPqlfCoccmrAT2GTaNEjLNQNOs83+mee7AyjQLiePtIpN/O1jx7bw3Bxepi9E82ycUPz0z&#10;uO/AtDIReLlYWtw6SpUN1pdLSXx4e3DsOHzFmr6BU8Ckwti4PkLSfGxMYl8WseUYmKDg7c1dUdzQ&#10;TsScy6CcC63z4YvEnsVLxX1woNou7NEYWim6dWoD5ycfIi0o54LY1eCj0jptVhs2VPxuU2xSgUet&#10;6piMnyWPyb127AzkjjBOoPrU0zRT7OMmz68eoTA5aQoXc5gaLyiJxl8NHJ5MnWh0EurP13sApac7&#10;VWtzFTXqGE3ryyPWl4Obxaa1J+CrRaOv/nyn6t8/0u4XAAAA//8DAFBLAwQUAAYACAAAACEAvPB3&#10;SN4AAAAJAQAADwAAAGRycy9kb3ducmV2LnhtbEyPwU7DMBBE70j9B2uRuKDWbkRpG+JUCAnRE1Jb&#10;RK9OvCQR9jqy3TT8Pa56gOPsrGbeFJvRGjagD50jCfOZAIZUO91RI+Hj8DpdAQtRkVbGEUr4wQCb&#10;cnJTqFy7M+1w2MeGpRAKuZLQxtjnnIe6RavCzPVIyfty3qqYpG+49uqcwq3hmRCP3KqOUkOrenxp&#10;sf7en6yE+5UfzbZaHj4rH4UdFsf3tzVJeXc7Pj8BizjGv2e44Cd0KBNT5U6kAzMSplmaEiVkiyWw&#10;iy8y8QCsul54WfD/C8pfAAAA//8DAFBLAQItABQABgAIAAAAIQC2gziS/gAAAOEBAAATAAAAAAAA&#10;AAAAAAAAAAAAAABbQ29udGVudF9UeXBlc10ueG1sUEsBAi0AFAAGAAgAAAAhADj9If/WAAAAlAEA&#10;AAsAAAAAAAAAAAAAAAAALwEAAF9yZWxzLy5yZWxzUEsBAi0AFAAGAAgAAAAhAGP3QzXQAQAAkAMA&#10;AA4AAAAAAAAAAAAAAAAALgIAAGRycy9lMm9Eb2MueG1sUEsBAi0AFAAGAAgAAAAhALzwd0jeAAAA&#10;CQEAAA8AAAAAAAAAAAAAAAAAKgQAAGRycy9kb3ducmV2LnhtbFBLBQYAAAAABAAEAPMAAAA1BQAA&#10;AAA=&#10;" strokecolor="#404040 [2429]">
                <w10:wrap anchorx="margin"/>
              </v:shape>
            </w:pict>
          </mc:Fallback>
        </mc:AlternateContent>
      </w:r>
      <w:r w:rsidR="00026D36" w:rsidRPr="00CD4BAE">
        <w:rPr>
          <w:color w:val="8CA4A4" w:themeColor="accent5"/>
          <w:sz w:val="22"/>
          <w:szCs w:val="22"/>
          <w:highlight w:val="red"/>
        </w:rPr>
        <w:t>Other Development Activity</w:t>
      </w:r>
      <w:bookmarkEnd w:id="56"/>
    </w:p>
    <w:p w14:paraId="688D7E80" w14:textId="01E87C81" w:rsidR="002A6FFE" w:rsidRDefault="00B113B6" w:rsidP="00854C62">
      <w:pPr>
        <w:pStyle w:val="BodyText"/>
        <w:spacing w:before="0"/>
        <w:ind w:firstLine="0"/>
        <w:jc w:val="both"/>
        <w:rPr>
          <w:noProof/>
          <w:color w:val="404040" w:themeColor="text1" w:themeTint="BF"/>
        </w:rPr>
      </w:pPr>
      <w:r>
        <w:rPr>
          <w:noProof/>
          <w:color w:val="404040" w:themeColor="text1" w:themeTint="BF"/>
        </w:rPr>
        <w:t xml:space="preserve">Since the inception of the BLP platform, the majority </w:t>
      </w:r>
      <w:r w:rsidR="00AE1D9E">
        <w:rPr>
          <w:noProof/>
          <w:color w:val="404040" w:themeColor="text1" w:themeTint="BF"/>
        </w:rPr>
        <w:t>of its development</w:t>
      </w:r>
      <w:r>
        <w:rPr>
          <w:noProof/>
          <w:color w:val="404040" w:themeColor="text1" w:themeTint="BF"/>
        </w:rPr>
        <w:t xml:space="preserve"> activity has been </w:t>
      </w:r>
      <w:r w:rsidR="00AE1D9E">
        <w:rPr>
          <w:noProof/>
          <w:color w:val="404040" w:themeColor="text1" w:themeTint="BF"/>
        </w:rPr>
        <w:t xml:space="preserve">conducted outside of the commingled fund vehicles. </w:t>
      </w:r>
      <w:r w:rsidR="006479DF">
        <w:rPr>
          <w:noProof/>
          <w:color w:val="404040" w:themeColor="text1" w:themeTint="BF"/>
        </w:rPr>
        <w:t xml:space="preserve">The track record is generally too </w:t>
      </w:r>
      <w:r w:rsidR="00EC5592">
        <w:rPr>
          <w:noProof/>
          <w:color w:val="404040" w:themeColor="text1" w:themeTint="BF"/>
        </w:rPr>
        <w:t>recent to be meaningful in terms of performance</w:t>
      </w:r>
      <w:r w:rsidR="002A6FFE">
        <w:rPr>
          <w:noProof/>
          <w:color w:val="404040" w:themeColor="text1" w:themeTint="BF"/>
        </w:rPr>
        <w:t xml:space="preserve"> and speaks primarily to the firm’s sourcing capability. </w:t>
      </w:r>
      <w:r w:rsidR="009E667B">
        <w:rPr>
          <w:noProof/>
          <w:color w:val="404040" w:themeColor="text1" w:themeTint="BF"/>
        </w:rPr>
        <w:t xml:space="preserve">Capital sources include: </w:t>
      </w:r>
    </w:p>
    <w:p w14:paraId="4BF58D1F" w14:textId="23606AF7" w:rsidR="002A6FFE" w:rsidRDefault="009E667B" w:rsidP="00A91DCC">
      <w:pPr>
        <w:pStyle w:val="BodyText"/>
        <w:numPr>
          <w:ilvl w:val="0"/>
          <w:numId w:val="12"/>
        </w:numPr>
        <w:spacing w:before="0"/>
        <w:jc w:val="both"/>
        <w:rPr>
          <w:noProof/>
          <w:color w:val="404040" w:themeColor="text1" w:themeTint="BF"/>
        </w:rPr>
      </w:pPr>
      <w:r>
        <w:rPr>
          <w:noProof/>
          <w:color w:val="404040" w:themeColor="text1" w:themeTint="BF"/>
        </w:rPr>
        <w:t xml:space="preserve">7 developments started </w:t>
      </w:r>
      <w:r w:rsidR="005A3A0F">
        <w:rPr>
          <w:noProof/>
          <w:color w:val="404040" w:themeColor="text1" w:themeTint="BF"/>
        </w:rPr>
        <w:t xml:space="preserve">between 2022 and 2024 </w:t>
      </w:r>
      <w:r w:rsidR="00384891">
        <w:rPr>
          <w:noProof/>
          <w:color w:val="404040" w:themeColor="text1" w:themeTint="BF"/>
        </w:rPr>
        <w:t>totaling 4.1 milion square feet and $725 million of total capital investment. Expected stabilization dates range from 2025 to 2029 and an aggregate projected yield-on-cost of 7.1%.</w:t>
      </w:r>
    </w:p>
    <w:p w14:paraId="6A6B5F18" w14:textId="06595332" w:rsidR="00384891" w:rsidRDefault="0066655B" w:rsidP="00A91DCC">
      <w:pPr>
        <w:pStyle w:val="BodyText"/>
        <w:numPr>
          <w:ilvl w:val="0"/>
          <w:numId w:val="12"/>
        </w:numPr>
        <w:spacing w:before="0"/>
        <w:jc w:val="both"/>
        <w:rPr>
          <w:noProof/>
          <w:color w:val="404040" w:themeColor="text1" w:themeTint="BF"/>
        </w:rPr>
      </w:pPr>
      <w:r>
        <w:rPr>
          <w:noProof/>
          <w:color w:val="404040" w:themeColor="text1" w:themeTint="BF"/>
        </w:rPr>
        <w:t xml:space="preserve">Three </w:t>
      </w:r>
      <w:r w:rsidR="008D2755">
        <w:rPr>
          <w:noProof/>
          <w:color w:val="404040" w:themeColor="text1" w:themeTint="BF"/>
        </w:rPr>
        <w:t>developments with initial pursuit costs funded by B</w:t>
      </w:r>
      <w:r w:rsidR="008C6D09">
        <w:rPr>
          <w:noProof/>
          <w:color w:val="404040" w:themeColor="text1" w:themeTint="BF"/>
        </w:rPr>
        <w:t>ridge</w:t>
      </w:r>
      <w:r w:rsidR="008D2755">
        <w:rPr>
          <w:noProof/>
          <w:color w:val="404040" w:themeColor="text1" w:themeTint="BF"/>
        </w:rPr>
        <w:t xml:space="preserve"> balance sheet capital with TBD long-term capitalization</w:t>
      </w:r>
      <w:r w:rsidR="00716664">
        <w:rPr>
          <w:noProof/>
          <w:color w:val="404040" w:themeColor="text1" w:themeTint="BF"/>
        </w:rPr>
        <w:t xml:space="preserve"> totaling 493k square feet and $91 million total capitalization at full build. </w:t>
      </w:r>
      <w:r w:rsidR="0060767A">
        <w:rPr>
          <w:noProof/>
          <w:color w:val="404040" w:themeColor="text1" w:themeTint="BF"/>
        </w:rPr>
        <w:t>Construction start dates in 2024 and 202</w:t>
      </w:r>
      <w:r w:rsidR="00161D31">
        <w:rPr>
          <w:noProof/>
          <w:color w:val="404040" w:themeColor="text1" w:themeTint="BF"/>
        </w:rPr>
        <w:t>5</w:t>
      </w:r>
      <w:r w:rsidR="0060767A">
        <w:rPr>
          <w:noProof/>
          <w:color w:val="404040" w:themeColor="text1" w:themeTint="BF"/>
        </w:rPr>
        <w:t xml:space="preserve"> with stabilization between 2026 and 2027 at an aggregate 7.3% YOC. </w:t>
      </w:r>
    </w:p>
    <w:p w14:paraId="71AEEF2C" w14:textId="40E3D177" w:rsidR="008358B7" w:rsidRDefault="008358B7" w:rsidP="00A91DCC">
      <w:pPr>
        <w:pStyle w:val="BodyText"/>
        <w:numPr>
          <w:ilvl w:val="0"/>
          <w:numId w:val="12"/>
        </w:numPr>
        <w:spacing w:before="0"/>
        <w:jc w:val="both"/>
        <w:rPr>
          <w:noProof/>
          <w:color w:val="404040" w:themeColor="text1" w:themeTint="BF"/>
        </w:rPr>
      </w:pPr>
      <w:r>
        <w:rPr>
          <w:noProof/>
          <w:color w:val="404040" w:themeColor="text1" w:themeTint="BF"/>
        </w:rPr>
        <w:t xml:space="preserve">One </w:t>
      </w:r>
      <w:r w:rsidR="00161D31">
        <w:rPr>
          <w:noProof/>
          <w:color w:val="404040" w:themeColor="text1" w:themeTint="BF"/>
        </w:rPr>
        <w:t xml:space="preserve">land </w:t>
      </w:r>
      <w:r>
        <w:rPr>
          <w:noProof/>
          <w:color w:val="404040" w:themeColor="text1" w:themeTint="BF"/>
        </w:rPr>
        <w:t xml:space="preserve">transaction with Carlyle </w:t>
      </w:r>
      <w:r w:rsidR="000A2EDA">
        <w:rPr>
          <w:noProof/>
          <w:color w:val="404040" w:themeColor="text1" w:themeTint="BF"/>
        </w:rPr>
        <w:t xml:space="preserve">where </w:t>
      </w:r>
      <w:r w:rsidR="007564D0">
        <w:rPr>
          <w:noProof/>
          <w:color w:val="404040" w:themeColor="text1" w:themeTint="BF"/>
        </w:rPr>
        <w:t>vertical construction is under review.</w:t>
      </w:r>
    </w:p>
    <w:p w14:paraId="7429F881" w14:textId="012E8205" w:rsidR="007564D0" w:rsidRDefault="007564D0" w:rsidP="00A91DCC">
      <w:pPr>
        <w:pStyle w:val="BodyText"/>
        <w:numPr>
          <w:ilvl w:val="0"/>
          <w:numId w:val="12"/>
        </w:numPr>
        <w:spacing w:before="0"/>
        <w:jc w:val="both"/>
        <w:rPr>
          <w:noProof/>
          <w:color w:val="404040" w:themeColor="text1" w:themeTint="BF"/>
        </w:rPr>
      </w:pPr>
      <w:r>
        <w:rPr>
          <w:noProof/>
          <w:color w:val="404040" w:themeColor="text1" w:themeTint="BF"/>
        </w:rPr>
        <w:t>One asset</w:t>
      </w:r>
      <w:r w:rsidR="00A75D41">
        <w:rPr>
          <w:noProof/>
          <w:color w:val="404040" w:themeColor="text1" w:themeTint="BF"/>
        </w:rPr>
        <w:t xml:space="preserve"> in BLV I</w:t>
      </w:r>
      <w:r>
        <w:rPr>
          <w:noProof/>
          <w:color w:val="404040" w:themeColor="text1" w:themeTint="BF"/>
        </w:rPr>
        <w:t xml:space="preserve"> with </w:t>
      </w:r>
      <w:r w:rsidR="00A75D41">
        <w:rPr>
          <w:noProof/>
          <w:color w:val="404040" w:themeColor="text1" w:themeTint="BF"/>
        </w:rPr>
        <w:t>expected to stabilize in late 2025</w:t>
      </w:r>
      <w:r w:rsidR="00B75BDA">
        <w:rPr>
          <w:noProof/>
          <w:color w:val="404040" w:themeColor="text1" w:themeTint="BF"/>
        </w:rPr>
        <w:t xml:space="preserve"> totaling 285k square feet and $47 million of capital.</w:t>
      </w:r>
    </w:p>
    <w:p w14:paraId="07DE5399" w14:textId="2AB1C8D1" w:rsidR="0066655B" w:rsidRPr="00517E8C" w:rsidRDefault="00B75BDA" w:rsidP="00517E8C">
      <w:pPr>
        <w:pStyle w:val="BodyText"/>
        <w:numPr>
          <w:ilvl w:val="0"/>
          <w:numId w:val="12"/>
        </w:numPr>
        <w:spacing w:before="0"/>
        <w:jc w:val="both"/>
        <w:rPr>
          <w:noProof/>
          <w:color w:val="404040" w:themeColor="text1" w:themeTint="BF"/>
        </w:rPr>
        <w:sectPr w:rsidR="0066655B" w:rsidRPr="00517E8C" w:rsidSect="00A00E5D">
          <w:footerReference w:type="default" r:id="rId21"/>
          <w:pgSz w:w="12240" w:h="15840" w:code="1"/>
          <w:pgMar w:top="245" w:right="1008" w:bottom="1008" w:left="1008" w:header="576" w:footer="432" w:gutter="0"/>
          <w:pgNumType w:start="1"/>
          <w:cols w:space="720"/>
          <w:docGrid w:linePitch="299"/>
        </w:sectPr>
      </w:pPr>
      <w:r>
        <w:rPr>
          <w:noProof/>
          <w:color w:val="404040" w:themeColor="text1" w:themeTint="BF"/>
        </w:rPr>
        <w:t>An overview of BLP development activity is included</w:t>
      </w:r>
      <w:r w:rsidR="00D07CA2" w:rsidRPr="00510936">
        <w:rPr>
          <w:noProof/>
          <w:color w:val="404040" w:themeColor="text1" w:themeTint="BF"/>
        </w:rPr>
        <w:t xml:space="preserve"> in </w:t>
      </w:r>
      <w:r w:rsidR="00D07CA2" w:rsidRPr="00510936">
        <w:rPr>
          <w:b/>
          <w:bCs/>
          <w:noProof/>
          <w:color w:val="404040" w:themeColor="text1" w:themeTint="BF"/>
        </w:rPr>
        <w:t xml:space="preserve">Exhibit </w:t>
      </w:r>
      <w:r>
        <w:rPr>
          <w:b/>
          <w:bCs/>
          <w:noProof/>
          <w:color w:val="404040" w:themeColor="text1" w:themeTint="BF"/>
        </w:rPr>
        <w:t>K.</w:t>
      </w:r>
    </w:p>
    <w:p w14:paraId="2A659F17" w14:textId="2067ACEA" w:rsidR="00D312F7" w:rsidRDefault="00391F3E" w:rsidP="00861D01">
      <w:pPr>
        <w:pStyle w:val="BodyText"/>
        <w:spacing w:before="0"/>
        <w:ind w:firstLine="0"/>
        <w:rPr>
          <w:b/>
          <w:color w:val="003A5D"/>
          <w:sz w:val="24"/>
        </w:rPr>
      </w:pPr>
      <w:r w:rsidRPr="00CD4BAE">
        <w:rPr>
          <w:b/>
          <w:color w:val="003A5D"/>
          <w:sz w:val="24"/>
          <w:highlight w:val="cyan"/>
        </w:rPr>
        <w:lastRenderedPageBreak/>
        <w:t xml:space="preserve">EXHIBIT </w:t>
      </w:r>
      <w:r w:rsidR="00660D18" w:rsidRPr="00CD4BAE">
        <w:rPr>
          <w:b/>
          <w:color w:val="003A5D"/>
          <w:sz w:val="24"/>
          <w:highlight w:val="cyan"/>
        </w:rPr>
        <w:t>A</w:t>
      </w:r>
      <w:r w:rsidRPr="00CD4BAE">
        <w:rPr>
          <w:b/>
          <w:color w:val="003A5D"/>
          <w:sz w:val="24"/>
          <w:highlight w:val="cyan"/>
        </w:rPr>
        <w:t xml:space="preserve">: </w:t>
      </w:r>
      <w:r w:rsidR="006E5C91" w:rsidRPr="00CD4BAE">
        <w:rPr>
          <w:b/>
          <w:color w:val="003A5D"/>
          <w:sz w:val="24"/>
          <w:highlight w:val="cyan"/>
        </w:rPr>
        <w:t>Pipeline</w:t>
      </w:r>
    </w:p>
    <w:p w14:paraId="20F6AC46" w14:textId="5BFED680" w:rsidR="006E5C91" w:rsidRDefault="00755C0E" w:rsidP="00861D01">
      <w:pPr>
        <w:pStyle w:val="BodyText"/>
        <w:spacing w:before="0"/>
        <w:ind w:firstLine="0"/>
        <w:rPr>
          <w:b/>
          <w:color w:val="003A5D"/>
          <w:sz w:val="24"/>
        </w:rPr>
      </w:pPr>
      <w:r w:rsidRPr="00755C0E">
        <w:rPr>
          <w:b/>
          <w:noProof/>
          <w:color w:val="003A5D"/>
          <w:sz w:val="24"/>
        </w:rPr>
        <w:drawing>
          <wp:inline distT="0" distB="0" distL="0" distR="0" wp14:anchorId="5F4D39FA" wp14:editId="75EFE835">
            <wp:extent cx="6656889" cy="2104567"/>
            <wp:effectExtent l="0" t="0" r="0" b="0"/>
            <wp:docPr id="128599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97738" name=""/>
                    <pic:cNvPicPr/>
                  </pic:nvPicPr>
                  <pic:blipFill rotWithShape="1">
                    <a:blip r:embed="rId22"/>
                    <a:srcRect t="19517"/>
                    <a:stretch/>
                  </pic:blipFill>
                  <pic:spPr bwMode="auto">
                    <a:xfrm>
                      <a:off x="0" y="0"/>
                      <a:ext cx="6674180" cy="2110033"/>
                    </a:xfrm>
                    <a:prstGeom prst="rect">
                      <a:avLst/>
                    </a:prstGeom>
                    <a:ln>
                      <a:noFill/>
                    </a:ln>
                    <a:extLst>
                      <a:ext uri="{53640926-AAD7-44D8-BBD7-CCE9431645EC}">
                        <a14:shadowObscured xmlns:a14="http://schemas.microsoft.com/office/drawing/2010/main"/>
                      </a:ext>
                    </a:extLst>
                  </pic:spPr>
                </pic:pic>
              </a:graphicData>
            </a:graphic>
          </wp:inline>
        </w:drawing>
      </w:r>
    </w:p>
    <w:p w14:paraId="4B0788BB" w14:textId="47D365FF" w:rsidR="006E5C91" w:rsidRDefault="006E5C91" w:rsidP="006E5C91">
      <w:pPr>
        <w:pStyle w:val="BodyText"/>
        <w:spacing w:before="0"/>
        <w:ind w:firstLine="0"/>
        <w:jc w:val="center"/>
        <w:rPr>
          <w:b/>
          <w:color w:val="003A5D"/>
          <w:sz w:val="24"/>
        </w:rPr>
        <w:sectPr w:rsidR="006E5C91" w:rsidSect="00755C0E">
          <w:pgSz w:w="12240" w:h="15840" w:code="1"/>
          <w:pgMar w:top="245" w:right="1008" w:bottom="1008" w:left="1008" w:header="576" w:footer="432" w:gutter="0"/>
          <w:cols w:space="720"/>
          <w:docGrid w:linePitch="299"/>
        </w:sectPr>
      </w:pPr>
      <w:r w:rsidRPr="006E5C91">
        <w:rPr>
          <w:b/>
          <w:noProof/>
          <w:color w:val="003A5D"/>
          <w:sz w:val="24"/>
        </w:rPr>
        <w:drawing>
          <wp:inline distT="0" distB="0" distL="0" distR="0" wp14:anchorId="13FCBF88" wp14:editId="347913D6">
            <wp:extent cx="5762846" cy="5426906"/>
            <wp:effectExtent l="0" t="0" r="9525" b="2540"/>
            <wp:docPr id="181137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75905" name=""/>
                    <pic:cNvPicPr/>
                  </pic:nvPicPr>
                  <pic:blipFill>
                    <a:blip r:embed="rId23"/>
                    <a:stretch>
                      <a:fillRect/>
                    </a:stretch>
                  </pic:blipFill>
                  <pic:spPr>
                    <a:xfrm>
                      <a:off x="0" y="0"/>
                      <a:ext cx="5770644" cy="5434250"/>
                    </a:xfrm>
                    <a:prstGeom prst="rect">
                      <a:avLst/>
                    </a:prstGeom>
                  </pic:spPr>
                </pic:pic>
              </a:graphicData>
            </a:graphic>
          </wp:inline>
        </w:drawing>
      </w:r>
    </w:p>
    <w:p w14:paraId="385D2311" w14:textId="462A2342" w:rsidR="00F3605C" w:rsidRDefault="00754E97" w:rsidP="00391F3E">
      <w:pPr>
        <w:pStyle w:val="BodyText"/>
        <w:spacing w:before="0"/>
        <w:ind w:firstLine="0"/>
        <w:rPr>
          <w:b/>
          <w:color w:val="003A5D"/>
          <w:sz w:val="24"/>
        </w:rPr>
      </w:pPr>
      <w:r w:rsidRPr="00A1156B">
        <w:rPr>
          <w:b/>
          <w:color w:val="003A5D"/>
          <w:sz w:val="24"/>
        </w:rPr>
        <w:lastRenderedPageBreak/>
        <w:t xml:space="preserve">EXHIBIT </w:t>
      </w:r>
      <w:r>
        <w:rPr>
          <w:b/>
          <w:color w:val="003A5D"/>
          <w:sz w:val="24"/>
        </w:rPr>
        <w:t xml:space="preserve">B: </w:t>
      </w:r>
      <w:r w:rsidR="004E462A">
        <w:rPr>
          <w:b/>
          <w:color w:val="003A5D"/>
          <w:sz w:val="24"/>
        </w:rPr>
        <w:t>Bridge Investment Group Corporate Structure Chart</w:t>
      </w:r>
    </w:p>
    <w:p w14:paraId="4ADF2F6F" w14:textId="5F26360F" w:rsidR="009F750A" w:rsidRDefault="009F750A" w:rsidP="009F750A">
      <w:pPr>
        <w:pStyle w:val="BodyText"/>
        <w:spacing w:before="0"/>
        <w:ind w:firstLine="0"/>
        <w:jc w:val="center"/>
        <w:rPr>
          <w:b/>
          <w:color w:val="003A5D"/>
          <w:sz w:val="24"/>
        </w:rPr>
      </w:pPr>
      <w:r w:rsidRPr="009F750A">
        <w:rPr>
          <w:b/>
          <w:noProof/>
          <w:color w:val="003A5D"/>
          <w:sz w:val="24"/>
        </w:rPr>
        <w:drawing>
          <wp:inline distT="0" distB="0" distL="0" distR="0" wp14:anchorId="57F4C0A7" wp14:editId="52813033">
            <wp:extent cx="8486775" cy="5449176"/>
            <wp:effectExtent l="0" t="0" r="0" b="0"/>
            <wp:docPr id="24704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4113" name=""/>
                    <pic:cNvPicPr/>
                  </pic:nvPicPr>
                  <pic:blipFill>
                    <a:blip r:embed="rId24"/>
                    <a:stretch>
                      <a:fillRect/>
                    </a:stretch>
                  </pic:blipFill>
                  <pic:spPr>
                    <a:xfrm>
                      <a:off x="0" y="0"/>
                      <a:ext cx="8496548" cy="5455451"/>
                    </a:xfrm>
                    <a:prstGeom prst="rect">
                      <a:avLst/>
                    </a:prstGeom>
                  </pic:spPr>
                </pic:pic>
              </a:graphicData>
            </a:graphic>
          </wp:inline>
        </w:drawing>
      </w:r>
    </w:p>
    <w:p w14:paraId="008EAF07" w14:textId="0FDBAAE8" w:rsidR="004E462A" w:rsidRDefault="004E462A" w:rsidP="004E462A">
      <w:pPr>
        <w:pStyle w:val="BodyText"/>
        <w:spacing w:before="0"/>
        <w:ind w:firstLine="0"/>
        <w:rPr>
          <w:b/>
          <w:color w:val="003A5D"/>
          <w:sz w:val="24"/>
        </w:rPr>
      </w:pPr>
      <w:r w:rsidRPr="00A1156B">
        <w:rPr>
          <w:b/>
          <w:color w:val="003A5D"/>
          <w:sz w:val="24"/>
        </w:rPr>
        <w:lastRenderedPageBreak/>
        <w:t xml:space="preserve">EXHIBIT </w:t>
      </w:r>
      <w:r w:rsidR="004B6D52">
        <w:rPr>
          <w:b/>
          <w:color w:val="003A5D"/>
          <w:sz w:val="24"/>
        </w:rPr>
        <w:t>C</w:t>
      </w:r>
      <w:r>
        <w:rPr>
          <w:b/>
          <w:color w:val="003A5D"/>
          <w:sz w:val="24"/>
        </w:rPr>
        <w:t xml:space="preserve">: Bridge Investment Group </w:t>
      </w:r>
      <w:r w:rsidR="004B6D52">
        <w:rPr>
          <w:b/>
          <w:color w:val="003A5D"/>
          <w:sz w:val="24"/>
        </w:rPr>
        <w:t>Organizational Chart</w:t>
      </w:r>
    </w:p>
    <w:p w14:paraId="5811C786" w14:textId="77777777" w:rsidR="00B450FA" w:rsidRDefault="00B450FA" w:rsidP="00391F3E">
      <w:pPr>
        <w:pStyle w:val="BodyText"/>
        <w:spacing w:before="0"/>
        <w:ind w:firstLine="0"/>
        <w:rPr>
          <w:b/>
          <w:color w:val="003A5D"/>
          <w:sz w:val="24"/>
        </w:rPr>
      </w:pPr>
    </w:p>
    <w:p w14:paraId="288D604C" w14:textId="7BAAC4A5" w:rsidR="00B450FA" w:rsidRPr="00B450FA" w:rsidRDefault="00C176B4" w:rsidP="0047584C">
      <w:pPr>
        <w:pStyle w:val="BodyText"/>
        <w:spacing w:before="0"/>
        <w:ind w:firstLine="0"/>
        <w:jc w:val="center"/>
        <w:rPr>
          <w:b/>
          <w:color w:val="003A5D"/>
          <w:sz w:val="24"/>
        </w:rPr>
        <w:sectPr w:rsidR="00B450FA" w:rsidRPr="00B450FA" w:rsidSect="0047584C">
          <w:pgSz w:w="15840" w:h="12240" w:orient="landscape" w:code="1"/>
          <w:pgMar w:top="1008" w:right="245" w:bottom="1008" w:left="1008" w:header="576" w:footer="432" w:gutter="0"/>
          <w:cols w:space="720"/>
          <w:docGrid w:linePitch="299"/>
        </w:sectPr>
      </w:pPr>
      <w:r w:rsidRPr="00C176B4">
        <w:rPr>
          <w:b/>
          <w:noProof/>
          <w:color w:val="003A5D"/>
          <w:sz w:val="24"/>
        </w:rPr>
        <w:drawing>
          <wp:inline distT="0" distB="0" distL="0" distR="0" wp14:anchorId="6146EBAB" wp14:editId="5F103F80">
            <wp:extent cx="7181850" cy="4639286"/>
            <wp:effectExtent l="0" t="0" r="0" b="9525"/>
            <wp:docPr id="4137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5429" name=""/>
                    <pic:cNvPicPr/>
                  </pic:nvPicPr>
                  <pic:blipFill>
                    <a:blip r:embed="rId25"/>
                    <a:stretch>
                      <a:fillRect/>
                    </a:stretch>
                  </pic:blipFill>
                  <pic:spPr>
                    <a:xfrm>
                      <a:off x="0" y="0"/>
                      <a:ext cx="7185365" cy="4641556"/>
                    </a:xfrm>
                    <a:prstGeom prst="rect">
                      <a:avLst/>
                    </a:prstGeom>
                  </pic:spPr>
                </pic:pic>
              </a:graphicData>
            </a:graphic>
          </wp:inline>
        </w:drawing>
      </w:r>
    </w:p>
    <w:p w14:paraId="679A13F3" w14:textId="41336D1C" w:rsidR="0089155F" w:rsidRDefault="00F3605C" w:rsidP="0089155F">
      <w:pPr>
        <w:pStyle w:val="BodyText"/>
        <w:spacing w:before="0"/>
        <w:ind w:firstLine="0"/>
        <w:rPr>
          <w:b/>
          <w:color w:val="003A5D"/>
          <w:sz w:val="24"/>
        </w:rPr>
      </w:pPr>
      <w:r w:rsidRPr="00A1156B">
        <w:rPr>
          <w:b/>
          <w:color w:val="003A5D"/>
          <w:sz w:val="24"/>
        </w:rPr>
        <w:lastRenderedPageBreak/>
        <w:t xml:space="preserve">EXHIBIT </w:t>
      </w:r>
      <w:r w:rsidR="00ED1471">
        <w:rPr>
          <w:b/>
          <w:color w:val="003A5D"/>
          <w:sz w:val="24"/>
        </w:rPr>
        <w:t>D</w:t>
      </w:r>
      <w:r>
        <w:rPr>
          <w:b/>
          <w:color w:val="003A5D"/>
          <w:sz w:val="24"/>
        </w:rPr>
        <w:t xml:space="preserve">: </w:t>
      </w:r>
      <w:r w:rsidR="00D0496A">
        <w:rPr>
          <w:b/>
          <w:color w:val="003A5D"/>
          <w:sz w:val="24"/>
        </w:rPr>
        <w:t>BLP</w:t>
      </w:r>
      <w:r w:rsidR="00914F9D">
        <w:rPr>
          <w:b/>
          <w:color w:val="003A5D"/>
          <w:sz w:val="24"/>
        </w:rPr>
        <w:t xml:space="preserve"> Organizational </w:t>
      </w:r>
      <w:r w:rsidR="00947150">
        <w:rPr>
          <w:b/>
          <w:color w:val="003A5D"/>
          <w:sz w:val="24"/>
        </w:rPr>
        <w:t>Information (Org Chart)</w:t>
      </w:r>
    </w:p>
    <w:p w14:paraId="6F82C9D8" w14:textId="26148AA7" w:rsidR="009A4D23" w:rsidRDefault="00C176B4" w:rsidP="0089155F">
      <w:pPr>
        <w:pStyle w:val="BodyText"/>
        <w:spacing w:before="0"/>
        <w:ind w:firstLine="0"/>
        <w:jc w:val="center"/>
        <w:rPr>
          <w:b/>
          <w:color w:val="003A5D"/>
          <w:sz w:val="24"/>
        </w:rPr>
      </w:pPr>
      <w:r w:rsidRPr="00BC21A7">
        <w:rPr>
          <w:noProof/>
          <w:szCs w:val="22"/>
        </w:rPr>
        <w:drawing>
          <wp:inline distT="0" distB="0" distL="0" distR="0" wp14:anchorId="1A7227F5" wp14:editId="68B33D36">
            <wp:extent cx="8197702" cy="5139105"/>
            <wp:effectExtent l="0" t="0" r="0" b="4445"/>
            <wp:docPr id="105582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2685"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8228234" cy="5158245"/>
                    </a:xfrm>
                    <a:prstGeom prst="rect">
                      <a:avLst/>
                    </a:prstGeom>
                  </pic:spPr>
                </pic:pic>
              </a:graphicData>
            </a:graphic>
          </wp:inline>
        </w:drawing>
      </w:r>
    </w:p>
    <w:p w14:paraId="72542B0C" w14:textId="4A205853" w:rsidR="00947150" w:rsidRDefault="00947150" w:rsidP="00947150">
      <w:pPr>
        <w:pStyle w:val="BodyText"/>
        <w:spacing w:before="0"/>
        <w:ind w:firstLine="0"/>
        <w:rPr>
          <w:b/>
          <w:color w:val="003A5D"/>
          <w:sz w:val="24"/>
        </w:rPr>
      </w:pPr>
      <w:r w:rsidRPr="00A1156B">
        <w:rPr>
          <w:b/>
          <w:color w:val="003A5D"/>
          <w:sz w:val="24"/>
        </w:rPr>
        <w:lastRenderedPageBreak/>
        <w:t xml:space="preserve">EXHIBIT </w:t>
      </w:r>
      <w:r>
        <w:rPr>
          <w:b/>
          <w:color w:val="003A5D"/>
          <w:sz w:val="24"/>
        </w:rPr>
        <w:t>D: BLP Organizational Information (</w:t>
      </w:r>
      <w:r w:rsidR="00002AD6">
        <w:rPr>
          <w:b/>
          <w:color w:val="003A5D"/>
          <w:sz w:val="24"/>
        </w:rPr>
        <w:t>Role Definitions)</w:t>
      </w:r>
    </w:p>
    <w:p w14:paraId="2E7C4B97" w14:textId="77777777" w:rsidR="00947150" w:rsidRDefault="00947150" w:rsidP="008D52D2">
      <w:pPr>
        <w:pStyle w:val="BodyText"/>
        <w:spacing w:before="0"/>
        <w:ind w:firstLine="0"/>
        <w:rPr>
          <w:b/>
          <w:color w:val="003A5D"/>
          <w:sz w:val="24"/>
        </w:rPr>
      </w:pPr>
    </w:p>
    <w:p w14:paraId="16AFC0AC" w14:textId="546C20D6" w:rsidR="00947150" w:rsidRPr="003213C3" w:rsidRDefault="00947150" w:rsidP="008D52D2">
      <w:pPr>
        <w:pStyle w:val="BodyText"/>
        <w:spacing w:before="0"/>
        <w:ind w:firstLine="0"/>
        <w:rPr>
          <w:b/>
          <w:color w:val="003A5D"/>
          <w:sz w:val="24"/>
        </w:rPr>
        <w:sectPr w:rsidR="00947150" w:rsidRPr="003213C3" w:rsidSect="003E127E">
          <w:pgSz w:w="15840" w:h="12240" w:orient="landscape" w:code="1"/>
          <w:pgMar w:top="1152" w:right="864" w:bottom="1152" w:left="720" w:header="576" w:footer="965" w:gutter="0"/>
          <w:cols w:space="720"/>
          <w:docGrid w:linePitch="299"/>
        </w:sectPr>
      </w:pPr>
      <w:r w:rsidRPr="00947150">
        <w:rPr>
          <w:b/>
          <w:noProof/>
          <w:color w:val="003A5D"/>
          <w:sz w:val="24"/>
        </w:rPr>
        <w:drawing>
          <wp:inline distT="0" distB="0" distL="0" distR="0" wp14:anchorId="53349D7D" wp14:editId="422A30A1">
            <wp:extent cx="9052560" cy="2792095"/>
            <wp:effectExtent l="0" t="0" r="0" b="8255"/>
            <wp:docPr id="80828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81445" name=""/>
                    <pic:cNvPicPr/>
                  </pic:nvPicPr>
                  <pic:blipFill>
                    <a:blip r:embed="rId27"/>
                    <a:stretch>
                      <a:fillRect/>
                    </a:stretch>
                  </pic:blipFill>
                  <pic:spPr>
                    <a:xfrm>
                      <a:off x="0" y="0"/>
                      <a:ext cx="9064327" cy="2795724"/>
                    </a:xfrm>
                    <a:prstGeom prst="rect">
                      <a:avLst/>
                    </a:prstGeom>
                  </pic:spPr>
                </pic:pic>
              </a:graphicData>
            </a:graphic>
          </wp:inline>
        </w:drawing>
      </w:r>
    </w:p>
    <w:p w14:paraId="2901F207" w14:textId="245C2468" w:rsidR="003213C3" w:rsidRPr="005E3B61" w:rsidRDefault="003213C3" w:rsidP="003213C3">
      <w:pPr>
        <w:pStyle w:val="BodyText"/>
        <w:spacing w:before="0"/>
        <w:ind w:firstLine="0"/>
        <w:rPr>
          <w:b/>
          <w:color w:val="003A5D"/>
          <w:sz w:val="24"/>
        </w:rPr>
      </w:pPr>
      <w:r w:rsidRPr="008F24D5">
        <w:rPr>
          <w:b/>
          <w:color w:val="003A5D"/>
          <w:sz w:val="24"/>
        </w:rPr>
        <w:lastRenderedPageBreak/>
        <w:t xml:space="preserve">EXHIBIT </w:t>
      </w:r>
      <w:r w:rsidR="00ED1471" w:rsidRPr="008F24D5">
        <w:rPr>
          <w:b/>
          <w:color w:val="003A5D"/>
          <w:sz w:val="24"/>
        </w:rPr>
        <w:t>E</w:t>
      </w:r>
      <w:r w:rsidRPr="008F24D5">
        <w:rPr>
          <w:b/>
          <w:color w:val="003A5D"/>
          <w:sz w:val="24"/>
        </w:rPr>
        <w:t>: Senior Personnel Biographies</w:t>
      </w:r>
    </w:p>
    <w:p w14:paraId="16BC6804" w14:textId="77777777" w:rsidR="00CA0252" w:rsidRPr="005E3B61" w:rsidRDefault="00CA0252" w:rsidP="003213C3">
      <w:pPr>
        <w:pStyle w:val="BodyText"/>
        <w:spacing w:before="0"/>
        <w:ind w:firstLine="0"/>
        <w:rPr>
          <w:b/>
          <w:color w:val="FF0000"/>
          <w:sz w:val="24"/>
        </w:rPr>
      </w:pPr>
    </w:p>
    <w:p w14:paraId="5CE30197" w14:textId="14CE859C" w:rsidR="00F20949" w:rsidRPr="005E3B61" w:rsidRDefault="00F20949" w:rsidP="00F20949">
      <w:pPr>
        <w:jc w:val="both"/>
      </w:pPr>
      <w:r w:rsidRPr="005E3B61">
        <w:rPr>
          <w:b/>
          <w:bCs/>
        </w:rPr>
        <w:t>Jay Cornforth</w:t>
      </w:r>
      <w:r w:rsidRPr="005E3B61">
        <w:t>, CEO</w:t>
      </w:r>
    </w:p>
    <w:p w14:paraId="0BC0D48D" w14:textId="77777777" w:rsidR="00F20949" w:rsidRDefault="00F20949" w:rsidP="00F20949">
      <w:pPr>
        <w:jc w:val="both"/>
      </w:pPr>
      <w:r w:rsidRPr="005E3B61">
        <w:t>Jay Cornforth serves as</w:t>
      </w:r>
      <w:r>
        <w:t xml:space="preserve"> Senior Managing Director &amp; Chief Executive Officer, Co-Chief Investment Officer for Bridge Logistics Properties. For most of his career, Jay has focused on the industrial warehouse space and has over 25 years of experience. Over his career, Jay has directly invested or overseen $15 billion of deployment. Prior to joining Bridge, Jay was Managing Partner, Global Head of Logistics at Brookfield. At Brookfield, Jay oversaw Logistics investments in Brazil, Korea, China, and Western Europe, in addition to the USA. Jay was instrumental in launching Brookfield’s logistics platform and the acquisition, development, and management of 100 million square feet of logistics product. Between 2014 and 2016 during Brookfield’s ownership, Jay also dually served as CEO of IDI Logistics while he was Global Head of Logistics at Brookfield. Before his role at Brookfield, Jay was President, East Region at Prologis and worked at AMB from 2003 to 2011, prior to the AMB/Prologis merger. Jay began his career with Cabot Industrial Trust and its successor company Cabot Properties where he held national development duties. He also worked at AEW Capital Management in various roles in Portfolio Management and Investments. Jay grew up in Montreal, Canada and received a Bachelor of the Arts from the University of Western Ontario and a Master of Science in Real Estate Development at New York University.</w:t>
      </w:r>
    </w:p>
    <w:p w14:paraId="3872BC64" w14:textId="77777777" w:rsidR="00F20949" w:rsidRDefault="00F20949" w:rsidP="00F20949">
      <w:pPr>
        <w:jc w:val="both"/>
        <w:rPr>
          <w:b/>
          <w:bCs/>
        </w:rPr>
      </w:pPr>
    </w:p>
    <w:p w14:paraId="7FA6DEC4" w14:textId="26DAF196" w:rsidR="00F20949" w:rsidRDefault="00F20949" w:rsidP="00F20949">
      <w:pPr>
        <w:jc w:val="both"/>
      </w:pPr>
      <w:r w:rsidRPr="009316C0">
        <w:rPr>
          <w:b/>
          <w:bCs/>
        </w:rPr>
        <w:t>Brian Gagne</w:t>
      </w:r>
      <w:r>
        <w:t>, CIO</w:t>
      </w:r>
    </w:p>
    <w:p w14:paraId="3FBCF239" w14:textId="77777777" w:rsidR="00F20949" w:rsidRDefault="00F20949" w:rsidP="00F20949">
      <w:pPr>
        <w:jc w:val="both"/>
      </w:pPr>
      <w:r>
        <w:t>Brian Gagne serves as Senior Managing Director &amp; Co-Chief Investment Officer for Bridge Logistics Properties. Before joining Bridge, Brian worked at Brookfield to build out and lead the U.S. logistics investments team, where he oversaw both acquisition and development deployment from late 2017 to 2021. In that time, Brookfield grew their U.S. investment and development portfolio by 35 million square feet. Prior to leading the logistics investment team at Brookfield, Brian worked at IDI Logistics, a Brookfield-owned operating company, where he served as a Market Officer for the West Region. As Market Officer, Brian was responsible for all investments, asset management, and development activities. Brian was critical to the stabilization of the portfolio while also building AUM in California through existing building investments, spec development, and BTS transactions. Before joining Brookfield, Brian was at KTR Capital Partners, a private logistics platform founded by principals of Keystone Property Trust. Brian joined KTR shortly after their formation in 2005 and saw the company grow from 0 to 75 MSF over a decade. Brian was made partner and selected to open the company’s West Coast office and lead their investment efforts. KTR was primarily an East Coast focused entity and Brian successfully expanded the company’s footprint into the high barrier markets of Southern California, Bay Area and beyond. He acquired or developed over $2B of assets in the Western U.S. prior to the sale of the company in June 2015 to Prologis. Brian holds a Bachelor of Science in Business Administration from Babson College.</w:t>
      </w:r>
    </w:p>
    <w:p w14:paraId="62344D83" w14:textId="77777777" w:rsidR="00F20949" w:rsidRDefault="00F20949" w:rsidP="00F20949">
      <w:pPr>
        <w:jc w:val="both"/>
        <w:rPr>
          <w:b/>
          <w:bCs/>
        </w:rPr>
      </w:pPr>
    </w:p>
    <w:p w14:paraId="4EA559A3" w14:textId="24B22B4F" w:rsidR="00F20949" w:rsidRDefault="00F20949" w:rsidP="00F20949">
      <w:pPr>
        <w:jc w:val="both"/>
      </w:pPr>
      <w:r w:rsidRPr="009316C0">
        <w:rPr>
          <w:b/>
          <w:bCs/>
        </w:rPr>
        <w:t>Matt Berger</w:t>
      </w:r>
      <w:r>
        <w:t>, Managing Director - Chief Financial Officer</w:t>
      </w:r>
    </w:p>
    <w:p w14:paraId="386C8F64" w14:textId="77777777" w:rsidR="00F20949" w:rsidRDefault="00F20949" w:rsidP="00F20949">
      <w:pPr>
        <w:jc w:val="both"/>
      </w:pPr>
      <w:r>
        <w:t xml:space="preserve">Matthew Berger serves as Managing Director and Chief Financial Officer for Bridge Logistics Properties and brings over 25 years of finance experience to his role. Prior to joining Bridge, he served in </w:t>
      </w:r>
      <w:proofErr w:type="gramStart"/>
      <w:r>
        <w:t>a number of</w:t>
      </w:r>
      <w:proofErr w:type="gramEnd"/>
      <w:r>
        <w:t xml:space="preserve"> Senior roles with Brookfield Asset Management, most recently as Managing Director, Portfolio Management within Brookfield Property Group. Other key positions with Brookfield include Chief Financial Officer of IDI Logistics and Chief Financial Officer of Terraform Power, a publicly traded owner operator of renewable energy assets in North America and Europe. Prior to Brookfield, Matthew was Senior Vice President, Finance for Old Mutual Asset Management. He began his career in public accounting and consulting with PwC, earning his CPA. He holds a </w:t>
      </w:r>
      <w:r>
        <w:lastRenderedPageBreak/>
        <w:t>BBA in Accounting with honors from the University of Notre Dame and an MBA with honors from the Kenan Flagler Business School at UNC Chapel Hill.</w:t>
      </w:r>
    </w:p>
    <w:p w14:paraId="7828B72D" w14:textId="77777777" w:rsidR="00F20949" w:rsidRDefault="00F20949" w:rsidP="00F20949">
      <w:pPr>
        <w:jc w:val="both"/>
        <w:rPr>
          <w:b/>
          <w:bCs/>
        </w:rPr>
      </w:pPr>
    </w:p>
    <w:p w14:paraId="37C5CC9D" w14:textId="0B8E964D" w:rsidR="00F20949" w:rsidRDefault="00F20949" w:rsidP="00F20949">
      <w:pPr>
        <w:jc w:val="both"/>
      </w:pPr>
      <w:r w:rsidRPr="009316C0">
        <w:rPr>
          <w:b/>
          <w:bCs/>
        </w:rPr>
        <w:t>Paul Jones</w:t>
      </w:r>
      <w:r>
        <w:t>, Managing Director - West Region</w:t>
      </w:r>
    </w:p>
    <w:p w14:paraId="3A478258" w14:textId="77777777" w:rsidR="00F20949" w:rsidRDefault="00F20949" w:rsidP="00F20949">
      <w:pPr>
        <w:jc w:val="both"/>
      </w:pPr>
      <w:r>
        <w:t xml:space="preserve">Paul Jones serves as a Managing Director for Bridge Logistics Properties. A recognized expert in the field of industrial real estate, Paul Jones has spent over 15 years perfecting his craft through complex transactions in some of the most competitive U.S. markets. Over the course of his career, Paul has invested $3 billion of capital through both existing building acquisitions and new developments. Prior to joining Bridge Investment Group, he was Head of Investments and Development for the Western United States at Brookfield Asset Management. In this role from 2019-2021, Paul established Brookfield’s Los Angeles Logistics office, </w:t>
      </w:r>
      <w:proofErr w:type="gramStart"/>
      <w:r>
        <w:t>built</w:t>
      </w:r>
      <w:proofErr w:type="gramEnd"/>
      <w:r>
        <w:t xml:space="preserve"> and led a team of professionals, oversaw operations, and grew the West region portfolio by 6.5 million square feet. Before his role at Brookfield, Paul was Vice President of Acquisitions in the Western U.S. for Duke Realty. From 2015-2019, he helped grow the company’s Southern California portfolio from approximately 1 million to 15 million square feet through existing building acquisitions and infill market redevelopment. Paul began his career with </w:t>
      </w:r>
      <w:proofErr w:type="spellStart"/>
      <w:r>
        <w:t>Studley</w:t>
      </w:r>
      <w:proofErr w:type="spellEnd"/>
      <w:r>
        <w:t>, Inc., where he was an Investment Sales and Tenant Rep Broker. Notably, he is actively involved with Make-A-Wish Foundation, is a member of NAIOP’s Industrial Acquisitions Forum IV, has held multiple positions within NAIOP’s Young Professionals Group, and was awarded Real Estate Forum’s 50 Under 40 National Designation.</w:t>
      </w:r>
    </w:p>
    <w:p w14:paraId="4C530D79" w14:textId="77777777" w:rsidR="00F20949" w:rsidRDefault="00F20949" w:rsidP="00F20949">
      <w:pPr>
        <w:jc w:val="both"/>
        <w:rPr>
          <w:b/>
          <w:bCs/>
        </w:rPr>
      </w:pPr>
    </w:p>
    <w:p w14:paraId="6460459B" w14:textId="4D0823D2" w:rsidR="00F20949" w:rsidRDefault="00F20949" w:rsidP="00F20949">
      <w:pPr>
        <w:jc w:val="both"/>
      </w:pPr>
      <w:r w:rsidRPr="009316C0">
        <w:rPr>
          <w:b/>
          <w:bCs/>
        </w:rPr>
        <w:t>Connor Tamlyn</w:t>
      </w:r>
      <w:r>
        <w:t>, Managing Director Central Region</w:t>
      </w:r>
    </w:p>
    <w:p w14:paraId="5C5B2AC4" w14:textId="77777777" w:rsidR="00F20949" w:rsidRDefault="00F20949" w:rsidP="00F20949">
      <w:pPr>
        <w:jc w:val="both"/>
      </w:pPr>
      <w:r>
        <w:t xml:space="preserve">Connor Tamlyn serves as Managing Director, Central Region for Bridge Logistics Properties. Connor has over 12 years of commercial real estate experience and has directly facilitated transactions of more than 10M sf totaling over $1B in value. Before joining Bridge, Connor worked at Brookfield Properties Logistics as the development officer for the Central Region where he was responsible for sourcing and executing development opportunities in markets such as Dallas-Fort Worth, Houston, Austin, Chicago, Indianapolis, Cincinnati, </w:t>
      </w:r>
      <w:proofErr w:type="gramStart"/>
      <w:r>
        <w:t>Memphis</w:t>
      </w:r>
      <w:proofErr w:type="gramEnd"/>
      <w:r>
        <w:t xml:space="preserve"> and Nashville. While at Brookfield, he sourced development opportunities totaling 4M sf representing over $400M of total development value. Prior to joining Brookfield, Connor was a Director and Market Officer at Hines, one of the largest privately held real estate investment and development firms in the world. At Hines, he ran the industrial platform in Dallas-Fort Worth where he was responsible for the acquisition, </w:t>
      </w:r>
      <w:proofErr w:type="gramStart"/>
      <w:r>
        <w:t>development</w:t>
      </w:r>
      <w:proofErr w:type="gramEnd"/>
      <w:r>
        <w:t xml:space="preserve"> and asset management of industrial properties. While at Hines, Connor was responsible for adding over 3M sf to the firm's industrial portfolio. Connor holds a Bachelor of Business Administration, Real Estate from the University of Georgia.</w:t>
      </w:r>
    </w:p>
    <w:p w14:paraId="01571272" w14:textId="77777777" w:rsidR="00F20949" w:rsidRDefault="00F20949" w:rsidP="00F20949">
      <w:pPr>
        <w:jc w:val="both"/>
        <w:rPr>
          <w:b/>
          <w:bCs/>
        </w:rPr>
      </w:pPr>
    </w:p>
    <w:p w14:paraId="30848AC7" w14:textId="2938C129" w:rsidR="00F20949" w:rsidRDefault="00F20949" w:rsidP="00F20949">
      <w:pPr>
        <w:jc w:val="both"/>
      </w:pPr>
      <w:r w:rsidRPr="009316C0">
        <w:rPr>
          <w:b/>
          <w:bCs/>
        </w:rPr>
        <w:t>Tim Page</w:t>
      </w:r>
      <w:r>
        <w:t>, Managing Director Southeast Region</w:t>
      </w:r>
    </w:p>
    <w:p w14:paraId="3F380AD3" w14:textId="43EBD0C9" w:rsidR="000164D5" w:rsidRPr="00321A26" w:rsidRDefault="00F20949" w:rsidP="00321A26">
      <w:pPr>
        <w:jc w:val="both"/>
      </w:pPr>
      <w:r>
        <w:t xml:space="preserve">Tim Page serves as Managing Director, Southern Region for Bridge Logistics Properties. Tim has over 35 years of commercial real estate experience. Before joining Bridge, he was President and CEO of Page Group Commercial Real Estate, Inc., a real estate development firm specializing in the development of industrial, office, hotel, and multi-family properties. Tim owned and operated Page Group for 21 years before retiring in 2020. Prior to establishing his own firm, he served as the Director of Operations for Stiles Realty Co. in South Florida from 1998 to 2000. While at Stiles, Tim was responsible for industrial, office building, and build-to-suit development opportunities. From 1994 to 1998, he was the Director of Development for </w:t>
      </w:r>
      <w:proofErr w:type="spellStart"/>
      <w:r>
        <w:t>Catalfumo</w:t>
      </w:r>
      <w:proofErr w:type="spellEnd"/>
      <w:r>
        <w:t xml:space="preserve"> Companies, responsible for all aspects of speculative development and build-to-suit activities ranging from site selection to disposition of </w:t>
      </w:r>
      <w:proofErr w:type="spellStart"/>
      <w:proofErr w:type="gramStart"/>
      <w:r>
        <w:t>assets.Tim</w:t>
      </w:r>
      <w:proofErr w:type="spellEnd"/>
      <w:proofErr w:type="gramEnd"/>
      <w:r>
        <w:t xml:space="preserve"> began his career in 1986 as an industrial specialist in South Florida for CBRE Group, Inc. where he was a top performer throughout   eight years at CBRE. He holds a Bachelor of Science in Finance from the Heavener School of Business in the Warrington College of Business at the University of Florida.</w:t>
      </w:r>
    </w:p>
    <w:p w14:paraId="0FC5C292" w14:textId="77777777" w:rsidR="000164D5" w:rsidRDefault="000164D5" w:rsidP="00F672E0">
      <w:pPr>
        <w:pStyle w:val="BodyText"/>
        <w:spacing w:before="119" w:line="259" w:lineRule="auto"/>
        <w:ind w:firstLine="0"/>
        <w:jc w:val="both"/>
        <w:rPr>
          <w:sz w:val="23"/>
          <w:szCs w:val="23"/>
        </w:rPr>
        <w:sectPr w:rsidR="000164D5" w:rsidSect="006F6806">
          <w:pgSz w:w="12240" w:h="15840" w:code="1"/>
          <w:pgMar w:top="864" w:right="1152" w:bottom="720" w:left="1152" w:header="576" w:footer="965" w:gutter="0"/>
          <w:cols w:space="720"/>
          <w:docGrid w:linePitch="299"/>
        </w:sectPr>
      </w:pPr>
    </w:p>
    <w:p w14:paraId="0C5F469D" w14:textId="077A73B5" w:rsidR="000164D5" w:rsidRDefault="000164D5" w:rsidP="000164D5">
      <w:pPr>
        <w:pStyle w:val="BodyText"/>
        <w:spacing w:before="0"/>
        <w:ind w:firstLine="0"/>
        <w:rPr>
          <w:b/>
          <w:color w:val="003A5D"/>
          <w:sz w:val="24"/>
        </w:rPr>
      </w:pPr>
      <w:r w:rsidRPr="00321A26">
        <w:rPr>
          <w:b/>
          <w:color w:val="003A5D"/>
          <w:sz w:val="24"/>
          <w:highlight w:val="red"/>
        </w:rPr>
        <w:lastRenderedPageBreak/>
        <w:t xml:space="preserve">EXHIBIT F: </w:t>
      </w:r>
      <w:r w:rsidR="00811D2C" w:rsidRPr="00321A26">
        <w:rPr>
          <w:b/>
          <w:color w:val="003A5D"/>
          <w:sz w:val="24"/>
          <w:highlight w:val="red"/>
        </w:rPr>
        <w:t>Project Approval Process</w:t>
      </w:r>
    </w:p>
    <w:p w14:paraId="29D22785" w14:textId="54CD4FB0" w:rsidR="00811D2C" w:rsidRPr="00132AE0" w:rsidRDefault="00811D2C" w:rsidP="00811D2C">
      <w:pPr>
        <w:tabs>
          <w:tab w:val="left" w:pos="720"/>
        </w:tabs>
        <w:spacing w:after="120" w:line="259" w:lineRule="auto"/>
        <w:jc w:val="both"/>
        <w:rPr>
          <w:rFonts w:ascii="Arial" w:hAnsi="Arial" w:cs="Arial"/>
          <w:bCs/>
          <w:szCs w:val="22"/>
        </w:rPr>
      </w:pPr>
    </w:p>
    <w:p w14:paraId="7E42D495" w14:textId="77777777" w:rsidR="00811D2C" w:rsidRDefault="00811D2C" w:rsidP="00811D2C">
      <w:pPr>
        <w:spacing w:line="259" w:lineRule="auto"/>
        <w:ind w:left="720"/>
        <w:jc w:val="both"/>
        <w:rPr>
          <w:rFonts w:ascii="Arial" w:hAnsi="Arial" w:cs="Arial"/>
          <w:bCs/>
          <w:szCs w:val="22"/>
        </w:rPr>
      </w:pPr>
      <w:r>
        <w:rPr>
          <w:rFonts w:ascii="Arial" w:hAnsi="Arial" w:cs="Arial"/>
          <w:bCs/>
          <w:szCs w:val="22"/>
        </w:rPr>
        <w:t xml:space="preserve">BLP will regularly apprise CRF of potential opportunities within the mandate of the Partnership during the Commitment Period. </w:t>
      </w:r>
      <w:r w:rsidRPr="00EF218C">
        <w:rPr>
          <w:rFonts w:ascii="Arial" w:hAnsi="Arial" w:cs="Arial"/>
          <w:bCs/>
          <w:szCs w:val="22"/>
        </w:rPr>
        <w:t>BLP will establish a biweekly pipeline call with the CRF team to discuss potential opportunities in addition to operational updates (construction, leasing, financing, etc.</w:t>
      </w:r>
      <w:r>
        <w:rPr>
          <w:rFonts w:ascii="Arial" w:hAnsi="Arial" w:cs="Arial"/>
          <w:bCs/>
          <w:szCs w:val="22"/>
        </w:rPr>
        <w:t xml:space="preserve">). Upon request from CRF, BLP will provide an explanation and disclose reasonable information on any potential opportunities within the mandate that BLP did not recommend to CRF. BLP’s obligation to offer potential opportunities to the Partnership during the Commitment Period shall not apply to the Excluded Projects (defined below). BLP’s obligation to offer potential opportunities to the Partnership during the Commitment Period will lapse </w:t>
      </w:r>
      <w:proofErr w:type="gramStart"/>
      <w:r>
        <w:rPr>
          <w:rFonts w:ascii="Arial" w:hAnsi="Arial" w:cs="Arial"/>
          <w:bCs/>
          <w:szCs w:val="22"/>
        </w:rPr>
        <w:t>in the event that</w:t>
      </w:r>
      <w:proofErr w:type="gramEnd"/>
      <w:r>
        <w:rPr>
          <w:rFonts w:ascii="Arial" w:hAnsi="Arial" w:cs="Arial"/>
          <w:bCs/>
          <w:szCs w:val="22"/>
        </w:rPr>
        <w:t xml:space="preserve"> CRF shall reject three (3) or more potential projects within the mandate of the Partnership at any stage of the approval process within a consecutive twelve (12) month period.</w:t>
      </w:r>
    </w:p>
    <w:p w14:paraId="64E24BF7" w14:textId="77777777" w:rsidR="00811D2C" w:rsidRDefault="00811D2C" w:rsidP="00811D2C">
      <w:pPr>
        <w:spacing w:line="259" w:lineRule="auto"/>
        <w:ind w:left="720"/>
        <w:jc w:val="both"/>
        <w:rPr>
          <w:rFonts w:ascii="Arial" w:hAnsi="Arial" w:cs="Arial"/>
          <w:bCs/>
          <w:szCs w:val="22"/>
        </w:rPr>
      </w:pPr>
    </w:p>
    <w:p w14:paraId="58893C0A" w14:textId="77777777" w:rsidR="00811D2C" w:rsidRDefault="00811D2C" w:rsidP="00811D2C">
      <w:pPr>
        <w:spacing w:line="259" w:lineRule="auto"/>
        <w:ind w:left="720"/>
        <w:jc w:val="both"/>
        <w:rPr>
          <w:rFonts w:ascii="Arial" w:hAnsi="Arial" w:cs="Arial"/>
          <w:bCs/>
          <w:szCs w:val="22"/>
        </w:rPr>
      </w:pPr>
      <w:r>
        <w:rPr>
          <w:rFonts w:ascii="Arial" w:hAnsi="Arial" w:cs="Arial"/>
          <w:bCs/>
          <w:szCs w:val="22"/>
        </w:rPr>
        <w:t xml:space="preserve">There will be separate approval processes for pursuit and acquisition of the land (“Land Acquisition”) and the commencement of construction (“Construction Commencement”). In each case, BLP will provide a recommendation for CRF’s consideration and approval under the procedures set out below. In no event will CRF’s approval of the recommended transaction relieve BLP or Advisor of its Standard of Care or Fiduciary Duty. </w:t>
      </w:r>
      <w:bookmarkStart w:id="57" w:name="_Hlk167118741"/>
    </w:p>
    <w:bookmarkEnd w:id="57"/>
    <w:p w14:paraId="23D12865" w14:textId="77777777" w:rsidR="00811D2C" w:rsidRDefault="00811D2C" w:rsidP="00811D2C">
      <w:pPr>
        <w:spacing w:line="259" w:lineRule="auto"/>
        <w:ind w:left="720"/>
        <w:jc w:val="both"/>
        <w:rPr>
          <w:rFonts w:ascii="Arial" w:hAnsi="Arial" w:cs="Arial"/>
          <w:bCs/>
          <w:szCs w:val="22"/>
        </w:rPr>
      </w:pPr>
    </w:p>
    <w:p w14:paraId="2A077F96" w14:textId="77777777" w:rsidR="00811D2C" w:rsidRPr="00C659FE" w:rsidRDefault="00811D2C" w:rsidP="00A91DCC">
      <w:pPr>
        <w:pStyle w:val="ListParagraph"/>
        <w:numPr>
          <w:ilvl w:val="0"/>
          <w:numId w:val="22"/>
        </w:numPr>
        <w:spacing w:after="120" w:line="259" w:lineRule="auto"/>
        <w:ind w:left="1440"/>
        <w:contextualSpacing w:val="0"/>
        <w:jc w:val="both"/>
        <w:rPr>
          <w:rFonts w:ascii="Arial" w:hAnsi="Arial" w:cs="Arial"/>
          <w:bCs/>
          <w:szCs w:val="22"/>
          <w:u w:val="single"/>
        </w:rPr>
      </w:pPr>
      <w:r w:rsidRPr="00C659FE">
        <w:rPr>
          <w:rFonts w:ascii="Arial" w:hAnsi="Arial" w:cs="Arial"/>
          <w:bCs/>
          <w:szCs w:val="22"/>
          <w:u w:val="single"/>
        </w:rPr>
        <w:t>Recommendation Notice and Investment Proposal</w:t>
      </w:r>
    </w:p>
    <w:p w14:paraId="7CB66F9C" w14:textId="77777777" w:rsidR="00811D2C" w:rsidRPr="00624685" w:rsidRDefault="00811D2C" w:rsidP="00811D2C">
      <w:pPr>
        <w:spacing w:line="259" w:lineRule="auto"/>
        <w:ind w:left="1440"/>
        <w:jc w:val="both"/>
        <w:rPr>
          <w:rFonts w:ascii="Arial" w:hAnsi="Arial" w:cs="Arial"/>
          <w:bCs/>
          <w:szCs w:val="22"/>
        </w:rPr>
      </w:pPr>
      <w:r>
        <w:rPr>
          <w:rFonts w:ascii="Arial" w:hAnsi="Arial" w:cs="Arial"/>
          <w:bCs/>
          <w:szCs w:val="22"/>
        </w:rPr>
        <w:t>When a potential project is identified, BLP will send notice to CRF informing it of the potential project and recommending it for inclusion in the Partnership (the “Recommendation Notice”). The Recommendation Notice will include all material information reasonably needed by CRF to make an informed determination to opt in or opt out of each project (“Investment Proposal”). Without limiting the foregoing, the Investment Proposal will include all memoranda or other materials presented to BLP’s investment committee, which form the basis of BLP recommending the project to CRF.</w:t>
      </w:r>
      <w:r w:rsidRPr="00DD2C8A">
        <w:rPr>
          <w:rFonts w:ascii="Arial" w:hAnsi="Arial" w:cs="Arial"/>
          <w:b/>
          <w:i/>
          <w:iCs/>
          <w:szCs w:val="22"/>
        </w:rPr>
        <w:t xml:space="preserve"> </w:t>
      </w:r>
      <w:r w:rsidRPr="00624685">
        <w:rPr>
          <w:rFonts w:ascii="Arial" w:hAnsi="Arial" w:cs="Arial"/>
          <w:bCs/>
          <w:szCs w:val="22"/>
        </w:rPr>
        <w:t>CRF would have the right to reject any Investment Proposal</w:t>
      </w:r>
      <w:r>
        <w:rPr>
          <w:rFonts w:ascii="Arial" w:hAnsi="Arial" w:cs="Arial"/>
          <w:bCs/>
          <w:szCs w:val="22"/>
        </w:rPr>
        <w:t xml:space="preserve"> within 5 business days of receipt</w:t>
      </w:r>
      <w:r w:rsidRPr="00624685">
        <w:rPr>
          <w:rFonts w:ascii="Arial" w:hAnsi="Arial" w:cs="Arial"/>
          <w:bCs/>
          <w:szCs w:val="22"/>
        </w:rPr>
        <w:t>, and the Partnership would not invest in the proposed project or bear any pursuit costs or expenses.</w:t>
      </w:r>
    </w:p>
    <w:p w14:paraId="7DE4B6DE" w14:textId="77777777" w:rsidR="00811D2C" w:rsidRPr="00624685" w:rsidRDefault="00811D2C" w:rsidP="00811D2C">
      <w:pPr>
        <w:spacing w:line="259" w:lineRule="auto"/>
        <w:ind w:left="720"/>
        <w:jc w:val="both"/>
        <w:rPr>
          <w:rFonts w:ascii="Arial" w:hAnsi="Arial" w:cs="Arial"/>
          <w:bCs/>
          <w:szCs w:val="22"/>
        </w:rPr>
      </w:pPr>
    </w:p>
    <w:p w14:paraId="4A4864F3" w14:textId="77777777" w:rsidR="00811D2C" w:rsidRPr="00624685" w:rsidRDefault="00811D2C" w:rsidP="00A91DCC">
      <w:pPr>
        <w:pStyle w:val="ListParagraph"/>
        <w:numPr>
          <w:ilvl w:val="0"/>
          <w:numId w:val="22"/>
        </w:numPr>
        <w:spacing w:after="120" w:line="259" w:lineRule="auto"/>
        <w:ind w:left="1440"/>
        <w:contextualSpacing w:val="0"/>
        <w:jc w:val="both"/>
        <w:rPr>
          <w:rFonts w:ascii="Arial" w:hAnsi="Arial" w:cs="Arial"/>
          <w:bCs/>
          <w:szCs w:val="22"/>
        </w:rPr>
      </w:pPr>
      <w:r w:rsidRPr="00624685">
        <w:rPr>
          <w:rFonts w:ascii="Arial" w:hAnsi="Arial" w:cs="Arial"/>
          <w:bCs/>
          <w:szCs w:val="22"/>
          <w:u w:val="single"/>
        </w:rPr>
        <w:t>Approved Project and Partnership Pursuit Costs</w:t>
      </w:r>
    </w:p>
    <w:p w14:paraId="56559352" w14:textId="77777777" w:rsidR="00811D2C" w:rsidRDefault="00811D2C" w:rsidP="00811D2C">
      <w:pPr>
        <w:spacing w:after="120" w:line="259" w:lineRule="auto"/>
        <w:ind w:left="1440"/>
        <w:jc w:val="both"/>
        <w:rPr>
          <w:rFonts w:ascii="Arial" w:hAnsi="Arial" w:cs="Arial"/>
          <w:bCs/>
          <w:szCs w:val="22"/>
        </w:rPr>
      </w:pPr>
      <w:r w:rsidRPr="00624685">
        <w:rPr>
          <w:rFonts w:ascii="Arial" w:hAnsi="Arial" w:cs="Arial"/>
          <w:bCs/>
          <w:szCs w:val="22"/>
        </w:rPr>
        <w:t>If CRF approves an Investment Proposal (“Approved Project”), BLP and CRF would be responsible for funding all due diligence expenses, pursuit costs, and refundable and non-refundable deposits (“Partnership Pursuit Costs”) based on a 50/50 cost-sharing ratio</w:t>
      </w:r>
      <w:r>
        <w:rPr>
          <w:rFonts w:ascii="Arial" w:hAnsi="Arial" w:cs="Arial"/>
          <w:bCs/>
          <w:szCs w:val="22"/>
        </w:rPr>
        <w:t xml:space="preserve">. Once a project becomes an Approved Project: </w:t>
      </w:r>
    </w:p>
    <w:p w14:paraId="2C0190D9" w14:textId="77777777" w:rsidR="00811D2C" w:rsidRDefault="00811D2C" w:rsidP="00A91DCC">
      <w:pPr>
        <w:numPr>
          <w:ilvl w:val="1"/>
          <w:numId w:val="21"/>
        </w:numPr>
        <w:spacing w:after="120" w:line="259" w:lineRule="auto"/>
        <w:ind w:left="1800"/>
        <w:jc w:val="both"/>
        <w:rPr>
          <w:rFonts w:ascii="Arial" w:hAnsi="Arial" w:cs="Arial"/>
          <w:bCs/>
          <w:szCs w:val="22"/>
        </w:rPr>
      </w:pPr>
      <w:r>
        <w:rPr>
          <w:rFonts w:ascii="Arial" w:hAnsi="Arial" w:cs="Arial"/>
          <w:bCs/>
          <w:szCs w:val="22"/>
        </w:rPr>
        <w:t>BLP would be reimbursed by the Partnership for 50% of actual Partnership Pursuit Costs incurred to date</w:t>
      </w:r>
      <w:r w:rsidRPr="00C659FE">
        <w:rPr>
          <w:rFonts w:ascii="Arial" w:hAnsi="Arial" w:cs="Arial"/>
          <w:bCs/>
          <w:szCs w:val="22"/>
        </w:rPr>
        <w:t xml:space="preserve"> </w:t>
      </w:r>
      <w:r w:rsidRPr="00FA1E36">
        <w:rPr>
          <w:rFonts w:ascii="Arial" w:hAnsi="Arial" w:cs="Arial"/>
          <w:bCs/>
          <w:szCs w:val="22"/>
        </w:rPr>
        <w:t xml:space="preserve">plus an amount such that BLP receives an 9% IRR on such </w:t>
      </w:r>
      <w:proofErr w:type="gramStart"/>
      <w:r w:rsidRPr="00FA1E36">
        <w:rPr>
          <w:rFonts w:ascii="Arial" w:hAnsi="Arial" w:cs="Arial"/>
          <w:bCs/>
          <w:szCs w:val="22"/>
        </w:rPr>
        <w:t>costs;</w:t>
      </w:r>
      <w:proofErr w:type="gramEnd"/>
      <w:r>
        <w:rPr>
          <w:rFonts w:ascii="Arial" w:hAnsi="Arial" w:cs="Arial"/>
          <w:bCs/>
          <w:szCs w:val="22"/>
        </w:rPr>
        <w:t xml:space="preserve"> </w:t>
      </w:r>
    </w:p>
    <w:p w14:paraId="531EA96D" w14:textId="77777777" w:rsidR="00811D2C" w:rsidRDefault="00811D2C" w:rsidP="00A91DCC">
      <w:pPr>
        <w:numPr>
          <w:ilvl w:val="1"/>
          <w:numId w:val="21"/>
        </w:numPr>
        <w:spacing w:after="120" w:line="259" w:lineRule="auto"/>
        <w:ind w:left="1800"/>
        <w:jc w:val="both"/>
        <w:rPr>
          <w:rFonts w:ascii="Arial" w:hAnsi="Arial" w:cs="Arial"/>
          <w:bCs/>
          <w:szCs w:val="22"/>
        </w:rPr>
      </w:pPr>
      <w:r>
        <w:rPr>
          <w:rFonts w:ascii="Arial" w:hAnsi="Arial" w:cs="Arial"/>
          <w:bCs/>
          <w:szCs w:val="22"/>
        </w:rPr>
        <w:t xml:space="preserve">CRF would fund its 50% share of Partnership Pursuit Costs; and </w:t>
      </w:r>
    </w:p>
    <w:p w14:paraId="5A569735" w14:textId="77777777" w:rsidR="00811D2C" w:rsidRDefault="00811D2C" w:rsidP="00A91DCC">
      <w:pPr>
        <w:numPr>
          <w:ilvl w:val="1"/>
          <w:numId w:val="21"/>
        </w:numPr>
        <w:spacing w:line="259" w:lineRule="auto"/>
        <w:ind w:left="1800"/>
        <w:jc w:val="both"/>
        <w:rPr>
          <w:rFonts w:ascii="Arial" w:hAnsi="Arial" w:cs="Arial"/>
          <w:bCs/>
          <w:szCs w:val="22"/>
        </w:rPr>
      </w:pPr>
      <w:r>
        <w:rPr>
          <w:rFonts w:ascii="Arial" w:hAnsi="Arial" w:cs="Arial"/>
          <w:bCs/>
          <w:szCs w:val="22"/>
        </w:rPr>
        <w:lastRenderedPageBreak/>
        <w:t xml:space="preserve">the Partners would remain responsible for funding </w:t>
      </w:r>
      <w:r w:rsidRPr="00D70F52">
        <w:rPr>
          <w:rFonts w:ascii="Arial" w:hAnsi="Arial" w:cs="Arial"/>
          <w:bCs/>
          <w:szCs w:val="22"/>
        </w:rPr>
        <w:t>Partnership Pursuit Costs</w:t>
      </w:r>
      <w:r>
        <w:rPr>
          <w:rFonts w:ascii="Arial" w:hAnsi="Arial" w:cs="Arial"/>
          <w:bCs/>
          <w:szCs w:val="22"/>
        </w:rPr>
        <w:t xml:space="preserve"> going forward based on a 50/50 cost-sharing ratio. </w:t>
      </w:r>
    </w:p>
    <w:p w14:paraId="46F3B993" w14:textId="77777777" w:rsidR="00811D2C" w:rsidRDefault="00811D2C" w:rsidP="00811D2C">
      <w:pPr>
        <w:pStyle w:val="ListParagraph"/>
        <w:rPr>
          <w:rFonts w:ascii="Arial" w:hAnsi="Arial" w:cs="Arial"/>
          <w:bCs/>
          <w:szCs w:val="22"/>
        </w:rPr>
      </w:pPr>
    </w:p>
    <w:p w14:paraId="0F2316C5" w14:textId="77777777" w:rsidR="00811D2C" w:rsidRDefault="00811D2C" w:rsidP="00811D2C">
      <w:pPr>
        <w:spacing w:line="259" w:lineRule="auto"/>
        <w:ind w:left="1440"/>
        <w:jc w:val="both"/>
        <w:rPr>
          <w:rFonts w:ascii="Arial" w:hAnsi="Arial" w:cs="Arial"/>
          <w:bCs/>
          <w:szCs w:val="22"/>
        </w:rPr>
      </w:pPr>
      <w:r>
        <w:rPr>
          <w:rFonts w:ascii="Arial" w:hAnsi="Arial" w:cs="Arial"/>
          <w:bCs/>
          <w:szCs w:val="22"/>
        </w:rPr>
        <w:t xml:space="preserve">Among other things, as part of the diligence process, </w:t>
      </w:r>
      <w:r w:rsidRPr="003D507B">
        <w:rPr>
          <w:rFonts w:ascii="Arial" w:hAnsi="Arial" w:cs="Arial"/>
          <w:bCs/>
          <w:szCs w:val="22"/>
        </w:rPr>
        <w:t xml:space="preserve">BLP </w:t>
      </w:r>
      <w:r>
        <w:rPr>
          <w:rFonts w:ascii="Arial" w:hAnsi="Arial" w:cs="Arial"/>
          <w:bCs/>
          <w:szCs w:val="22"/>
        </w:rPr>
        <w:t>shall s</w:t>
      </w:r>
      <w:r w:rsidRPr="003D507B">
        <w:rPr>
          <w:rFonts w:ascii="Arial" w:hAnsi="Arial" w:cs="Arial"/>
          <w:bCs/>
          <w:szCs w:val="22"/>
        </w:rPr>
        <w:t>ubmit to CRF for approval a development budget and schedule</w:t>
      </w:r>
      <w:r>
        <w:rPr>
          <w:rFonts w:ascii="Arial" w:hAnsi="Arial" w:cs="Arial"/>
          <w:bCs/>
          <w:szCs w:val="22"/>
        </w:rPr>
        <w:t xml:space="preserve">, details on </w:t>
      </w:r>
      <w:r w:rsidRPr="003D507B">
        <w:rPr>
          <w:rFonts w:ascii="Arial" w:hAnsi="Arial" w:cs="Arial"/>
          <w:bCs/>
          <w:szCs w:val="22"/>
        </w:rPr>
        <w:t>entitlements</w:t>
      </w:r>
      <w:r>
        <w:rPr>
          <w:rFonts w:ascii="Arial" w:hAnsi="Arial" w:cs="Arial"/>
          <w:bCs/>
          <w:szCs w:val="22"/>
        </w:rPr>
        <w:t xml:space="preserve"> and respective timing</w:t>
      </w:r>
      <w:r w:rsidRPr="003D507B">
        <w:rPr>
          <w:rFonts w:ascii="Arial" w:hAnsi="Arial" w:cs="Arial"/>
          <w:bCs/>
          <w:szCs w:val="22"/>
        </w:rPr>
        <w:t xml:space="preserve">, a stabilized operating budget, a narrative on the land acquisition, </w:t>
      </w:r>
      <w:r>
        <w:rPr>
          <w:rFonts w:ascii="Arial" w:hAnsi="Arial" w:cs="Arial"/>
          <w:bCs/>
          <w:szCs w:val="22"/>
        </w:rPr>
        <w:t xml:space="preserve">the </w:t>
      </w:r>
      <w:r w:rsidRPr="003D507B">
        <w:rPr>
          <w:rFonts w:ascii="Arial" w:hAnsi="Arial" w:cs="Arial"/>
          <w:bCs/>
          <w:szCs w:val="22"/>
        </w:rPr>
        <w:t>construction</w:t>
      </w:r>
      <w:r>
        <w:rPr>
          <w:rFonts w:ascii="Arial" w:hAnsi="Arial" w:cs="Arial"/>
          <w:bCs/>
          <w:szCs w:val="22"/>
        </w:rPr>
        <w:t xml:space="preserve"> process</w:t>
      </w:r>
      <w:r w:rsidRPr="003D507B">
        <w:rPr>
          <w:rFonts w:ascii="Arial" w:hAnsi="Arial" w:cs="Arial"/>
          <w:bCs/>
          <w:szCs w:val="22"/>
        </w:rPr>
        <w:t>, market</w:t>
      </w:r>
      <w:r>
        <w:rPr>
          <w:rFonts w:ascii="Arial" w:hAnsi="Arial" w:cs="Arial"/>
          <w:bCs/>
          <w:szCs w:val="22"/>
        </w:rPr>
        <w:t xml:space="preserve"> conditions</w:t>
      </w:r>
      <w:r w:rsidRPr="003D507B">
        <w:rPr>
          <w:rFonts w:ascii="Arial" w:hAnsi="Arial" w:cs="Arial"/>
          <w:bCs/>
          <w:szCs w:val="22"/>
        </w:rPr>
        <w:t>, and lease-up</w:t>
      </w:r>
      <w:r>
        <w:rPr>
          <w:rFonts w:ascii="Arial" w:hAnsi="Arial" w:cs="Arial"/>
          <w:bCs/>
          <w:szCs w:val="22"/>
        </w:rPr>
        <w:t xml:space="preserve"> plan</w:t>
      </w:r>
      <w:r w:rsidRPr="003D507B">
        <w:rPr>
          <w:rFonts w:ascii="Arial" w:hAnsi="Arial" w:cs="Arial"/>
          <w:bCs/>
          <w:szCs w:val="22"/>
        </w:rPr>
        <w:t>, and summary of state and local taxes (and whether any exemptions are available given CRF is a government plan)</w:t>
      </w:r>
      <w:r>
        <w:rPr>
          <w:rFonts w:ascii="Arial" w:hAnsi="Arial" w:cs="Arial"/>
          <w:bCs/>
          <w:szCs w:val="22"/>
        </w:rPr>
        <w:t xml:space="preserve"> (collectively and individually the “Initial Post-Closing Deliverables”)</w:t>
      </w:r>
      <w:r w:rsidRPr="003D507B">
        <w:rPr>
          <w:rFonts w:ascii="Arial" w:hAnsi="Arial" w:cs="Arial"/>
          <w:bCs/>
          <w:szCs w:val="22"/>
        </w:rPr>
        <w:t>.</w:t>
      </w:r>
    </w:p>
    <w:p w14:paraId="502D394A" w14:textId="77777777" w:rsidR="00811D2C" w:rsidRPr="00FA1E36" w:rsidRDefault="00811D2C" w:rsidP="00811D2C">
      <w:pPr>
        <w:spacing w:line="259" w:lineRule="auto"/>
        <w:ind w:left="1080"/>
        <w:jc w:val="both"/>
        <w:rPr>
          <w:rFonts w:ascii="Arial" w:hAnsi="Arial" w:cs="Arial"/>
          <w:bCs/>
          <w:szCs w:val="22"/>
        </w:rPr>
      </w:pPr>
    </w:p>
    <w:p w14:paraId="71FBAEC9" w14:textId="77777777" w:rsidR="00811D2C" w:rsidRDefault="00811D2C" w:rsidP="00A91DCC">
      <w:pPr>
        <w:pStyle w:val="ListParagraph"/>
        <w:numPr>
          <w:ilvl w:val="0"/>
          <w:numId w:val="22"/>
        </w:numPr>
        <w:spacing w:after="120" w:line="259" w:lineRule="auto"/>
        <w:ind w:left="1440"/>
        <w:contextualSpacing w:val="0"/>
        <w:jc w:val="both"/>
        <w:rPr>
          <w:rFonts w:ascii="Arial" w:hAnsi="Arial" w:cs="Arial"/>
          <w:bCs/>
          <w:szCs w:val="22"/>
        </w:rPr>
      </w:pPr>
      <w:r>
        <w:rPr>
          <w:rFonts w:ascii="Arial" w:hAnsi="Arial" w:cs="Arial"/>
          <w:bCs/>
          <w:szCs w:val="22"/>
          <w:u w:val="single"/>
        </w:rPr>
        <w:t>Land Approval</w:t>
      </w:r>
    </w:p>
    <w:p w14:paraId="5F6D4C3B" w14:textId="77777777" w:rsidR="00811D2C" w:rsidRDefault="00811D2C" w:rsidP="00811D2C">
      <w:pPr>
        <w:spacing w:after="120" w:line="259" w:lineRule="auto"/>
        <w:ind w:left="1440"/>
        <w:jc w:val="both"/>
        <w:rPr>
          <w:rFonts w:ascii="Arial" w:hAnsi="Arial" w:cs="Arial"/>
          <w:bCs/>
          <w:szCs w:val="22"/>
        </w:rPr>
      </w:pPr>
      <w:r>
        <w:rPr>
          <w:rFonts w:ascii="Arial" w:hAnsi="Arial" w:cs="Arial"/>
          <w:bCs/>
          <w:szCs w:val="22"/>
        </w:rPr>
        <w:t xml:space="preserve">Upon satisfactory completion of due diligence and finalized negotiations with the land seller, BLP would notify CRF of its intent to close on the land </w:t>
      </w:r>
      <w:r w:rsidRPr="000E4840">
        <w:rPr>
          <w:rFonts w:ascii="Arial" w:hAnsi="Arial" w:cs="Arial"/>
          <w:bCs/>
          <w:szCs w:val="22"/>
        </w:rPr>
        <w:t>(“</w:t>
      </w:r>
      <w:r>
        <w:rPr>
          <w:rFonts w:ascii="Arial" w:hAnsi="Arial" w:cs="Arial"/>
          <w:bCs/>
          <w:szCs w:val="22"/>
        </w:rPr>
        <w:t xml:space="preserve">Recommendation </w:t>
      </w:r>
      <w:r w:rsidRPr="000E4840">
        <w:rPr>
          <w:rFonts w:ascii="Arial" w:hAnsi="Arial" w:cs="Arial"/>
          <w:bCs/>
          <w:szCs w:val="22"/>
        </w:rPr>
        <w:t>to Close</w:t>
      </w:r>
      <w:r>
        <w:rPr>
          <w:rFonts w:ascii="Arial" w:hAnsi="Arial" w:cs="Arial"/>
          <w:bCs/>
          <w:szCs w:val="22"/>
        </w:rPr>
        <w:t xml:space="preserve"> Land</w:t>
      </w:r>
      <w:r w:rsidRPr="000E4840">
        <w:rPr>
          <w:rFonts w:ascii="Arial" w:hAnsi="Arial" w:cs="Arial"/>
          <w:bCs/>
          <w:szCs w:val="22"/>
        </w:rPr>
        <w:t>”)</w:t>
      </w:r>
      <w:r>
        <w:rPr>
          <w:rFonts w:ascii="Arial" w:hAnsi="Arial" w:cs="Arial"/>
          <w:bCs/>
          <w:szCs w:val="22"/>
        </w:rPr>
        <w:t xml:space="preserve">, and Partnership Pursuit Costs would be trued up to Partnership </w:t>
      </w:r>
      <w:r w:rsidRPr="00FA1E36">
        <w:rPr>
          <w:rFonts w:ascii="Arial" w:hAnsi="Arial" w:cs="Arial"/>
          <w:bCs/>
          <w:szCs w:val="22"/>
        </w:rPr>
        <w:t>Interests.</w:t>
      </w:r>
      <w:r>
        <w:rPr>
          <w:rFonts w:ascii="Arial" w:hAnsi="Arial" w:cs="Arial"/>
          <w:bCs/>
          <w:szCs w:val="22"/>
        </w:rPr>
        <w:t xml:space="preserve"> CRF shall provide its approval or disapproval of the Recommendation to Close Land within 5 business days of receipt.</w:t>
      </w:r>
      <w:r w:rsidRPr="00FA1E36">
        <w:rPr>
          <w:rFonts w:ascii="Arial" w:hAnsi="Arial" w:cs="Arial"/>
          <w:bCs/>
          <w:szCs w:val="22"/>
        </w:rPr>
        <w:t xml:space="preserve"> The Recommendation to Close Land shall include, among other things: </w:t>
      </w:r>
    </w:p>
    <w:p w14:paraId="7F124CF8" w14:textId="77777777" w:rsidR="00811D2C" w:rsidRPr="00B46ED3" w:rsidRDefault="00811D2C" w:rsidP="00A91DCC">
      <w:pPr>
        <w:numPr>
          <w:ilvl w:val="0"/>
          <w:numId w:val="26"/>
        </w:numPr>
        <w:spacing w:after="120" w:line="259" w:lineRule="auto"/>
        <w:ind w:left="1800"/>
        <w:jc w:val="both"/>
        <w:rPr>
          <w:rFonts w:ascii="Arial" w:hAnsi="Arial" w:cs="Arial"/>
          <w:bCs/>
          <w:szCs w:val="22"/>
        </w:rPr>
      </w:pPr>
      <w:r w:rsidRPr="00B46ED3">
        <w:rPr>
          <w:rFonts w:ascii="Arial" w:hAnsi="Arial" w:cs="Arial"/>
          <w:bCs/>
          <w:szCs w:val="22"/>
        </w:rPr>
        <w:t xml:space="preserve">any memoranda or other information provided to BLP’s investment committee based upon which the investment committee has made the final decision to </w:t>
      </w:r>
      <w:proofErr w:type="gramStart"/>
      <w:r w:rsidRPr="00B46ED3">
        <w:rPr>
          <w:rFonts w:ascii="Arial" w:hAnsi="Arial" w:cs="Arial"/>
          <w:bCs/>
          <w:szCs w:val="22"/>
        </w:rPr>
        <w:t>proceed;</w:t>
      </w:r>
      <w:proofErr w:type="gramEnd"/>
      <w:r w:rsidRPr="00B46ED3">
        <w:rPr>
          <w:rFonts w:ascii="Arial" w:hAnsi="Arial" w:cs="Arial"/>
          <w:bCs/>
          <w:szCs w:val="22"/>
        </w:rPr>
        <w:t xml:space="preserve"> </w:t>
      </w:r>
    </w:p>
    <w:p w14:paraId="7C1FC89E" w14:textId="77777777" w:rsidR="00811D2C" w:rsidRPr="00B46ED3" w:rsidRDefault="00811D2C" w:rsidP="00A91DCC">
      <w:pPr>
        <w:numPr>
          <w:ilvl w:val="0"/>
          <w:numId w:val="26"/>
        </w:numPr>
        <w:spacing w:after="120" w:line="259" w:lineRule="auto"/>
        <w:ind w:left="1800"/>
        <w:jc w:val="both"/>
        <w:rPr>
          <w:rFonts w:ascii="Arial" w:hAnsi="Arial" w:cs="Arial"/>
          <w:bCs/>
          <w:szCs w:val="22"/>
        </w:rPr>
      </w:pPr>
      <w:r w:rsidRPr="00B46ED3">
        <w:rPr>
          <w:rFonts w:ascii="Arial" w:hAnsi="Arial" w:cs="Arial"/>
          <w:bCs/>
          <w:szCs w:val="22"/>
        </w:rPr>
        <w:t xml:space="preserve">the agreed upon Initial Post-Closing </w:t>
      </w:r>
      <w:proofErr w:type="gramStart"/>
      <w:r w:rsidRPr="00B46ED3">
        <w:rPr>
          <w:rFonts w:ascii="Arial" w:hAnsi="Arial" w:cs="Arial"/>
          <w:bCs/>
          <w:szCs w:val="22"/>
        </w:rPr>
        <w:t>Deliverables;</w:t>
      </w:r>
      <w:proofErr w:type="gramEnd"/>
      <w:r w:rsidRPr="00B46ED3">
        <w:rPr>
          <w:rFonts w:ascii="Arial" w:hAnsi="Arial" w:cs="Arial"/>
          <w:bCs/>
          <w:szCs w:val="22"/>
        </w:rPr>
        <w:t xml:space="preserve"> </w:t>
      </w:r>
    </w:p>
    <w:p w14:paraId="6A603F6B" w14:textId="77777777" w:rsidR="00811D2C" w:rsidRDefault="00811D2C" w:rsidP="00A91DCC">
      <w:pPr>
        <w:numPr>
          <w:ilvl w:val="0"/>
          <w:numId w:val="26"/>
        </w:numPr>
        <w:spacing w:after="120" w:line="259" w:lineRule="auto"/>
        <w:ind w:left="1800"/>
        <w:jc w:val="both"/>
        <w:rPr>
          <w:rFonts w:ascii="Arial" w:hAnsi="Arial" w:cs="Arial"/>
          <w:bCs/>
          <w:szCs w:val="22"/>
        </w:rPr>
      </w:pPr>
      <w:r>
        <w:rPr>
          <w:rFonts w:ascii="Arial" w:hAnsi="Arial" w:cs="Arial"/>
          <w:bCs/>
          <w:szCs w:val="22"/>
        </w:rPr>
        <w:t>an update</w:t>
      </w:r>
      <w:r w:rsidRPr="00FA1E36">
        <w:rPr>
          <w:rFonts w:ascii="Arial" w:hAnsi="Arial" w:cs="Arial"/>
          <w:bCs/>
          <w:szCs w:val="22"/>
        </w:rPr>
        <w:t xml:space="preserve"> by BLP to CRF and the Partnership </w:t>
      </w:r>
      <w:proofErr w:type="gramStart"/>
      <w:r>
        <w:rPr>
          <w:rFonts w:ascii="Arial" w:hAnsi="Arial" w:cs="Arial"/>
          <w:bCs/>
          <w:szCs w:val="22"/>
        </w:rPr>
        <w:t>with regard to</w:t>
      </w:r>
      <w:proofErr w:type="gramEnd"/>
      <w:r w:rsidRPr="00FA1E36">
        <w:rPr>
          <w:rFonts w:ascii="Arial" w:hAnsi="Arial" w:cs="Arial"/>
          <w:bCs/>
          <w:szCs w:val="22"/>
        </w:rPr>
        <w:t xml:space="preserve"> entitlements, including but not limited to the discretionary land use and density governmental approvals required to build the Approved Project, </w:t>
      </w:r>
      <w:r>
        <w:rPr>
          <w:rFonts w:ascii="Arial" w:hAnsi="Arial" w:cs="Arial"/>
          <w:bCs/>
          <w:szCs w:val="22"/>
        </w:rPr>
        <w:t>if applicable</w:t>
      </w:r>
      <w:r w:rsidRPr="00FA1E36">
        <w:rPr>
          <w:rFonts w:ascii="Arial" w:hAnsi="Arial" w:cs="Arial"/>
          <w:bCs/>
          <w:szCs w:val="22"/>
        </w:rPr>
        <w:t xml:space="preserve">; and </w:t>
      </w:r>
    </w:p>
    <w:p w14:paraId="096DECFA" w14:textId="77777777" w:rsidR="00811D2C" w:rsidRDefault="00811D2C" w:rsidP="00A91DCC">
      <w:pPr>
        <w:numPr>
          <w:ilvl w:val="0"/>
          <w:numId w:val="26"/>
        </w:numPr>
        <w:spacing w:after="120" w:line="259" w:lineRule="auto"/>
        <w:ind w:left="1800"/>
        <w:jc w:val="both"/>
        <w:rPr>
          <w:rFonts w:ascii="Arial" w:hAnsi="Arial" w:cs="Arial"/>
          <w:bCs/>
          <w:szCs w:val="22"/>
        </w:rPr>
      </w:pPr>
      <w:bookmarkStart w:id="58" w:name="_Hlk167274032"/>
      <w:r w:rsidRPr="00FA1E36">
        <w:rPr>
          <w:rFonts w:ascii="Arial" w:hAnsi="Arial" w:cs="Arial"/>
          <w:bCs/>
          <w:szCs w:val="22"/>
        </w:rPr>
        <w:t xml:space="preserve">a certification by BLP to CRF and the Partnership that: </w:t>
      </w:r>
      <w:bookmarkEnd w:id="58"/>
    </w:p>
    <w:p w14:paraId="5928E505" w14:textId="77777777" w:rsidR="00811D2C" w:rsidRDefault="00811D2C" w:rsidP="00A91DCC">
      <w:pPr>
        <w:pStyle w:val="ListParagraph"/>
        <w:numPr>
          <w:ilvl w:val="0"/>
          <w:numId w:val="23"/>
        </w:numPr>
        <w:spacing w:after="120" w:line="259" w:lineRule="auto"/>
        <w:contextualSpacing w:val="0"/>
        <w:jc w:val="both"/>
        <w:rPr>
          <w:rFonts w:ascii="Arial" w:hAnsi="Arial" w:cs="Arial"/>
          <w:bCs/>
          <w:szCs w:val="22"/>
        </w:rPr>
      </w:pPr>
      <w:r w:rsidRPr="00483B0B">
        <w:rPr>
          <w:rFonts w:ascii="Arial" w:hAnsi="Arial" w:cs="Arial"/>
          <w:bCs/>
          <w:szCs w:val="22"/>
        </w:rPr>
        <w:t xml:space="preserve">the Approved Project meets a minimum gross IRR of 9% over the Initial Term, </w:t>
      </w:r>
    </w:p>
    <w:p w14:paraId="10E6E57C" w14:textId="77777777" w:rsidR="00811D2C" w:rsidRDefault="00811D2C" w:rsidP="00A91DCC">
      <w:pPr>
        <w:pStyle w:val="ListParagraph"/>
        <w:numPr>
          <w:ilvl w:val="0"/>
          <w:numId w:val="23"/>
        </w:numPr>
        <w:spacing w:after="120" w:line="259" w:lineRule="auto"/>
        <w:contextualSpacing w:val="0"/>
        <w:jc w:val="both"/>
        <w:rPr>
          <w:rFonts w:ascii="Arial" w:hAnsi="Arial" w:cs="Arial"/>
          <w:bCs/>
          <w:szCs w:val="22"/>
        </w:rPr>
      </w:pPr>
      <w:r w:rsidRPr="00483B0B">
        <w:rPr>
          <w:rFonts w:ascii="Arial" w:hAnsi="Arial" w:cs="Arial"/>
          <w:bCs/>
          <w:szCs w:val="22"/>
        </w:rPr>
        <w:t xml:space="preserve">the un-trended ROC presented in the Investment Proposal has not been negatively impacted by more than 0.50%, and </w:t>
      </w:r>
    </w:p>
    <w:p w14:paraId="04FE7269" w14:textId="77777777" w:rsidR="00811D2C" w:rsidRPr="00483B0B" w:rsidRDefault="00811D2C" w:rsidP="00A91DCC">
      <w:pPr>
        <w:pStyle w:val="ListParagraph"/>
        <w:numPr>
          <w:ilvl w:val="0"/>
          <w:numId w:val="23"/>
        </w:numPr>
        <w:spacing w:line="259" w:lineRule="auto"/>
        <w:contextualSpacing w:val="0"/>
        <w:jc w:val="both"/>
        <w:rPr>
          <w:rFonts w:ascii="Arial" w:hAnsi="Arial" w:cs="Arial"/>
          <w:bCs/>
          <w:szCs w:val="22"/>
        </w:rPr>
      </w:pPr>
      <w:r w:rsidRPr="00483B0B">
        <w:rPr>
          <w:rFonts w:ascii="Arial" w:hAnsi="Arial" w:cs="Arial"/>
          <w:bCs/>
          <w:szCs w:val="22"/>
        </w:rPr>
        <w:t xml:space="preserve">there have been no identified potential construction delays of more than six (6) months. </w:t>
      </w:r>
    </w:p>
    <w:p w14:paraId="3077C7A4" w14:textId="77777777" w:rsidR="00811D2C" w:rsidRDefault="00811D2C" w:rsidP="00811D2C">
      <w:pPr>
        <w:spacing w:line="259" w:lineRule="auto"/>
        <w:jc w:val="both"/>
        <w:rPr>
          <w:rFonts w:ascii="Arial" w:hAnsi="Arial" w:cs="Arial"/>
          <w:bCs/>
          <w:szCs w:val="22"/>
        </w:rPr>
      </w:pPr>
    </w:p>
    <w:p w14:paraId="7E329978" w14:textId="77777777" w:rsidR="00811D2C" w:rsidRDefault="00811D2C" w:rsidP="00811D2C">
      <w:pPr>
        <w:spacing w:line="259" w:lineRule="auto"/>
        <w:ind w:left="1440"/>
        <w:jc w:val="both"/>
        <w:rPr>
          <w:rFonts w:ascii="Arial" w:hAnsi="Arial" w:cs="Arial"/>
          <w:bCs/>
          <w:szCs w:val="22"/>
        </w:rPr>
      </w:pPr>
      <w:r w:rsidRPr="00FA1E36">
        <w:rPr>
          <w:rFonts w:ascii="Arial" w:hAnsi="Arial" w:cs="Arial"/>
          <w:bCs/>
          <w:szCs w:val="22"/>
        </w:rPr>
        <w:t xml:space="preserve">In the event BLP cannot provide the certificate described in </w:t>
      </w:r>
      <w:r>
        <w:rPr>
          <w:rFonts w:ascii="Arial" w:hAnsi="Arial" w:cs="Arial"/>
          <w:bCs/>
          <w:szCs w:val="22"/>
        </w:rPr>
        <w:t>subsection 3</w:t>
      </w:r>
      <w:r w:rsidRPr="00FA1E36">
        <w:rPr>
          <w:rFonts w:ascii="Arial" w:hAnsi="Arial" w:cs="Arial"/>
          <w:bCs/>
          <w:szCs w:val="22"/>
        </w:rPr>
        <w:t>(</w:t>
      </w:r>
      <w:r>
        <w:rPr>
          <w:rFonts w:ascii="Arial" w:hAnsi="Arial" w:cs="Arial"/>
          <w:bCs/>
          <w:szCs w:val="22"/>
        </w:rPr>
        <w:t>d</w:t>
      </w:r>
      <w:r w:rsidRPr="00FA1E36">
        <w:rPr>
          <w:rFonts w:ascii="Arial" w:hAnsi="Arial" w:cs="Arial"/>
          <w:bCs/>
          <w:szCs w:val="22"/>
        </w:rPr>
        <w:t xml:space="preserve">) </w:t>
      </w:r>
      <w:r>
        <w:rPr>
          <w:rFonts w:ascii="Arial" w:hAnsi="Arial" w:cs="Arial"/>
          <w:bCs/>
          <w:szCs w:val="22"/>
        </w:rPr>
        <w:t>abo</w:t>
      </w:r>
      <w:r w:rsidRPr="00FA1E36">
        <w:rPr>
          <w:rFonts w:ascii="Arial" w:hAnsi="Arial" w:cs="Arial"/>
          <w:bCs/>
          <w:szCs w:val="22"/>
        </w:rPr>
        <w:t>ve</w:t>
      </w:r>
      <w:r>
        <w:rPr>
          <w:rFonts w:ascii="Arial" w:hAnsi="Arial" w:cs="Arial"/>
          <w:bCs/>
          <w:szCs w:val="22"/>
        </w:rPr>
        <w:t xml:space="preserve">, </w:t>
      </w:r>
      <w:r w:rsidRPr="00FA1E36">
        <w:rPr>
          <w:rFonts w:ascii="Arial" w:hAnsi="Arial" w:cs="Arial"/>
          <w:bCs/>
          <w:szCs w:val="22"/>
        </w:rPr>
        <w:t xml:space="preserve">it would </w:t>
      </w:r>
      <w:r>
        <w:rPr>
          <w:rFonts w:ascii="Arial" w:hAnsi="Arial" w:cs="Arial"/>
          <w:bCs/>
          <w:szCs w:val="22"/>
        </w:rPr>
        <w:t xml:space="preserve">be </w:t>
      </w:r>
      <w:r w:rsidRPr="00FA1E36">
        <w:rPr>
          <w:rFonts w:ascii="Arial" w:hAnsi="Arial" w:cs="Arial"/>
          <w:bCs/>
          <w:szCs w:val="22"/>
        </w:rPr>
        <w:t>a “Material Change” and CRF may terminate the Approved Project and Partnership Pursuit Costs would be funded by the Partnership based on the Partners’ 50/50 cost-sharing ratio.</w:t>
      </w:r>
    </w:p>
    <w:p w14:paraId="763687F4" w14:textId="77777777" w:rsidR="00811D2C" w:rsidRPr="00FA1E36" w:rsidRDefault="00811D2C" w:rsidP="00811D2C">
      <w:pPr>
        <w:spacing w:line="259" w:lineRule="auto"/>
        <w:ind w:left="1080"/>
        <w:jc w:val="both"/>
        <w:rPr>
          <w:rFonts w:ascii="Arial" w:hAnsi="Arial" w:cs="Arial"/>
          <w:bCs/>
          <w:szCs w:val="22"/>
        </w:rPr>
      </w:pPr>
    </w:p>
    <w:p w14:paraId="250A831E" w14:textId="77777777" w:rsidR="00811D2C" w:rsidRDefault="00811D2C" w:rsidP="00A91DCC">
      <w:pPr>
        <w:pStyle w:val="ListParagraph"/>
        <w:numPr>
          <w:ilvl w:val="0"/>
          <w:numId w:val="22"/>
        </w:numPr>
        <w:spacing w:after="120" w:line="259" w:lineRule="auto"/>
        <w:ind w:left="1440"/>
        <w:contextualSpacing w:val="0"/>
        <w:jc w:val="both"/>
        <w:rPr>
          <w:rStyle w:val="bumpedfont15"/>
          <w:rFonts w:ascii="Arial" w:hAnsi="Arial" w:cs="Arial"/>
          <w:szCs w:val="22"/>
        </w:rPr>
      </w:pPr>
      <w:r>
        <w:rPr>
          <w:rStyle w:val="bumpedfont15"/>
          <w:rFonts w:ascii="Arial" w:hAnsi="Arial" w:cs="Arial"/>
          <w:szCs w:val="22"/>
          <w:u w:val="single"/>
        </w:rPr>
        <w:t>Construction Approval</w:t>
      </w:r>
    </w:p>
    <w:p w14:paraId="1F54E9E5" w14:textId="77777777" w:rsidR="00811D2C" w:rsidRDefault="00811D2C" w:rsidP="00811D2C">
      <w:pPr>
        <w:spacing w:after="120" w:line="259" w:lineRule="auto"/>
        <w:ind w:left="1440"/>
        <w:jc w:val="both"/>
        <w:rPr>
          <w:rFonts w:ascii="Arial" w:hAnsi="Arial" w:cs="Arial"/>
          <w:bCs/>
          <w:szCs w:val="22"/>
        </w:rPr>
      </w:pPr>
      <w:r w:rsidRPr="00C659FE">
        <w:rPr>
          <w:rFonts w:ascii="Arial" w:hAnsi="Arial" w:cs="Arial"/>
          <w:bCs/>
          <w:szCs w:val="22"/>
        </w:rPr>
        <w:t xml:space="preserve">If the Approved Project continues to be suitable for investment by the Partnership after </w:t>
      </w:r>
      <w:r>
        <w:rPr>
          <w:rFonts w:ascii="Arial" w:hAnsi="Arial" w:cs="Arial"/>
          <w:bCs/>
          <w:szCs w:val="22"/>
        </w:rPr>
        <w:t>L</w:t>
      </w:r>
      <w:r w:rsidRPr="00C659FE">
        <w:rPr>
          <w:rFonts w:ascii="Arial" w:hAnsi="Arial" w:cs="Arial"/>
          <w:bCs/>
          <w:szCs w:val="22"/>
        </w:rPr>
        <w:t xml:space="preserve">and </w:t>
      </w:r>
      <w:r>
        <w:rPr>
          <w:rFonts w:ascii="Arial" w:hAnsi="Arial" w:cs="Arial"/>
          <w:bCs/>
          <w:szCs w:val="22"/>
        </w:rPr>
        <w:t>Acquisition</w:t>
      </w:r>
      <w:r w:rsidRPr="00C659FE">
        <w:rPr>
          <w:rFonts w:ascii="Arial" w:hAnsi="Arial" w:cs="Arial"/>
          <w:bCs/>
          <w:szCs w:val="22"/>
        </w:rPr>
        <w:t xml:space="preserve">, BLP shall submit to CRF a written recommendation to commence construction on the Approved Project (a “Recommendation to Commence Construction”) </w:t>
      </w:r>
      <w:r w:rsidRPr="00C659FE">
        <w:rPr>
          <w:rFonts w:ascii="Arial" w:hAnsi="Arial" w:cs="Arial"/>
          <w:bCs/>
          <w:szCs w:val="22"/>
        </w:rPr>
        <w:lastRenderedPageBreak/>
        <w:t>at least thirty (30) days prior to the scheduled date of Construction Commencement. The Recommendation to Commence Construction shall include:</w:t>
      </w:r>
    </w:p>
    <w:p w14:paraId="179DC16C" w14:textId="77777777" w:rsidR="00811D2C" w:rsidRPr="009B5C58" w:rsidRDefault="00811D2C" w:rsidP="00A91DCC">
      <w:pPr>
        <w:numPr>
          <w:ilvl w:val="0"/>
          <w:numId w:val="25"/>
        </w:numPr>
        <w:spacing w:after="120" w:line="259" w:lineRule="auto"/>
        <w:ind w:left="1800"/>
        <w:jc w:val="both"/>
        <w:rPr>
          <w:rFonts w:ascii="Arial" w:hAnsi="Arial" w:cs="Arial"/>
          <w:bCs/>
          <w:szCs w:val="22"/>
        </w:rPr>
      </w:pPr>
      <w:r w:rsidRPr="009B5C58">
        <w:rPr>
          <w:rFonts w:ascii="Arial" w:hAnsi="Arial" w:cs="Arial"/>
          <w:bCs/>
          <w:szCs w:val="22"/>
        </w:rPr>
        <w:t xml:space="preserve">a draft Guaranteed Maximum Price Contract (“GMAX Contract”), including a summary of all key </w:t>
      </w:r>
      <w:proofErr w:type="gramStart"/>
      <w:r w:rsidRPr="009B5C58">
        <w:rPr>
          <w:rFonts w:ascii="Arial" w:hAnsi="Arial" w:cs="Arial"/>
          <w:bCs/>
          <w:szCs w:val="22"/>
        </w:rPr>
        <w:t>terms;</w:t>
      </w:r>
      <w:proofErr w:type="gramEnd"/>
    </w:p>
    <w:p w14:paraId="1A120DCD" w14:textId="77777777" w:rsidR="00811D2C" w:rsidRPr="009B5C58" w:rsidRDefault="00811D2C" w:rsidP="00A91DCC">
      <w:pPr>
        <w:numPr>
          <w:ilvl w:val="0"/>
          <w:numId w:val="25"/>
        </w:numPr>
        <w:spacing w:after="120" w:line="259" w:lineRule="auto"/>
        <w:ind w:left="1800"/>
        <w:jc w:val="both"/>
        <w:rPr>
          <w:rFonts w:ascii="Arial" w:hAnsi="Arial" w:cs="Arial"/>
          <w:bCs/>
          <w:szCs w:val="22"/>
        </w:rPr>
      </w:pPr>
      <w:r>
        <w:rPr>
          <w:rFonts w:ascii="Arial" w:hAnsi="Arial" w:cs="Arial"/>
          <w:bCs/>
          <w:szCs w:val="22"/>
        </w:rPr>
        <w:t>indicative</w:t>
      </w:r>
      <w:r w:rsidRPr="009B5C58">
        <w:rPr>
          <w:rFonts w:ascii="Arial" w:hAnsi="Arial" w:cs="Arial"/>
          <w:bCs/>
          <w:szCs w:val="22"/>
        </w:rPr>
        <w:t xml:space="preserve"> construction financing </w:t>
      </w:r>
      <w:proofErr w:type="gramStart"/>
      <w:r w:rsidRPr="009B5C58">
        <w:rPr>
          <w:rFonts w:ascii="Arial" w:hAnsi="Arial" w:cs="Arial"/>
          <w:bCs/>
          <w:szCs w:val="22"/>
        </w:rPr>
        <w:t>terms;</w:t>
      </w:r>
      <w:proofErr w:type="gramEnd"/>
    </w:p>
    <w:p w14:paraId="41A8227A" w14:textId="77777777" w:rsidR="00811D2C" w:rsidRPr="009B5C58" w:rsidRDefault="00811D2C" w:rsidP="00A91DCC">
      <w:pPr>
        <w:numPr>
          <w:ilvl w:val="0"/>
          <w:numId w:val="25"/>
        </w:numPr>
        <w:spacing w:after="120" w:line="259" w:lineRule="auto"/>
        <w:ind w:left="1800"/>
        <w:jc w:val="both"/>
        <w:rPr>
          <w:rFonts w:ascii="Arial" w:hAnsi="Arial" w:cs="Arial"/>
          <w:bCs/>
          <w:szCs w:val="22"/>
        </w:rPr>
      </w:pPr>
      <w:r w:rsidRPr="009B5C58">
        <w:rPr>
          <w:rFonts w:ascii="Arial" w:hAnsi="Arial" w:cs="Arial"/>
          <w:bCs/>
          <w:szCs w:val="22"/>
        </w:rPr>
        <w:t xml:space="preserve">updated project plans; and </w:t>
      </w:r>
    </w:p>
    <w:p w14:paraId="6A3F7437" w14:textId="77777777" w:rsidR="00811D2C" w:rsidRPr="009B5C58" w:rsidRDefault="00811D2C" w:rsidP="00A91DCC">
      <w:pPr>
        <w:numPr>
          <w:ilvl w:val="0"/>
          <w:numId w:val="25"/>
        </w:numPr>
        <w:spacing w:after="120" w:line="259" w:lineRule="auto"/>
        <w:ind w:left="1800"/>
        <w:jc w:val="both"/>
        <w:rPr>
          <w:rFonts w:ascii="Arial" w:hAnsi="Arial" w:cs="Arial"/>
          <w:bCs/>
          <w:szCs w:val="22"/>
        </w:rPr>
      </w:pPr>
      <w:r w:rsidRPr="009B5C58">
        <w:rPr>
          <w:rFonts w:ascii="Arial" w:hAnsi="Arial" w:cs="Arial"/>
          <w:bCs/>
          <w:szCs w:val="22"/>
        </w:rPr>
        <w:t xml:space="preserve">a certification by BLP to CRF and the Partnership that: </w:t>
      </w:r>
    </w:p>
    <w:p w14:paraId="1F5A5047" w14:textId="77777777" w:rsidR="00811D2C" w:rsidRPr="009B5C58" w:rsidRDefault="00811D2C" w:rsidP="00A91DCC">
      <w:pPr>
        <w:pStyle w:val="ListParagraph"/>
        <w:numPr>
          <w:ilvl w:val="0"/>
          <w:numId w:val="24"/>
        </w:numPr>
        <w:spacing w:after="120" w:line="259" w:lineRule="auto"/>
        <w:contextualSpacing w:val="0"/>
        <w:jc w:val="both"/>
        <w:rPr>
          <w:rFonts w:ascii="Arial" w:hAnsi="Arial" w:cs="Arial"/>
          <w:bCs/>
          <w:szCs w:val="22"/>
        </w:rPr>
      </w:pPr>
      <w:r w:rsidRPr="009B5C58">
        <w:rPr>
          <w:rFonts w:ascii="Arial" w:hAnsi="Arial" w:cs="Arial"/>
          <w:bCs/>
          <w:szCs w:val="22"/>
        </w:rPr>
        <w:t xml:space="preserve">the land closing has occurred, </w:t>
      </w:r>
    </w:p>
    <w:p w14:paraId="66C675A7" w14:textId="77777777" w:rsidR="00811D2C" w:rsidRPr="009B5C58" w:rsidRDefault="00811D2C" w:rsidP="00A91DCC">
      <w:pPr>
        <w:pStyle w:val="ListParagraph"/>
        <w:numPr>
          <w:ilvl w:val="0"/>
          <w:numId w:val="24"/>
        </w:numPr>
        <w:spacing w:after="120" w:line="259" w:lineRule="auto"/>
        <w:contextualSpacing w:val="0"/>
        <w:jc w:val="both"/>
        <w:rPr>
          <w:rFonts w:ascii="Arial" w:hAnsi="Arial" w:cs="Arial"/>
          <w:bCs/>
          <w:szCs w:val="22"/>
        </w:rPr>
      </w:pPr>
      <w:r w:rsidRPr="009B5C58">
        <w:rPr>
          <w:rFonts w:ascii="Arial" w:hAnsi="Arial" w:cs="Arial"/>
          <w:bCs/>
          <w:szCs w:val="22"/>
        </w:rPr>
        <w:t xml:space="preserve">BLP’s investment committee has approved acquisition and development of the Approved Project in accordance with the materials provided to CRF, </w:t>
      </w:r>
    </w:p>
    <w:p w14:paraId="669C7AE8" w14:textId="77777777" w:rsidR="00811D2C" w:rsidRPr="009B5C58" w:rsidRDefault="00811D2C" w:rsidP="00A91DCC">
      <w:pPr>
        <w:pStyle w:val="ListParagraph"/>
        <w:numPr>
          <w:ilvl w:val="0"/>
          <w:numId w:val="24"/>
        </w:numPr>
        <w:spacing w:after="120" w:line="259" w:lineRule="auto"/>
        <w:contextualSpacing w:val="0"/>
        <w:jc w:val="both"/>
        <w:rPr>
          <w:rFonts w:ascii="Arial" w:hAnsi="Arial" w:cs="Arial"/>
          <w:bCs/>
          <w:szCs w:val="22"/>
        </w:rPr>
      </w:pPr>
      <w:r w:rsidRPr="009B5C58">
        <w:rPr>
          <w:rFonts w:ascii="Arial" w:hAnsi="Arial" w:cs="Arial"/>
          <w:bCs/>
          <w:szCs w:val="22"/>
        </w:rPr>
        <w:t xml:space="preserve">except to the extent otherwise provided in the Recommendation to Commence Construction, there has not been a Material Change, or changes in the structure of the transaction, economics (current or projected), or physical condition of the Approved Project, and </w:t>
      </w:r>
    </w:p>
    <w:p w14:paraId="1C23FE0F" w14:textId="77777777" w:rsidR="00811D2C" w:rsidRDefault="00811D2C" w:rsidP="00A91DCC">
      <w:pPr>
        <w:pStyle w:val="ListParagraph"/>
        <w:numPr>
          <w:ilvl w:val="0"/>
          <w:numId w:val="24"/>
        </w:numPr>
        <w:spacing w:line="259" w:lineRule="auto"/>
        <w:contextualSpacing w:val="0"/>
        <w:jc w:val="both"/>
        <w:rPr>
          <w:rFonts w:ascii="Arial" w:hAnsi="Arial" w:cs="Arial"/>
          <w:bCs/>
          <w:szCs w:val="22"/>
        </w:rPr>
      </w:pPr>
      <w:r w:rsidRPr="00483B0B">
        <w:rPr>
          <w:rFonts w:ascii="Arial" w:hAnsi="Arial" w:cs="Arial"/>
          <w:bCs/>
          <w:szCs w:val="22"/>
        </w:rPr>
        <w:t xml:space="preserve">except to the extent otherwise provided in the Recommendation to Commence Construction, the information contained in and disclosed by the Recommendation to Close Land, the investment materials provided remain true, </w:t>
      </w:r>
      <w:proofErr w:type="gramStart"/>
      <w:r w:rsidRPr="00483B0B">
        <w:rPr>
          <w:rFonts w:ascii="Arial" w:hAnsi="Arial" w:cs="Arial"/>
          <w:bCs/>
          <w:szCs w:val="22"/>
        </w:rPr>
        <w:t>complete</w:t>
      </w:r>
      <w:proofErr w:type="gramEnd"/>
      <w:r w:rsidRPr="00483B0B">
        <w:rPr>
          <w:rFonts w:ascii="Arial" w:hAnsi="Arial" w:cs="Arial"/>
          <w:bCs/>
          <w:szCs w:val="22"/>
        </w:rPr>
        <w:t xml:space="preserve"> and correct as of the date of the Recommendation to Commence Construction. </w:t>
      </w:r>
    </w:p>
    <w:p w14:paraId="2BD64EE1" w14:textId="77777777" w:rsidR="00811D2C" w:rsidRPr="00483B0B" w:rsidRDefault="00811D2C" w:rsidP="00811D2C">
      <w:pPr>
        <w:pStyle w:val="ListParagraph"/>
        <w:rPr>
          <w:rFonts w:ascii="Arial" w:hAnsi="Arial" w:cs="Arial"/>
          <w:bCs/>
          <w:szCs w:val="22"/>
        </w:rPr>
      </w:pPr>
    </w:p>
    <w:p w14:paraId="579CE7E0" w14:textId="77777777" w:rsidR="00811D2C" w:rsidRPr="00783034" w:rsidRDefault="00811D2C" w:rsidP="00811D2C">
      <w:pPr>
        <w:tabs>
          <w:tab w:val="left" w:pos="720"/>
        </w:tabs>
        <w:spacing w:line="259" w:lineRule="auto"/>
        <w:ind w:left="720"/>
        <w:jc w:val="both"/>
        <w:rPr>
          <w:rFonts w:ascii="Arial" w:hAnsi="Arial" w:cs="Arial"/>
          <w:szCs w:val="22"/>
        </w:rPr>
      </w:pPr>
      <w:r w:rsidRPr="00783034">
        <w:rPr>
          <w:rFonts w:ascii="Arial" w:hAnsi="Arial" w:cs="Arial"/>
          <w:szCs w:val="22"/>
        </w:rPr>
        <w:t>CRF shall advise BLP within this thirty (30) day period whether it approves proceeding with the Approved Project (the “Construction Approval”). CRF’s failure to issue a Construction Approval shall be deemed to be a disapproval of the Approved Project proceeding.</w:t>
      </w:r>
    </w:p>
    <w:p w14:paraId="397869EC" w14:textId="77777777" w:rsidR="00811D2C" w:rsidRPr="00783034" w:rsidRDefault="00811D2C" w:rsidP="00811D2C">
      <w:pPr>
        <w:tabs>
          <w:tab w:val="left" w:pos="720"/>
        </w:tabs>
        <w:spacing w:line="259" w:lineRule="auto"/>
        <w:ind w:left="720"/>
        <w:jc w:val="both"/>
        <w:rPr>
          <w:rFonts w:ascii="Arial" w:hAnsi="Arial" w:cs="Arial"/>
          <w:szCs w:val="22"/>
        </w:rPr>
      </w:pPr>
    </w:p>
    <w:p w14:paraId="5B844BA3" w14:textId="77777777" w:rsidR="00811D2C" w:rsidRDefault="00811D2C" w:rsidP="00811D2C">
      <w:pPr>
        <w:tabs>
          <w:tab w:val="left" w:pos="720"/>
        </w:tabs>
        <w:spacing w:line="259" w:lineRule="auto"/>
        <w:ind w:left="720"/>
        <w:jc w:val="both"/>
        <w:rPr>
          <w:rFonts w:ascii="Arial" w:hAnsi="Arial" w:cs="Arial"/>
          <w:szCs w:val="22"/>
        </w:rPr>
      </w:pPr>
      <w:r w:rsidRPr="00561654">
        <w:rPr>
          <w:rFonts w:ascii="Arial" w:hAnsi="Arial" w:cs="Arial"/>
          <w:szCs w:val="22"/>
        </w:rPr>
        <w:t xml:space="preserve">CRF will have sole discretion to terminate its participation at any time prior to the issuance of the Construction Approval. In the event CRF terminates the Approved Project as provided in this Section, CRF will reimburse BLP for 100% of Land Acquisition and Partnership Pursuit Costs for such formerly Approved Project. BLP shall have the right to pursue such formerly Approved Project with another partner for six (6) months of CRF’s decision not to pursue. In such an event, BLP shall reimburse CRF for the Land Acquisition and Partnership Pursuit Costs within thirty (30) days of </w:t>
      </w:r>
      <w:r>
        <w:rPr>
          <w:rFonts w:ascii="Arial" w:hAnsi="Arial" w:cs="Arial"/>
          <w:szCs w:val="22"/>
        </w:rPr>
        <w:t>the closing of the transfer of the Approved Project out of the Partnership</w:t>
      </w:r>
      <w:r w:rsidRPr="00561654">
        <w:rPr>
          <w:rFonts w:ascii="Arial" w:hAnsi="Arial" w:cs="Arial"/>
          <w:szCs w:val="22"/>
        </w:rPr>
        <w:t xml:space="preserve">. In the event BLP does not proceed with another partner, the formerly Approved Project would be </w:t>
      </w:r>
      <w:proofErr w:type="gramStart"/>
      <w:r w:rsidRPr="00561654">
        <w:rPr>
          <w:rFonts w:ascii="Arial" w:hAnsi="Arial" w:cs="Arial"/>
          <w:szCs w:val="22"/>
        </w:rPr>
        <w:t>sold</w:t>
      </w:r>
      <w:proofErr w:type="gramEnd"/>
      <w:r w:rsidRPr="00561654">
        <w:rPr>
          <w:rFonts w:ascii="Arial" w:hAnsi="Arial" w:cs="Arial"/>
          <w:szCs w:val="22"/>
        </w:rPr>
        <w:t xml:space="preserve"> and the available proceeds would reimburse CRF</w:t>
      </w:r>
      <w:r>
        <w:rPr>
          <w:rFonts w:ascii="Arial" w:hAnsi="Arial" w:cs="Arial"/>
          <w:szCs w:val="22"/>
        </w:rPr>
        <w:t xml:space="preserve"> (with any excess proceeds being allocated 50/50 among the Partners)</w:t>
      </w:r>
      <w:r w:rsidRPr="00561654">
        <w:rPr>
          <w:rFonts w:ascii="Arial" w:hAnsi="Arial" w:cs="Arial"/>
          <w:szCs w:val="22"/>
        </w:rPr>
        <w:t xml:space="preserve">. </w:t>
      </w:r>
    </w:p>
    <w:p w14:paraId="315F461D" w14:textId="77777777" w:rsidR="00251EBE" w:rsidRDefault="00251EBE" w:rsidP="00811D2C">
      <w:pPr>
        <w:tabs>
          <w:tab w:val="left" w:pos="720"/>
        </w:tabs>
        <w:spacing w:line="259" w:lineRule="auto"/>
        <w:ind w:left="720"/>
        <w:jc w:val="both"/>
        <w:rPr>
          <w:rFonts w:ascii="Arial" w:hAnsi="Arial" w:cs="Arial"/>
          <w:szCs w:val="22"/>
        </w:rPr>
        <w:sectPr w:rsidR="00251EBE" w:rsidSect="006F6806">
          <w:pgSz w:w="12240" w:h="15840" w:code="1"/>
          <w:pgMar w:top="864" w:right="1152" w:bottom="720" w:left="1152" w:header="576" w:footer="965" w:gutter="0"/>
          <w:cols w:space="720"/>
          <w:docGrid w:linePitch="299"/>
        </w:sectPr>
      </w:pPr>
    </w:p>
    <w:p w14:paraId="4FFC3EBC" w14:textId="7D883395" w:rsidR="00251EBE" w:rsidRDefault="00251EBE" w:rsidP="00251EBE">
      <w:pPr>
        <w:pStyle w:val="BodyText"/>
        <w:spacing w:before="0"/>
        <w:ind w:firstLine="0"/>
        <w:rPr>
          <w:b/>
          <w:color w:val="003A5D"/>
          <w:sz w:val="24"/>
        </w:rPr>
      </w:pPr>
      <w:r w:rsidRPr="00A1156B">
        <w:rPr>
          <w:b/>
          <w:color w:val="003A5D"/>
          <w:sz w:val="24"/>
        </w:rPr>
        <w:lastRenderedPageBreak/>
        <w:t xml:space="preserve">EXHIBIT </w:t>
      </w:r>
      <w:r w:rsidR="004B6D52">
        <w:rPr>
          <w:b/>
          <w:color w:val="003A5D"/>
          <w:sz w:val="24"/>
        </w:rPr>
        <w:t>G</w:t>
      </w:r>
      <w:r>
        <w:rPr>
          <w:b/>
          <w:color w:val="003A5D"/>
          <w:sz w:val="24"/>
        </w:rPr>
        <w:t xml:space="preserve">: </w:t>
      </w:r>
      <w:r w:rsidR="00EE014D">
        <w:rPr>
          <w:b/>
          <w:color w:val="003A5D"/>
          <w:sz w:val="24"/>
        </w:rPr>
        <w:t>Affiliate Fees</w:t>
      </w:r>
    </w:p>
    <w:p w14:paraId="2305F0CA" w14:textId="77777777" w:rsidR="00251EBE" w:rsidRDefault="00251EBE" w:rsidP="00251EBE">
      <w:pPr>
        <w:pStyle w:val="BodyText"/>
        <w:spacing w:before="0"/>
        <w:ind w:firstLine="0"/>
        <w:rPr>
          <w:b/>
          <w:color w:val="003A5D"/>
          <w:sz w:val="24"/>
        </w:rPr>
      </w:pPr>
    </w:p>
    <w:p w14:paraId="5862245F" w14:textId="77777777" w:rsidR="00C52F24" w:rsidRPr="00E2335A" w:rsidRDefault="00C52F24" w:rsidP="00C52F24">
      <w:pPr>
        <w:tabs>
          <w:tab w:val="left" w:pos="720"/>
        </w:tabs>
        <w:spacing w:after="120" w:line="259" w:lineRule="auto"/>
        <w:jc w:val="both"/>
        <w:rPr>
          <w:rFonts w:ascii="Arial" w:hAnsi="Arial" w:cs="Arial"/>
          <w:b/>
          <w:szCs w:val="22"/>
        </w:rPr>
      </w:pPr>
      <w:r w:rsidRPr="000A12C7">
        <w:rPr>
          <w:rFonts w:ascii="Arial" w:hAnsi="Arial" w:cs="Arial"/>
          <w:b/>
          <w:bCs/>
          <w:szCs w:val="22"/>
        </w:rPr>
        <w:t>Services and Fees</w:t>
      </w:r>
    </w:p>
    <w:p w14:paraId="481A3750" w14:textId="77777777" w:rsidR="00C52F24" w:rsidRPr="00F74C60" w:rsidRDefault="00C52F24" w:rsidP="00C52F24">
      <w:pPr>
        <w:spacing w:after="120" w:line="259" w:lineRule="auto"/>
        <w:jc w:val="both"/>
        <w:rPr>
          <w:rFonts w:ascii="Arial" w:hAnsi="Arial" w:cs="Arial"/>
          <w:szCs w:val="22"/>
        </w:rPr>
      </w:pPr>
      <w:r>
        <w:rPr>
          <w:rFonts w:ascii="Arial" w:hAnsi="Arial" w:cs="Arial"/>
          <w:bCs/>
          <w:szCs w:val="22"/>
        </w:rPr>
        <w:t xml:space="preserve">BLP would manage the day-to-day operations of the Partnership and as Development </w:t>
      </w:r>
      <w:r w:rsidRPr="00F74C60">
        <w:rPr>
          <w:rFonts w:ascii="Arial" w:hAnsi="Arial" w:cs="Arial"/>
          <w:bCs/>
          <w:szCs w:val="22"/>
        </w:rPr>
        <w:t>Manager, Construction Manager, and Asset Manager as outlined below:</w:t>
      </w:r>
    </w:p>
    <w:p w14:paraId="30C8D9FF" w14:textId="77777777" w:rsidR="00C52F24" w:rsidRPr="009B5C58" w:rsidRDefault="00C52F24" w:rsidP="00C52F24">
      <w:pPr>
        <w:widowControl w:val="0"/>
        <w:autoSpaceDE w:val="0"/>
        <w:autoSpaceDN w:val="0"/>
        <w:adjustRightInd w:val="0"/>
        <w:spacing w:after="120" w:line="259" w:lineRule="auto"/>
        <w:jc w:val="both"/>
        <w:rPr>
          <w:rFonts w:ascii="Arial" w:hAnsi="Arial" w:cs="Arial"/>
          <w:szCs w:val="22"/>
        </w:rPr>
      </w:pPr>
      <w:r w:rsidRPr="009B5C58">
        <w:rPr>
          <w:rFonts w:ascii="Arial" w:hAnsi="Arial" w:cs="Arial"/>
          <w:szCs w:val="22"/>
          <w:u w:val="single"/>
        </w:rPr>
        <w:t>Development Manager</w:t>
      </w:r>
      <w:r w:rsidRPr="009B5C58">
        <w:rPr>
          <w:rFonts w:ascii="Arial" w:hAnsi="Arial" w:cs="Arial"/>
          <w:szCs w:val="22"/>
        </w:rPr>
        <w:t xml:space="preserve">. BLP would be responsible for all pre-development and development work, including due diligence, financial analysis, contract negotiation, including securing a GMAX Contract for construction of the Approved Project (subject to approval by CRF), and administration, site planning, and coordination of architecture and design services. BLP would earn a Development Fee of </w:t>
      </w:r>
      <w:r>
        <w:rPr>
          <w:rFonts w:ascii="Arial" w:hAnsi="Arial" w:cs="Arial"/>
          <w:szCs w:val="22"/>
        </w:rPr>
        <w:t>4</w:t>
      </w:r>
      <w:r w:rsidRPr="009B5C58">
        <w:rPr>
          <w:rFonts w:ascii="Arial" w:hAnsi="Arial" w:cs="Arial"/>
          <w:szCs w:val="22"/>
        </w:rPr>
        <w:t>% of budgeted hard and managed soft costs, excluding land, construction loan interest reserve and the fee itself.</w:t>
      </w:r>
    </w:p>
    <w:p w14:paraId="245FCEA0" w14:textId="77777777" w:rsidR="00C52F24" w:rsidRPr="00AD0971" w:rsidRDefault="00C52F24" w:rsidP="00C52F24">
      <w:pPr>
        <w:spacing w:after="120" w:line="259" w:lineRule="auto"/>
        <w:jc w:val="both"/>
        <w:rPr>
          <w:rFonts w:ascii="Arial" w:hAnsi="Arial" w:cs="Arial"/>
          <w:b/>
          <w:bCs/>
          <w:i/>
          <w:iCs/>
          <w:szCs w:val="22"/>
          <w:highlight w:val="yellow"/>
        </w:rPr>
      </w:pPr>
      <w:r w:rsidRPr="00624685">
        <w:rPr>
          <w:rFonts w:ascii="Arial" w:hAnsi="Arial" w:cs="Arial"/>
          <w:szCs w:val="22"/>
        </w:rPr>
        <w:t>One-third of the Development Fee would be paid upon closing of the construction loan. Two-thirds of the Development Fee would be paid monthly pro rata during construction (not to overlap with the Investment Management Fee).</w:t>
      </w:r>
    </w:p>
    <w:p w14:paraId="0A869271" w14:textId="77777777" w:rsidR="00C52F24" w:rsidRPr="009B5C58" w:rsidRDefault="00C52F24" w:rsidP="00C52F24">
      <w:pPr>
        <w:spacing w:after="120" w:line="259" w:lineRule="auto"/>
        <w:jc w:val="both"/>
        <w:rPr>
          <w:rFonts w:ascii="Arial" w:hAnsi="Arial" w:cs="Arial"/>
          <w:szCs w:val="22"/>
        </w:rPr>
      </w:pPr>
      <w:r w:rsidRPr="009B5C58">
        <w:rPr>
          <w:rFonts w:ascii="Arial" w:hAnsi="Arial" w:cs="Arial"/>
          <w:szCs w:val="22"/>
          <w:u w:val="single"/>
        </w:rPr>
        <w:t>Construction Manager</w:t>
      </w:r>
      <w:r w:rsidRPr="009B5C58">
        <w:rPr>
          <w:rFonts w:ascii="Arial" w:hAnsi="Arial" w:cs="Arial"/>
          <w:szCs w:val="22"/>
        </w:rPr>
        <w:t>. Beginning upon issuance of the Certificate of Occupancy, BLP would serve as the Construction Manager for any capital improvements at an Approved Project (including, but not limited to, repairs outside the ordinary course, renovations, refurbishments, or other enhancements). BLP would earn a Construction Management Fee equal to 5.0% for budget</w:t>
      </w:r>
      <w:r>
        <w:rPr>
          <w:rFonts w:ascii="Arial" w:hAnsi="Arial" w:cs="Arial"/>
          <w:szCs w:val="22"/>
        </w:rPr>
        <w:t xml:space="preserve"> amounts</w:t>
      </w:r>
      <w:r w:rsidRPr="009B5C58">
        <w:rPr>
          <w:rFonts w:ascii="Arial" w:hAnsi="Arial" w:cs="Arial"/>
          <w:szCs w:val="22"/>
        </w:rPr>
        <w:t xml:space="preserve"> up to $200,000, 4.0% for budget</w:t>
      </w:r>
      <w:r>
        <w:rPr>
          <w:rFonts w:ascii="Arial" w:hAnsi="Arial" w:cs="Arial"/>
          <w:szCs w:val="22"/>
        </w:rPr>
        <w:t xml:space="preserve"> amount</w:t>
      </w:r>
      <w:r w:rsidRPr="009B5C58">
        <w:rPr>
          <w:rFonts w:ascii="Arial" w:hAnsi="Arial" w:cs="Arial"/>
          <w:szCs w:val="22"/>
        </w:rPr>
        <w:t>s above $200,000 up to $500,000, and 3.0% for budget</w:t>
      </w:r>
      <w:r>
        <w:rPr>
          <w:rFonts w:ascii="Arial" w:hAnsi="Arial" w:cs="Arial"/>
          <w:szCs w:val="22"/>
        </w:rPr>
        <w:t xml:space="preserve"> amount</w:t>
      </w:r>
      <w:r w:rsidRPr="009B5C58">
        <w:rPr>
          <w:rFonts w:ascii="Arial" w:hAnsi="Arial" w:cs="Arial"/>
          <w:szCs w:val="22"/>
        </w:rPr>
        <w:t xml:space="preserve">s greater than $500,000. </w:t>
      </w:r>
    </w:p>
    <w:p w14:paraId="67ACA302" w14:textId="77777777" w:rsidR="00C52F24" w:rsidRPr="00AD0971" w:rsidRDefault="00C52F24" w:rsidP="00C52F24">
      <w:pPr>
        <w:spacing w:line="259" w:lineRule="auto"/>
        <w:jc w:val="both"/>
        <w:rPr>
          <w:rFonts w:ascii="Arial" w:hAnsi="Arial" w:cs="Arial"/>
          <w:szCs w:val="22"/>
        </w:rPr>
      </w:pPr>
      <w:r w:rsidRPr="00A32101">
        <w:rPr>
          <w:rFonts w:ascii="Arial" w:hAnsi="Arial" w:cs="Arial"/>
          <w:szCs w:val="22"/>
          <w:u w:val="single"/>
        </w:rPr>
        <w:t>Asset Manage</w:t>
      </w:r>
      <w:r>
        <w:rPr>
          <w:rFonts w:ascii="Arial" w:hAnsi="Arial" w:cs="Arial"/>
          <w:szCs w:val="22"/>
          <w:u w:val="single"/>
        </w:rPr>
        <w:t>r</w:t>
      </w:r>
      <w:r>
        <w:rPr>
          <w:rFonts w:ascii="Arial" w:hAnsi="Arial" w:cs="Arial"/>
          <w:szCs w:val="22"/>
        </w:rPr>
        <w:t xml:space="preserve">. BLP, or an affiliate of Bridge, </w:t>
      </w:r>
      <w:r w:rsidRPr="000A12C7">
        <w:rPr>
          <w:rFonts w:ascii="Arial" w:hAnsi="Arial" w:cs="Arial"/>
          <w:szCs w:val="22"/>
        </w:rPr>
        <w:t xml:space="preserve">would be responsible for providing </w:t>
      </w:r>
      <w:r w:rsidRPr="00624685">
        <w:rPr>
          <w:rFonts w:ascii="Arial" w:hAnsi="Arial" w:cs="Arial"/>
          <w:szCs w:val="22"/>
        </w:rPr>
        <w:t xml:space="preserve">asset management services to the Partnership. BLP would earn an annual Investment Management Fee equal to </w:t>
      </w:r>
      <w:r>
        <w:rPr>
          <w:rFonts w:ascii="Arial" w:hAnsi="Arial" w:cs="Arial"/>
          <w:szCs w:val="22"/>
        </w:rPr>
        <w:t>0.35% on Gross Asset Value</w:t>
      </w:r>
      <w:r w:rsidRPr="00624685">
        <w:rPr>
          <w:rFonts w:ascii="Arial" w:hAnsi="Arial" w:cs="Arial"/>
          <w:szCs w:val="22"/>
        </w:rPr>
        <w:t>, beginning upon issuance of the Certificate of Oc</w:t>
      </w:r>
      <w:r w:rsidRPr="00AD0971">
        <w:rPr>
          <w:rFonts w:ascii="Arial" w:hAnsi="Arial" w:cs="Arial"/>
          <w:szCs w:val="22"/>
        </w:rPr>
        <w:t xml:space="preserve">cupancy through Initial Term. Separate agreements to be negotiated as to leasing and property management, both terminable upon notice from CRF. </w:t>
      </w:r>
    </w:p>
    <w:p w14:paraId="2D8454DD" w14:textId="77777777" w:rsidR="00427B6B" w:rsidRDefault="00427B6B" w:rsidP="00427B6B">
      <w:pPr>
        <w:tabs>
          <w:tab w:val="left" w:pos="720"/>
        </w:tabs>
        <w:spacing w:after="120" w:line="259" w:lineRule="auto"/>
        <w:jc w:val="both"/>
        <w:rPr>
          <w:rFonts w:ascii="Arial" w:hAnsi="Arial" w:cs="Arial"/>
          <w:b/>
          <w:szCs w:val="22"/>
        </w:rPr>
      </w:pPr>
    </w:p>
    <w:p w14:paraId="02598B30" w14:textId="7B98BC7F" w:rsidR="00427B6B" w:rsidRPr="00AD0971" w:rsidRDefault="00427B6B" w:rsidP="00427B6B">
      <w:pPr>
        <w:tabs>
          <w:tab w:val="left" w:pos="720"/>
        </w:tabs>
        <w:spacing w:after="120" w:line="259" w:lineRule="auto"/>
        <w:jc w:val="both"/>
        <w:rPr>
          <w:rFonts w:ascii="Arial" w:hAnsi="Arial" w:cs="Arial"/>
          <w:b/>
          <w:szCs w:val="22"/>
        </w:rPr>
      </w:pPr>
      <w:r w:rsidRPr="00AD0971">
        <w:rPr>
          <w:rFonts w:ascii="Arial" w:hAnsi="Arial" w:cs="Arial"/>
          <w:b/>
          <w:szCs w:val="22"/>
        </w:rPr>
        <w:t>Covered Cost Overruns</w:t>
      </w:r>
    </w:p>
    <w:p w14:paraId="403D626A" w14:textId="77777777" w:rsidR="00427B6B" w:rsidRDefault="00427B6B" w:rsidP="00427B6B">
      <w:pPr>
        <w:spacing w:line="259" w:lineRule="auto"/>
        <w:jc w:val="both"/>
        <w:rPr>
          <w:rFonts w:ascii="Arial" w:hAnsi="Arial" w:cs="Arial"/>
          <w:szCs w:val="22"/>
        </w:rPr>
      </w:pPr>
      <w:r w:rsidRPr="00AD0971">
        <w:rPr>
          <w:rFonts w:ascii="Arial" w:hAnsi="Arial" w:cs="Arial"/>
          <w:szCs w:val="22"/>
        </w:rPr>
        <w:t>In relation to the final budget within the GMAX Co</w:t>
      </w:r>
      <w:r w:rsidRPr="00624685">
        <w:rPr>
          <w:rFonts w:ascii="Arial" w:hAnsi="Arial" w:cs="Arial"/>
          <w:szCs w:val="22"/>
        </w:rPr>
        <w:t>ntract, controllable</w:t>
      </w:r>
      <w:r>
        <w:rPr>
          <w:rFonts w:ascii="Arial" w:hAnsi="Arial" w:cs="Arial"/>
          <w:szCs w:val="22"/>
        </w:rPr>
        <w:t xml:space="preserve"> (i.e., not resulting from lender/CRF failure to fund, emergencies, design deficiencies, etc.)</w:t>
      </w:r>
      <w:r w:rsidRPr="00624685">
        <w:rPr>
          <w:rFonts w:ascii="Arial" w:hAnsi="Arial" w:cs="Arial"/>
          <w:szCs w:val="22"/>
        </w:rPr>
        <w:t xml:space="preserve"> cost overruns not covered by the contractors and/or its bonds</w:t>
      </w:r>
      <w:r>
        <w:rPr>
          <w:rFonts w:ascii="Arial" w:hAnsi="Arial" w:cs="Arial"/>
          <w:szCs w:val="22"/>
        </w:rPr>
        <w:t xml:space="preserve">, </w:t>
      </w:r>
      <w:r w:rsidRPr="00624685">
        <w:rPr>
          <w:rFonts w:ascii="Arial" w:hAnsi="Arial" w:cs="Arial"/>
          <w:szCs w:val="22"/>
        </w:rPr>
        <w:t>insurance</w:t>
      </w:r>
      <w:r>
        <w:rPr>
          <w:rFonts w:ascii="Arial" w:hAnsi="Arial" w:cs="Arial"/>
          <w:szCs w:val="22"/>
        </w:rPr>
        <w:t xml:space="preserve"> or applicable cost savings and contingencies</w:t>
      </w:r>
      <w:r w:rsidRPr="00624685">
        <w:rPr>
          <w:rFonts w:ascii="Arial" w:hAnsi="Arial" w:cs="Arial"/>
          <w:szCs w:val="22"/>
        </w:rPr>
        <w:t xml:space="preserve"> (“Covered Cost Overruns”) would be funded 100% by BLP</w:t>
      </w:r>
      <w:r>
        <w:rPr>
          <w:rFonts w:ascii="Arial" w:hAnsi="Arial" w:cs="Arial"/>
          <w:szCs w:val="22"/>
        </w:rPr>
        <w:t xml:space="preserve"> up to an amount equal to 50% of BLP’s Development Fee for the applicable project, and thereafter by the Partners pro rata in accordance with Partnership Interests</w:t>
      </w:r>
      <w:r w:rsidRPr="00624685">
        <w:rPr>
          <w:rFonts w:ascii="Arial" w:hAnsi="Arial" w:cs="Arial"/>
          <w:szCs w:val="22"/>
        </w:rPr>
        <w:t>.</w:t>
      </w:r>
    </w:p>
    <w:p w14:paraId="0DF55C46" w14:textId="77777777" w:rsidR="00427B6B" w:rsidRDefault="00427B6B" w:rsidP="00427B6B">
      <w:pPr>
        <w:spacing w:line="259" w:lineRule="auto"/>
        <w:ind w:left="720"/>
        <w:jc w:val="both"/>
        <w:rPr>
          <w:rFonts w:ascii="Arial" w:hAnsi="Arial" w:cs="Arial"/>
          <w:szCs w:val="22"/>
        </w:rPr>
      </w:pPr>
    </w:p>
    <w:p w14:paraId="18E192CB" w14:textId="77777777" w:rsidR="00427B6B" w:rsidRPr="00DC306E" w:rsidRDefault="00427B6B" w:rsidP="00427B6B">
      <w:pPr>
        <w:spacing w:line="259" w:lineRule="auto"/>
        <w:jc w:val="both"/>
        <w:rPr>
          <w:rFonts w:ascii="Arial" w:hAnsi="Arial" w:cs="Arial"/>
          <w:szCs w:val="22"/>
        </w:rPr>
      </w:pPr>
      <w:r w:rsidRPr="00411117">
        <w:rPr>
          <w:rFonts w:ascii="Arial" w:hAnsi="Arial" w:cs="Arial"/>
          <w:szCs w:val="22"/>
        </w:rPr>
        <w:t xml:space="preserve">The Covered Cost Overruns </w:t>
      </w:r>
      <w:r>
        <w:rPr>
          <w:rFonts w:ascii="Arial" w:hAnsi="Arial" w:cs="Arial"/>
          <w:szCs w:val="22"/>
        </w:rPr>
        <w:t>would</w:t>
      </w:r>
      <w:r w:rsidRPr="00411117">
        <w:rPr>
          <w:rFonts w:ascii="Arial" w:hAnsi="Arial" w:cs="Arial"/>
          <w:szCs w:val="22"/>
        </w:rPr>
        <w:t xml:space="preserve"> exclude</w:t>
      </w:r>
      <w:r>
        <w:rPr>
          <w:rFonts w:ascii="Arial" w:hAnsi="Arial" w:cs="Arial"/>
          <w:szCs w:val="22"/>
        </w:rPr>
        <w:t>, among other things,</w:t>
      </w:r>
      <w:r w:rsidRPr="00411117">
        <w:rPr>
          <w:rFonts w:ascii="Arial" w:hAnsi="Arial" w:cs="Arial"/>
          <w:szCs w:val="22"/>
        </w:rPr>
        <w:t xml:space="preserve"> </w:t>
      </w:r>
      <w:r>
        <w:rPr>
          <w:rFonts w:ascii="Arial" w:hAnsi="Arial" w:cs="Arial"/>
          <w:szCs w:val="22"/>
        </w:rPr>
        <w:t>tenant improvement costs, post-completion expenses</w:t>
      </w:r>
      <w:r w:rsidRPr="00411117">
        <w:rPr>
          <w:rFonts w:ascii="Arial" w:hAnsi="Arial" w:cs="Arial"/>
          <w:szCs w:val="22"/>
        </w:rPr>
        <w:t>,</w:t>
      </w:r>
      <w:r>
        <w:rPr>
          <w:rFonts w:ascii="Arial" w:hAnsi="Arial" w:cs="Arial"/>
          <w:szCs w:val="22"/>
        </w:rPr>
        <w:t xml:space="preserve"> change orders approved by both Partners or that are required under applicable law or construction loan documents, </w:t>
      </w:r>
      <w:r w:rsidRPr="00411117">
        <w:rPr>
          <w:rFonts w:ascii="Arial" w:hAnsi="Arial" w:cs="Arial"/>
          <w:szCs w:val="22"/>
        </w:rPr>
        <w:t>construction interest, costs resulting from force majeure in the</w:t>
      </w:r>
      <w:r>
        <w:rPr>
          <w:rFonts w:ascii="Arial" w:hAnsi="Arial" w:cs="Arial"/>
          <w:szCs w:val="22"/>
        </w:rPr>
        <w:t xml:space="preserve"> </w:t>
      </w:r>
      <w:r w:rsidRPr="00411117">
        <w:rPr>
          <w:rFonts w:ascii="Arial" w:hAnsi="Arial" w:cs="Arial"/>
          <w:szCs w:val="22"/>
        </w:rPr>
        <w:t>construction contract,</w:t>
      </w:r>
      <w:r>
        <w:rPr>
          <w:rFonts w:ascii="Arial" w:hAnsi="Arial" w:cs="Arial"/>
          <w:szCs w:val="22"/>
        </w:rPr>
        <w:t xml:space="preserve"> operating expenses, permit fees, </w:t>
      </w:r>
      <w:r w:rsidRPr="00DC306E">
        <w:rPr>
          <w:rFonts w:ascii="Arial" w:hAnsi="Arial" w:cs="Arial"/>
          <w:szCs w:val="22"/>
        </w:rPr>
        <w:t xml:space="preserve">insurance premiums and real estate taxes paid during construction. </w:t>
      </w:r>
    </w:p>
    <w:p w14:paraId="080E8DB6" w14:textId="77777777" w:rsidR="00251EBE" w:rsidRPr="00561654" w:rsidRDefault="00251EBE" w:rsidP="00427B6B">
      <w:pPr>
        <w:tabs>
          <w:tab w:val="left" w:pos="720"/>
        </w:tabs>
        <w:spacing w:line="259" w:lineRule="auto"/>
        <w:jc w:val="both"/>
        <w:rPr>
          <w:rFonts w:ascii="Arial" w:hAnsi="Arial" w:cs="Arial"/>
          <w:szCs w:val="22"/>
        </w:rPr>
      </w:pPr>
    </w:p>
    <w:p w14:paraId="449DD546" w14:textId="77777777" w:rsidR="00A40295" w:rsidRDefault="00A40295" w:rsidP="00F672E0">
      <w:pPr>
        <w:pStyle w:val="BodyText"/>
        <w:spacing w:before="119" w:line="259" w:lineRule="auto"/>
        <w:ind w:firstLine="0"/>
        <w:jc w:val="both"/>
        <w:rPr>
          <w:sz w:val="23"/>
          <w:szCs w:val="23"/>
        </w:rPr>
      </w:pPr>
    </w:p>
    <w:p w14:paraId="7EB47948" w14:textId="77777777" w:rsidR="008327EE" w:rsidRDefault="008327EE" w:rsidP="00F672E0">
      <w:pPr>
        <w:pStyle w:val="BodyText"/>
        <w:spacing w:before="119" w:line="259" w:lineRule="auto"/>
        <w:ind w:firstLine="0"/>
        <w:jc w:val="both"/>
        <w:rPr>
          <w:rFonts w:asciiTheme="majorHAnsi" w:eastAsiaTheme="minorHAnsi" w:hAnsiTheme="majorHAnsi" w:cstheme="majorHAnsi"/>
          <w:b/>
          <w:bCs/>
          <w:color w:val="FF0000"/>
          <w:szCs w:val="22"/>
        </w:rPr>
        <w:sectPr w:rsidR="008327EE" w:rsidSect="006F6806">
          <w:pgSz w:w="12240" w:h="15840" w:code="1"/>
          <w:pgMar w:top="864" w:right="1152" w:bottom="720" w:left="1152" w:header="576" w:footer="965" w:gutter="0"/>
          <w:cols w:space="720"/>
          <w:docGrid w:linePitch="299"/>
        </w:sectPr>
      </w:pPr>
    </w:p>
    <w:p w14:paraId="741DFED8" w14:textId="6220450D" w:rsidR="008327EE" w:rsidRDefault="008327EE" w:rsidP="008327EE">
      <w:pPr>
        <w:pStyle w:val="BodyText"/>
        <w:spacing w:before="0"/>
        <w:ind w:firstLine="0"/>
        <w:rPr>
          <w:b/>
          <w:color w:val="003A5D"/>
          <w:sz w:val="24"/>
        </w:rPr>
      </w:pPr>
      <w:r w:rsidRPr="00321A26">
        <w:rPr>
          <w:b/>
          <w:color w:val="003A5D"/>
          <w:sz w:val="24"/>
          <w:highlight w:val="green"/>
        </w:rPr>
        <w:lastRenderedPageBreak/>
        <w:t xml:space="preserve">EXHIBIT </w:t>
      </w:r>
      <w:r w:rsidR="004B6D52" w:rsidRPr="00321A26">
        <w:rPr>
          <w:b/>
          <w:color w:val="003A5D"/>
          <w:sz w:val="24"/>
          <w:highlight w:val="green"/>
        </w:rPr>
        <w:t>H</w:t>
      </w:r>
      <w:r w:rsidRPr="00321A26">
        <w:rPr>
          <w:b/>
          <w:color w:val="003A5D"/>
          <w:sz w:val="24"/>
          <w:highlight w:val="green"/>
        </w:rPr>
        <w:t xml:space="preserve">: </w:t>
      </w:r>
      <w:r w:rsidR="005A0072" w:rsidRPr="00321A26">
        <w:rPr>
          <w:b/>
          <w:color w:val="003A5D"/>
          <w:sz w:val="24"/>
          <w:highlight w:val="green"/>
        </w:rPr>
        <w:t xml:space="preserve">Strategy </w:t>
      </w:r>
      <w:r w:rsidR="00490AF5" w:rsidRPr="00321A26">
        <w:rPr>
          <w:b/>
          <w:color w:val="003A5D"/>
          <w:sz w:val="24"/>
          <w:highlight w:val="green"/>
        </w:rPr>
        <w:t>Allocations Guidelines</w:t>
      </w:r>
    </w:p>
    <w:p w14:paraId="388CD1DD" w14:textId="77777777" w:rsidR="008327EE" w:rsidRDefault="008327EE" w:rsidP="008327EE">
      <w:pPr>
        <w:pStyle w:val="BodyText"/>
        <w:spacing w:before="0"/>
        <w:ind w:firstLine="0"/>
        <w:rPr>
          <w:b/>
          <w:color w:val="003A5D"/>
          <w:sz w:val="24"/>
        </w:rPr>
      </w:pPr>
    </w:p>
    <w:p w14:paraId="0E538F54" w14:textId="2661547D" w:rsidR="008327EE" w:rsidRPr="008327EE" w:rsidRDefault="00D65F24" w:rsidP="00720377">
      <w:pPr>
        <w:pStyle w:val="BodyText"/>
        <w:spacing w:before="0"/>
        <w:ind w:firstLine="0"/>
        <w:jc w:val="center"/>
        <w:rPr>
          <w:b/>
          <w:color w:val="003A5D"/>
          <w:sz w:val="24"/>
        </w:rPr>
        <w:sectPr w:rsidR="008327EE" w:rsidRPr="008327EE" w:rsidSect="00720377">
          <w:pgSz w:w="15840" w:h="12240" w:orient="landscape" w:code="1"/>
          <w:pgMar w:top="1152" w:right="864" w:bottom="1152" w:left="720" w:header="576" w:footer="720" w:gutter="0"/>
          <w:cols w:space="720"/>
          <w:docGrid w:linePitch="299"/>
        </w:sectPr>
      </w:pPr>
      <w:r w:rsidRPr="00D65F24">
        <w:rPr>
          <w:b/>
          <w:noProof/>
          <w:color w:val="003A5D"/>
          <w:sz w:val="24"/>
        </w:rPr>
        <w:drawing>
          <wp:inline distT="0" distB="0" distL="0" distR="0" wp14:anchorId="7EF3125A" wp14:editId="19351C67">
            <wp:extent cx="8346070" cy="4944140"/>
            <wp:effectExtent l="0" t="0" r="0" b="8890"/>
            <wp:docPr id="67360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07885" name=""/>
                    <pic:cNvPicPr/>
                  </pic:nvPicPr>
                  <pic:blipFill>
                    <a:blip r:embed="rId28"/>
                    <a:stretch>
                      <a:fillRect/>
                    </a:stretch>
                  </pic:blipFill>
                  <pic:spPr>
                    <a:xfrm>
                      <a:off x="0" y="0"/>
                      <a:ext cx="8355927" cy="4949979"/>
                    </a:xfrm>
                    <a:prstGeom prst="rect">
                      <a:avLst/>
                    </a:prstGeom>
                  </pic:spPr>
                </pic:pic>
              </a:graphicData>
            </a:graphic>
          </wp:inline>
        </w:drawing>
      </w:r>
    </w:p>
    <w:p w14:paraId="139ECB7B" w14:textId="7F72BC8B" w:rsidR="003E127E" w:rsidRDefault="003E127E" w:rsidP="000213CC">
      <w:pPr>
        <w:pStyle w:val="BodyText"/>
        <w:spacing w:before="0"/>
        <w:ind w:firstLine="0"/>
        <w:rPr>
          <w:b/>
          <w:color w:val="003A5D"/>
          <w:sz w:val="24"/>
        </w:rPr>
      </w:pPr>
      <w:r w:rsidRPr="00321A26">
        <w:rPr>
          <w:b/>
          <w:color w:val="003A5D"/>
          <w:sz w:val="24"/>
          <w:highlight w:val="yellow"/>
        </w:rPr>
        <w:lastRenderedPageBreak/>
        <w:t xml:space="preserve">EXHIBIT </w:t>
      </w:r>
      <w:r w:rsidR="004B6D52" w:rsidRPr="00321A26">
        <w:rPr>
          <w:b/>
          <w:color w:val="003A5D"/>
          <w:sz w:val="24"/>
          <w:highlight w:val="yellow"/>
        </w:rPr>
        <w:t>I</w:t>
      </w:r>
      <w:r w:rsidR="00BA794A" w:rsidRPr="00321A26">
        <w:rPr>
          <w:b/>
          <w:color w:val="003A5D"/>
          <w:sz w:val="24"/>
          <w:highlight w:val="yellow"/>
        </w:rPr>
        <w:t xml:space="preserve">: </w:t>
      </w:r>
      <w:r w:rsidR="00C3015E" w:rsidRPr="00321A26">
        <w:rPr>
          <w:b/>
          <w:color w:val="003A5D"/>
          <w:sz w:val="24"/>
          <w:highlight w:val="yellow"/>
        </w:rPr>
        <w:t>Value Fund I Asset Management Summary</w:t>
      </w:r>
    </w:p>
    <w:p w14:paraId="50F1AC97" w14:textId="77777777" w:rsidR="00222281" w:rsidRDefault="00222281" w:rsidP="000213CC">
      <w:pPr>
        <w:pStyle w:val="BodyText"/>
        <w:spacing w:before="0"/>
        <w:ind w:firstLine="0"/>
        <w:jc w:val="center"/>
        <w:rPr>
          <w:b/>
          <w:color w:val="003A5D"/>
          <w:sz w:val="24"/>
        </w:rPr>
      </w:pPr>
      <w:r w:rsidRPr="00222281">
        <w:rPr>
          <w:b/>
          <w:noProof/>
          <w:color w:val="003A5D"/>
          <w:sz w:val="24"/>
        </w:rPr>
        <w:drawing>
          <wp:inline distT="0" distB="0" distL="0" distR="0" wp14:anchorId="441B09B1" wp14:editId="6DB85BD3">
            <wp:extent cx="7980218" cy="5093994"/>
            <wp:effectExtent l="0" t="0" r="1905" b="0"/>
            <wp:docPr id="213861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10515" name=""/>
                    <pic:cNvPicPr/>
                  </pic:nvPicPr>
                  <pic:blipFill>
                    <a:blip r:embed="rId29"/>
                    <a:stretch>
                      <a:fillRect/>
                    </a:stretch>
                  </pic:blipFill>
                  <pic:spPr>
                    <a:xfrm>
                      <a:off x="0" y="0"/>
                      <a:ext cx="7980218" cy="5093994"/>
                    </a:xfrm>
                    <a:prstGeom prst="rect">
                      <a:avLst/>
                    </a:prstGeom>
                  </pic:spPr>
                </pic:pic>
              </a:graphicData>
            </a:graphic>
          </wp:inline>
        </w:drawing>
      </w:r>
    </w:p>
    <w:p w14:paraId="288B434E" w14:textId="06553E92" w:rsidR="00C3015E" w:rsidRDefault="00C3015E" w:rsidP="000213CC">
      <w:pPr>
        <w:pStyle w:val="BodyText"/>
        <w:spacing w:before="0"/>
        <w:ind w:firstLine="0"/>
        <w:rPr>
          <w:b/>
          <w:color w:val="003A5D"/>
          <w:sz w:val="24"/>
        </w:rPr>
      </w:pPr>
      <w:r w:rsidRPr="00321A26">
        <w:rPr>
          <w:b/>
          <w:color w:val="003A5D"/>
          <w:sz w:val="24"/>
          <w:highlight w:val="yellow"/>
        </w:rPr>
        <w:lastRenderedPageBreak/>
        <w:t xml:space="preserve">EXHIBIT </w:t>
      </w:r>
      <w:r w:rsidR="004B6D52" w:rsidRPr="00321A26">
        <w:rPr>
          <w:b/>
          <w:color w:val="003A5D"/>
          <w:sz w:val="24"/>
          <w:highlight w:val="yellow"/>
        </w:rPr>
        <w:t>I</w:t>
      </w:r>
      <w:r w:rsidRPr="00321A26">
        <w:rPr>
          <w:b/>
          <w:color w:val="003A5D"/>
          <w:sz w:val="24"/>
          <w:highlight w:val="yellow"/>
        </w:rPr>
        <w:t>: Value Fund I Asset Management Summary</w:t>
      </w:r>
    </w:p>
    <w:p w14:paraId="08E1FA36" w14:textId="77777777" w:rsidR="00E2524A" w:rsidRDefault="00233350" w:rsidP="000213CC">
      <w:pPr>
        <w:pStyle w:val="BodyText"/>
        <w:spacing w:before="0"/>
        <w:ind w:firstLine="0"/>
        <w:jc w:val="center"/>
        <w:rPr>
          <w:b/>
          <w:color w:val="003A5D"/>
          <w:sz w:val="24"/>
        </w:rPr>
      </w:pPr>
      <w:r w:rsidRPr="00233350">
        <w:rPr>
          <w:b/>
          <w:noProof/>
          <w:color w:val="003A5D"/>
          <w:sz w:val="24"/>
        </w:rPr>
        <w:drawing>
          <wp:inline distT="0" distB="0" distL="0" distR="0" wp14:anchorId="51424C25" wp14:editId="0D04A488">
            <wp:extent cx="7920841" cy="5002198"/>
            <wp:effectExtent l="0" t="0" r="4445" b="8255"/>
            <wp:docPr id="67623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37282" name=""/>
                    <pic:cNvPicPr/>
                  </pic:nvPicPr>
                  <pic:blipFill>
                    <a:blip r:embed="rId30"/>
                    <a:stretch>
                      <a:fillRect/>
                    </a:stretch>
                  </pic:blipFill>
                  <pic:spPr>
                    <a:xfrm>
                      <a:off x="0" y="0"/>
                      <a:ext cx="7927017" cy="5006099"/>
                    </a:xfrm>
                    <a:prstGeom prst="rect">
                      <a:avLst/>
                    </a:prstGeom>
                  </pic:spPr>
                </pic:pic>
              </a:graphicData>
            </a:graphic>
          </wp:inline>
        </w:drawing>
      </w:r>
    </w:p>
    <w:p w14:paraId="7F69653A" w14:textId="42730A97" w:rsidR="000213CC" w:rsidRDefault="00A10C59" w:rsidP="000213CC">
      <w:pPr>
        <w:pStyle w:val="BodyText"/>
        <w:spacing w:before="0"/>
        <w:ind w:firstLine="0"/>
        <w:rPr>
          <w:b/>
          <w:color w:val="003A5D"/>
          <w:sz w:val="24"/>
        </w:rPr>
      </w:pPr>
      <w:r w:rsidRPr="00321A26">
        <w:rPr>
          <w:b/>
          <w:color w:val="003A5D"/>
          <w:sz w:val="24"/>
          <w:highlight w:val="cyan"/>
        </w:rPr>
        <w:lastRenderedPageBreak/>
        <w:t xml:space="preserve">EXHIBIT </w:t>
      </w:r>
      <w:r w:rsidR="004B6D52" w:rsidRPr="00321A26">
        <w:rPr>
          <w:b/>
          <w:color w:val="003A5D"/>
          <w:sz w:val="24"/>
          <w:highlight w:val="cyan"/>
        </w:rPr>
        <w:t>J</w:t>
      </w:r>
      <w:r w:rsidRPr="00321A26">
        <w:rPr>
          <w:b/>
          <w:color w:val="003A5D"/>
          <w:sz w:val="24"/>
          <w:highlight w:val="cyan"/>
        </w:rPr>
        <w:t>: Deal-by-Deal Performance Detail</w:t>
      </w:r>
    </w:p>
    <w:p w14:paraId="5F05C3CC" w14:textId="77777777" w:rsidR="000213CC" w:rsidRDefault="000213CC" w:rsidP="000213CC">
      <w:pPr>
        <w:pStyle w:val="BodyText"/>
        <w:spacing w:before="0"/>
        <w:ind w:firstLine="0"/>
        <w:rPr>
          <w:b/>
          <w:color w:val="003A5D"/>
          <w:sz w:val="24"/>
        </w:rPr>
      </w:pPr>
    </w:p>
    <w:p w14:paraId="16F24341" w14:textId="77777777" w:rsidR="000213CC" w:rsidRDefault="00047D72" w:rsidP="000213CC">
      <w:pPr>
        <w:pStyle w:val="BodyText"/>
        <w:spacing w:before="0"/>
        <w:ind w:firstLine="0"/>
        <w:rPr>
          <w:b/>
          <w:color w:val="003A5D"/>
          <w:sz w:val="24"/>
        </w:rPr>
      </w:pPr>
      <w:r w:rsidRPr="00047D72">
        <w:rPr>
          <w:noProof/>
        </w:rPr>
        <w:drawing>
          <wp:inline distT="0" distB="0" distL="0" distR="0" wp14:anchorId="09940382" wp14:editId="14DD2491">
            <wp:extent cx="9245827" cy="4019107"/>
            <wp:effectExtent l="0" t="0" r="0" b="635"/>
            <wp:docPr id="10635772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56522" cy="4023756"/>
                    </a:xfrm>
                    <a:prstGeom prst="rect">
                      <a:avLst/>
                    </a:prstGeom>
                    <a:noFill/>
                    <a:ln>
                      <a:noFill/>
                    </a:ln>
                  </pic:spPr>
                </pic:pic>
              </a:graphicData>
            </a:graphic>
          </wp:inline>
        </w:drawing>
      </w:r>
    </w:p>
    <w:p w14:paraId="46A7471D" w14:textId="77777777" w:rsidR="00977B59" w:rsidRDefault="00977B59" w:rsidP="000213CC">
      <w:pPr>
        <w:pStyle w:val="BodyText"/>
        <w:spacing w:before="0"/>
        <w:ind w:firstLine="0"/>
        <w:rPr>
          <w:b/>
          <w:color w:val="003A5D"/>
          <w:sz w:val="24"/>
        </w:rPr>
        <w:sectPr w:rsidR="00977B59" w:rsidSect="006F5135">
          <w:pgSz w:w="15840" w:h="12240" w:orient="landscape" w:code="1"/>
          <w:pgMar w:top="1440" w:right="864" w:bottom="1440" w:left="720" w:header="576" w:footer="965" w:gutter="0"/>
          <w:cols w:space="720"/>
          <w:docGrid w:linePitch="299"/>
        </w:sectPr>
      </w:pPr>
    </w:p>
    <w:p w14:paraId="18B267A1" w14:textId="4C9961CD" w:rsidR="00977B59" w:rsidRDefault="00977B59" w:rsidP="00977B59">
      <w:pPr>
        <w:pStyle w:val="BodyText"/>
        <w:spacing w:before="0"/>
        <w:ind w:firstLine="0"/>
        <w:rPr>
          <w:b/>
          <w:color w:val="003A5D"/>
          <w:sz w:val="24"/>
        </w:rPr>
      </w:pPr>
      <w:r w:rsidRPr="00321A26">
        <w:rPr>
          <w:b/>
          <w:color w:val="003A5D"/>
          <w:sz w:val="24"/>
          <w:highlight w:val="red"/>
        </w:rPr>
        <w:lastRenderedPageBreak/>
        <w:t xml:space="preserve">EXHIBIT </w:t>
      </w:r>
      <w:r w:rsidR="004B6D52" w:rsidRPr="00321A26">
        <w:rPr>
          <w:b/>
          <w:color w:val="003A5D"/>
          <w:sz w:val="24"/>
          <w:highlight w:val="red"/>
        </w:rPr>
        <w:t>K</w:t>
      </w:r>
      <w:r w:rsidRPr="00321A26">
        <w:rPr>
          <w:b/>
          <w:color w:val="003A5D"/>
          <w:sz w:val="24"/>
          <w:highlight w:val="red"/>
        </w:rPr>
        <w:t xml:space="preserve">: </w:t>
      </w:r>
      <w:r w:rsidR="00AF0577" w:rsidRPr="00321A26">
        <w:rPr>
          <w:b/>
          <w:color w:val="003A5D"/>
          <w:sz w:val="24"/>
          <w:highlight w:val="red"/>
        </w:rPr>
        <w:t>BLP Development Transactions</w:t>
      </w:r>
    </w:p>
    <w:p w14:paraId="2569D78D" w14:textId="7F739E41" w:rsidR="00047D72" w:rsidRDefault="00FC0E9D" w:rsidP="00977B59">
      <w:pPr>
        <w:pStyle w:val="BodyText"/>
        <w:tabs>
          <w:tab w:val="left" w:pos="2043"/>
        </w:tabs>
        <w:spacing w:before="0"/>
        <w:ind w:firstLine="0"/>
        <w:rPr>
          <w:b/>
          <w:color w:val="003A5D"/>
          <w:sz w:val="24"/>
        </w:rPr>
      </w:pPr>
      <w:r w:rsidRPr="00FC0E9D">
        <w:rPr>
          <w:b/>
          <w:noProof/>
          <w:color w:val="003A5D"/>
          <w:sz w:val="24"/>
        </w:rPr>
        <w:drawing>
          <wp:inline distT="0" distB="0" distL="0" distR="0" wp14:anchorId="118B307B" wp14:editId="1A4E340A">
            <wp:extent cx="5718668" cy="3678865"/>
            <wp:effectExtent l="0" t="0" r="0" b="0"/>
            <wp:docPr id="173229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93564" name=""/>
                    <pic:cNvPicPr/>
                  </pic:nvPicPr>
                  <pic:blipFill>
                    <a:blip r:embed="rId32"/>
                    <a:stretch>
                      <a:fillRect/>
                    </a:stretch>
                  </pic:blipFill>
                  <pic:spPr>
                    <a:xfrm>
                      <a:off x="0" y="0"/>
                      <a:ext cx="5744845" cy="3695705"/>
                    </a:xfrm>
                    <a:prstGeom prst="rect">
                      <a:avLst/>
                    </a:prstGeom>
                  </pic:spPr>
                </pic:pic>
              </a:graphicData>
            </a:graphic>
          </wp:inline>
        </w:drawing>
      </w:r>
    </w:p>
    <w:p w14:paraId="71A4F935" w14:textId="480E9948" w:rsidR="00FC0E9D" w:rsidRDefault="00AF0577" w:rsidP="00977B59">
      <w:pPr>
        <w:pStyle w:val="BodyText"/>
        <w:tabs>
          <w:tab w:val="left" w:pos="2043"/>
        </w:tabs>
        <w:spacing w:before="0"/>
        <w:ind w:firstLine="0"/>
        <w:rPr>
          <w:b/>
          <w:color w:val="003A5D"/>
          <w:sz w:val="24"/>
        </w:rPr>
      </w:pPr>
      <w:r w:rsidRPr="00AF0577">
        <w:rPr>
          <w:b/>
          <w:noProof/>
          <w:color w:val="003A5D"/>
          <w:sz w:val="24"/>
        </w:rPr>
        <w:drawing>
          <wp:inline distT="0" distB="0" distL="0" distR="0" wp14:anchorId="731B341F" wp14:editId="509F1A96">
            <wp:extent cx="5785164" cy="3446994"/>
            <wp:effectExtent l="0" t="0" r="6350" b="1270"/>
            <wp:docPr id="1084272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72527" name=""/>
                    <pic:cNvPicPr/>
                  </pic:nvPicPr>
                  <pic:blipFill>
                    <a:blip r:embed="rId33"/>
                    <a:stretch>
                      <a:fillRect/>
                    </a:stretch>
                  </pic:blipFill>
                  <pic:spPr>
                    <a:xfrm>
                      <a:off x="0" y="0"/>
                      <a:ext cx="5822791" cy="3469413"/>
                    </a:xfrm>
                    <a:prstGeom prst="rect">
                      <a:avLst/>
                    </a:prstGeom>
                  </pic:spPr>
                </pic:pic>
              </a:graphicData>
            </a:graphic>
          </wp:inline>
        </w:drawing>
      </w:r>
    </w:p>
    <w:p w14:paraId="4584F70C" w14:textId="687F1310" w:rsidR="00977B59" w:rsidRPr="00977B59" w:rsidRDefault="00977B59" w:rsidP="00977B59">
      <w:pPr>
        <w:tabs>
          <w:tab w:val="left" w:pos="2043"/>
        </w:tabs>
        <w:sectPr w:rsidR="00977B59" w:rsidRPr="00977B59" w:rsidSect="00FC0E9D">
          <w:pgSz w:w="12240" w:h="15840" w:code="1"/>
          <w:pgMar w:top="864" w:right="1440" w:bottom="720" w:left="1440" w:header="576" w:footer="965" w:gutter="0"/>
          <w:cols w:space="720"/>
          <w:docGrid w:linePitch="299"/>
        </w:sectPr>
      </w:pPr>
      <w:r>
        <w:tab/>
      </w:r>
    </w:p>
    <w:p w14:paraId="4833FC36" w14:textId="70B3035F" w:rsidR="00802E9A" w:rsidRPr="00B270B7" w:rsidRDefault="00802E9A" w:rsidP="000213CC">
      <w:pPr>
        <w:pStyle w:val="BodyText"/>
        <w:spacing w:before="0"/>
        <w:ind w:firstLine="0"/>
        <w:rPr>
          <w:rFonts w:asciiTheme="majorHAnsi" w:hAnsiTheme="majorHAnsi"/>
          <w:b/>
          <w:color w:val="003A5D"/>
          <w:sz w:val="24"/>
        </w:rPr>
      </w:pPr>
      <w:r w:rsidRPr="00CD55DD">
        <w:rPr>
          <w:rFonts w:asciiTheme="majorHAnsi" w:hAnsiTheme="majorHAnsi"/>
          <w:b/>
          <w:color w:val="003A5D"/>
          <w:sz w:val="24"/>
        </w:rPr>
        <w:lastRenderedPageBreak/>
        <w:t>Appendix</w:t>
      </w:r>
    </w:p>
    <w:p w14:paraId="0D5F7511" w14:textId="77777777" w:rsidR="007D083A" w:rsidRPr="00836F4A" w:rsidRDefault="00802E9A" w:rsidP="000213CC">
      <w:pPr>
        <w:jc w:val="center"/>
        <w:rPr>
          <w:rFonts w:ascii="Calibri" w:hAnsi="Calibri"/>
          <w:b/>
          <w:color w:val="003A5D"/>
          <w:sz w:val="20"/>
          <w:szCs w:val="22"/>
        </w:rPr>
      </w:pPr>
      <w:r w:rsidRPr="00B270B7">
        <w:rPr>
          <w:rFonts w:ascii="Calibri" w:hAnsi="Calibri"/>
          <w:b/>
          <w:color w:val="003A5D"/>
          <w:sz w:val="20"/>
          <w:szCs w:val="22"/>
        </w:rPr>
        <w:t>Rating Rationale</w:t>
      </w:r>
    </w:p>
    <w:p w14:paraId="221AD1AA" w14:textId="77777777" w:rsidR="00802E9A" w:rsidRPr="00836F4A" w:rsidRDefault="00802E9A" w:rsidP="000213CC">
      <w:pPr>
        <w:rPr>
          <w:rFonts w:ascii="Calibri" w:hAnsi="Calibri"/>
          <w:b/>
          <w:color w:val="003A5D"/>
          <w:sz w:val="20"/>
          <w:szCs w:val="22"/>
        </w:rPr>
      </w:pPr>
    </w:p>
    <w:tbl>
      <w:tblPr>
        <w:tblW w:w="1028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8295"/>
      </w:tblGrid>
      <w:tr w:rsidR="003D1DD2" w:rsidRPr="007D083A" w14:paraId="718594E3" w14:textId="77777777" w:rsidTr="007D3512">
        <w:trPr>
          <w:trHeight w:val="310"/>
        </w:trPr>
        <w:tc>
          <w:tcPr>
            <w:tcW w:w="1985" w:type="dxa"/>
            <w:shd w:val="clear" w:color="auto" w:fill="auto"/>
            <w:vAlign w:val="center"/>
            <w:hideMark/>
          </w:tcPr>
          <w:p w14:paraId="79EA1AFB" w14:textId="77777777" w:rsidR="003D1DD2" w:rsidRPr="00B270B7" w:rsidRDefault="003D1DD2" w:rsidP="000213CC">
            <w:pPr>
              <w:rPr>
                <w:rFonts w:ascii="Calibri" w:hAnsi="Calibri"/>
                <w:i/>
                <w:iCs/>
                <w:color w:val="404040"/>
                <w:sz w:val="16"/>
                <w:szCs w:val="16"/>
              </w:rPr>
            </w:pPr>
            <w:r w:rsidRPr="00B270B7">
              <w:rPr>
                <w:rFonts w:ascii="Calibri" w:hAnsi="Calibri"/>
                <w:i/>
                <w:iCs/>
                <w:color w:val="404040"/>
                <w:sz w:val="16"/>
                <w:szCs w:val="16"/>
              </w:rPr>
              <w:t>ESG Policy &amp; Practices</w:t>
            </w:r>
          </w:p>
        </w:tc>
        <w:tc>
          <w:tcPr>
            <w:tcW w:w="8295" w:type="dxa"/>
            <w:shd w:val="clear" w:color="auto" w:fill="auto"/>
            <w:vAlign w:val="center"/>
            <w:hideMark/>
          </w:tcPr>
          <w:p w14:paraId="251A002D" w14:textId="0C66EFE3" w:rsidR="003D1DD2" w:rsidRPr="00B270B7" w:rsidRDefault="00600D65" w:rsidP="000213CC">
            <w:pPr>
              <w:jc w:val="both"/>
              <w:rPr>
                <w:rFonts w:ascii="Calibri" w:hAnsi="Calibri"/>
                <w:color w:val="404040"/>
                <w:sz w:val="16"/>
                <w:szCs w:val="16"/>
              </w:rPr>
            </w:pPr>
            <w:r w:rsidRPr="00B270B7">
              <w:rPr>
                <w:rFonts w:ascii="Calibri" w:hAnsi="Calibri"/>
                <w:i/>
                <w:iCs/>
                <w:color w:val="404040"/>
                <w:sz w:val="16"/>
                <w:szCs w:val="16"/>
              </w:rPr>
              <w:t xml:space="preserve">Integrated </w:t>
            </w:r>
            <w:r w:rsidRPr="00B270B7">
              <w:rPr>
                <w:rFonts w:ascii="Calibri" w:hAnsi="Calibri"/>
                <w:color w:val="404040"/>
                <w:sz w:val="16"/>
                <w:szCs w:val="16"/>
              </w:rPr>
              <w:t>as described in the ESG section of this report.</w:t>
            </w:r>
          </w:p>
        </w:tc>
      </w:tr>
      <w:tr w:rsidR="003D1DD2" w:rsidRPr="007D083A" w14:paraId="0B26AB5C" w14:textId="77777777" w:rsidTr="00C310F0">
        <w:trPr>
          <w:trHeight w:val="265"/>
        </w:trPr>
        <w:tc>
          <w:tcPr>
            <w:tcW w:w="1985" w:type="dxa"/>
            <w:shd w:val="clear" w:color="auto" w:fill="auto"/>
            <w:vAlign w:val="center"/>
            <w:hideMark/>
          </w:tcPr>
          <w:p w14:paraId="2CADC0CD" w14:textId="77777777" w:rsidR="003D1DD2" w:rsidRPr="00B270B7" w:rsidRDefault="003D1DD2" w:rsidP="000213CC">
            <w:pPr>
              <w:rPr>
                <w:rFonts w:ascii="Calibri" w:hAnsi="Calibri"/>
                <w:i/>
                <w:iCs/>
                <w:color w:val="404040"/>
                <w:sz w:val="16"/>
                <w:szCs w:val="16"/>
              </w:rPr>
            </w:pPr>
            <w:r w:rsidRPr="00B270B7">
              <w:rPr>
                <w:rFonts w:ascii="Calibri" w:hAnsi="Calibri"/>
                <w:i/>
                <w:iCs/>
                <w:color w:val="404040"/>
                <w:sz w:val="16"/>
                <w:szCs w:val="16"/>
              </w:rPr>
              <w:t>Fund Structure</w:t>
            </w:r>
          </w:p>
        </w:tc>
        <w:tc>
          <w:tcPr>
            <w:tcW w:w="8295" w:type="dxa"/>
            <w:shd w:val="clear" w:color="auto" w:fill="auto"/>
            <w:vAlign w:val="center"/>
            <w:hideMark/>
          </w:tcPr>
          <w:p w14:paraId="20CA4786" w14:textId="3812D3D0" w:rsidR="003D1DD2" w:rsidRPr="00B270B7" w:rsidRDefault="00333772" w:rsidP="000213CC">
            <w:pPr>
              <w:jc w:val="both"/>
              <w:rPr>
                <w:rFonts w:ascii="Calibri" w:hAnsi="Calibri"/>
                <w:color w:val="404040"/>
                <w:sz w:val="16"/>
                <w:szCs w:val="16"/>
              </w:rPr>
            </w:pPr>
            <w:r>
              <w:rPr>
                <w:rFonts w:ascii="Calibri" w:hAnsi="Calibri"/>
                <w:color w:val="404040"/>
                <w:sz w:val="16"/>
                <w:szCs w:val="16"/>
              </w:rPr>
              <w:t>Customized to fit NYSCRF and provide</w:t>
            </w:r>
            <w:r w:rsidR="00203E3F">
              <w:rPr>
                <w:rFonts w:ascii="Calibri" w:hAnsi="Calibri"/>
                <w:color w:val="404040"/>
                <w:sz w:val="16"/>
                <w:szCs w:val="16"/>
              </w:rPr>
              <w:t>s enhanced discretion and oversight.</w:t>
            </w:r>
          </w:p>
        </w:tc>
      </w:tr>
      <w:tr w:rsidR="003D1DD2" w:rsidRPr="007D083A" w14:paraId="04268CE1" w14:textId="77777777" w:rsidTr="00D6297C">
        <w:trPr>
          <w:trHeight w:val="256"/>
        </w:trPr>
        <w:tc>
          <w:tcPr>
            <w:tcW w:w="1985" w:type="dxa"/>
            <w:shd w:val="clear" w:color="auto" w:fill="auto"/>
            <w:vAlign w:val="center"/>
            <w:hideMark/>
          </w:tcPr>
          <w:p w14:paraId="6588AD6E" w14:textId="77777777" w:rsidR="003D1DD2" w:rsidRPr="00B270B7" w:rsidRDefault="003D1DD2" w:rsidP="000213CC">
            <w:pPr>
              <w:rPr>
                <w:rFonts w:ascii="Calibri" w:hAnsi="Calibri"/>
                <w:i/>
                <w:iCs/>
                <w:color w:val="404040"/>
                <w:sz w:val="16"/>
                <w:szCs w:val="16"/>
              </w:rPr>
            </w:pPr>
            <w:r w:rsidRPr="00B270B7">
              <w:rPr>
                <w:rFonts w:ascii="Calibri" w:hAnsi="Calibri"/>
                <w:i/>
                <w:iCs/>
                <w:color w:val="404040"/>
                <w:sz w:val="16"/>
                <w:szCs w:val="16"/>
              </w:rPr>
              <w:t xml:space="preserve">Investment Process </w:t>
            </w:r>
          </w:p>
        </w:tc>
        <w:tc>
          <w:tcPr>
            <w:tcW w:w="8295" w:type="dxa"/>
            <w:shd w:val="clear" w:color="auto" w:fill="auto"/>
            <w:vAlign w:val="center"/>
            <w:hideMark/>
          </w:tcPr>
          <w:p w14:paraId="477239F7" w14:textId="02186342" w:rsidR="003D1DD2" w:rsidRPr="00B270B7" w:rsidRDefault="00B71795" w:rsidP="000213CC">
            <w:pPr>
              <w:jc w:val="both"/>
              <w:rPr>
                <w:rFonts w:ascii="Calibri" w:hAnsi="Calibri"/>
                <w:color w:val="404040"/>
                <w:sz w:val="16"/>
                <w:szCs w:val="16"/>
              </w:rPr>
            </w:pPr>
            <w:r>
              <w:rPr>
                <w:rFonts w:ascii="Calibri" w:hAnsi="Calibri"/>
                <w:color w:val="404040"/>
                <w:sz w:val="16"/>
                <w:szCs w:val="16"/>
              </w:rPr>
              <w:t>Manager generally follows a s</w:t>
            </w:r>
            <w:r w:rsidR="00C70F95">
              <w:rPr>
                <w:rFonts w:ascii="Calibri" w:hAnsi="Calibri"/>
                <w:color w:val="404040"/>
                <w:sz w:val="16"/>
                <w:szCs w:val="16"/>
              </w:rPr>
              <w:t xml:space="preserve">tandard institutional process </w:t>
            </w:r>
            <w:r>
              <w:rPr>
                <w:rFonts w:ascii="Calibri" w:hAnsi="Calibri"/>
                <w:color w:val="404040"/>
                <w:sz w:val="16"/>
                <w:szCs w:val="16"/>
              </w:rPr>
              <w:t xml:space="preserve">across its vertically integrated platform. This Fund overlays certain communication and </w:t>
            </w:r>
            <w:r w:rsidR="00BE04F3">
              <w:rPr>
                <w:rFonts w:ascii="Calibri" w:hAnsi="Calibri"/>
                <w:color w:val="404040"/>
                <w:sz w:val="16"/>
                <w:szCs w:val="16"/>
              </w:rPr>
              <w:t>decision-making</w:t>
            </w:r>
            <w:r>
              <w:rPr>
                <w:rFonts w:ascii="Calibri" w:hAnsi="Calibri"/>
                <w:color w:val="404040"/>
                <w:sz w:val="16"/>
                <w:szCs w:val="16"/>
              </w:rPr>
              <w:t xml:space="preserve"> processes specific to </w:t>
            </w:r>
            <w:r w:rsidR="004C028D">
              <w:rPr>
                <w:rFonts w:ascii="Calibri" w:hAnsi="Calibri"/>
                <w:color w:val="404040"/>
                <w:sz w:val="16"/>
                <w:szCs w:val="16"/>
              </w:rPr>
              <w:t>a CRF fund-of-one</w:t>
            </w:r>
            <w:r w:rsidR="00B64769">
              <w:rPr>
                <w:rFonts w:ascii="Calibri" w:hAnsi="Calibri"/>
                <w:color w:val="404040"/>
                <w:sz w:val="16"/>
                <w:szCs w:val="16"/>
              </w:rPr>
              <w:t>. Townsend generally views the proposed process as standard for vehicles of this kind.</w:t>
            </w:r>
          </w:p>
        </w:tc>
      </w:tr>
      <w:tr w:rsidR="003D1DD2" w:rsidRPr="007D083A" w14:paraId="391E590B" w14:textId="77777777" w:rsidTr="007D083A">
        <w:trPr>
          <w:trHeight w:val="265"/>
        </w:trPr>
        <w:tc>
          <w:tcPr>
            <w:tcW w:w="1985" w:type="dxa"/>
            <w:shd w:val="clear" w:color="auto" w:fill="auto"/>
            <w:vAlign w:val="center"/>
            <w:hideMark/>
          </w:tcPr>
          <w:p w14:paraId="55F7468A" w14:textId="77777777" w:rsidR="003D1DD2" w:rsidRPr="00B270B7" w:rsidRDefault="003D1DD2" w:rsidP="000213CC">
            <w:pPr>
              <w:rPr>
                <w:rFonts w:ascii="Calibri" w:hAnsi="Calibri"/>
                <w:i/>
                <w:iCs/>
                <w:color w:val="404040"/>
                <w:sz w:val="16"/>
                <w:szCs w:val="16"/>
              </w:rPr>
            </w:pPr>
            <w:r w:rsidRPr="00B270B7">
              <w:rPr>
                <w:rFonts w:ascii="Calibri" w:hAnsi="Calibri"/>
                <w:i/>
                <w:iCs/>
                <w:color w:val="404040"/>
                <w:sz w:val="16"/>
                <w:szCs w:val="16"/>
              </w:rPr>
              <w:t>Operational Due Diligence</w:t>
            </w:r>
          </w:p>
        </w:tc>
        <w:tc>
          <w:tcPr>
            <w:tcW w:w="8295" w:type="dxa"/>
            <w:shd w:val="clear" w:color="auto" w:fill="auto"/>
            <w:vAlign w:val="center"/>
            <w:hideMark/>
          </w:tcPr>
          <w:p w14:paraId="0A59FBD2" w14:textId="4E77EE35" w:rsidR="003D1DD2" w:rsidRPr="00B270B7" w:rsidRDefault="00233542" w:rsidP="000213CC">
            <w:pPr>
              <w:jc w:val="both"/>
              <w:rPr>
                <w:rFonts w:ascii="Calibri" w:hAnsi="Calibri"/>
                <w:color w:val="404040"/>
                <w:sz w:val="16"/>
                <w:szCs w:val="16"/>
              </w:rPr>
            </w:pPr>
            <w:r>
              <w:rPr>
                <w:rFonts w:ascii="Calibri" w:hAnsi="Calibri"/>
                <w:color w:val="404040"/>
                <w:sz w:val="16"/>
                <w:szCs w:val="16"/>
              </w:rPr>
              <w:t>Rated A2 Pass (</w:t>
            </w:r>
            <w:r w:rsidRPr="00D35850">
              <w:rPr>
                <w:rFonts w:ascii="Wingdings" w:hAnsi="Wingdings" w:cstheme="majorHAnsi" w:hint="eastAsia"/>
                <w:bCs/>
                <w:color w:val="404040" w:themeColor="text1" w:themeTint="BF"/>
                <w:sz w:val="16"/>
                <w:szCs w:val="16"/>
              </w:rPr>
              <w:sym w:font="Wingdings" w:char="F0FC"/>
            </w:r>
            <w:r w:rsidRPr="00233542">
              <w:rPr>
                <w:rFonts w:asciiTheme="majorHAnsi" w:hAnsiTheme="majorHAnsi" w:cstheme="majorHAnsi"/>
                <w:bCs/>
                <w:color w:val="404040" w:themeColor="text1" w:themeTint="BF"/>
                <w:sz w:val="16"/>
                <w:szCs w:val="16"/>
              </w:rPr>
              <w:t>)</w:t>
            </w:r>
            <w:r>
              <w:rPr>
                <w:rFonts w:asciiTheme="majorHAnsi" w:hAnsiTheme="majorHAnsi" w:cstheme="majorHAnsi"/>
                <w:bCs/>
                <w:color w:val="404040" w:themeColor="text1" w:themeTint="BF"/>
                <w:sz w:val="16"/>
                <w:szCs w:val="16"/>
              </w:rPr>
              <w:t xml:space="preserve"> in 2021 review</w:t>
            </w:r>
            <w:r w:rsidR="00037907">
              <w:rPr>
                <w:rFonts w:asciiTheme="majorHAnsi" w:hAnsiTheme="majorHAnsi" w:cstheme="majorHAnsi"/>
                <w:bCs/>
                <w:color w:val="404040" w:themeColor="text1" w:themeTint="BF"/>
                <w:sz w:val="16"/>
                <w:szCs w:val="16"/>
              </w:rPr>
              <w:t xml:space="preserve"> conducted for BLP’s flagship Value fund. </w:t>
            </w:r>
          </w:p>
        </w:tc>
      </w:tr>
      <w:tr w:rsidR="003D1DD2" w:rsidRPr="007D083A" w14:paraId="5E5EECC3" w14:textId="77777777" w:rsidTr="00817EDA">
        <w:trPr>
          <w:trHeight w:val="256"/>
        </w:trPr>
        <w:tc>
          <w:tcPr>
            <w:tcW w:w="1985" w:type="dxa"/>
            <w:shd w:val="clear" w:color="auto" w:fill="auto"/>
            <w:vAlign w:val="center"/>
            <w:hideMark/>
          </w:tcPr>
          <w:p w14:paraId="5C4AC5D9" w14:textId="77777777" w:rsidR="003D1DD2" w:rsidRPr="00B270B7" w:rsidRDefault="003D1DD2" w:rsidP="000213CC">
            <w:pPr>
              <w:rPr>
                <w:rFonts w:ascii="Calibri" w:hAnsi="Calibri"/>
                <w:i/>
                <w:iCs/>
                <w:color w:val="404040"/>
                <w:sz w:val="16"/>
                <w:szCs w:val="16"/>
              </w:rPr>
            </w:pPr>
            <w:r w:rsidRPr="00B270B7">
              <w:rPr>
                <w:rFonts w:ascii="Calibri" w:hAnsi="Calibri"/>
                <w:i/>
                <w:iCs/>
                <w:color w:val="404040"/>
                <w:sz w:val="16"/>
                <w:szCs w:val="16"/>
              </w:rPr>
              <w:t>Performance</w:t>
            </w:r>
          </w:p>
        </w:tc>
        <w:tc>
          <w:tcPr>
            <w:tcW w:w="8295" w:type="dxa"/>
            <w:shd w:val="clear" w:color="auto" w:fill="auto"/>
            <w:vAlign w:val="center"/>
            <w:hideMark/>
          </w:tcPr>
          <w:p w14:paraId="3B950148" w14:textId="02D06509" w:rsidR="003D1DD2" w:rsidRPr="00B270B7" w:rsidRDefault="00037907" w:rsidP="000213CC">
            <w:pPr>
              <w:jc w:val="both"/>
              <w:rPr>
                <w:rFonts w:ascii="Calibri" w:hAnsi="Calibri"/>
                <w:color w:val="404040"/>
                <w:sz w:val="16"/>
                <w:szCs w:val="16"/>
              </w:rPr>
            </w:pPr>
            <w:r>
              <w:rPr>
                <w:rFonts w:ascii="Calibri" w:hAnsi="Calibri"/>
                <w:color w:val="404040"/>
                <w:sz w:val="16"/>
                <w:szCs w:val="16"/>
              </w:rPr>
              <w:t xml:space="preserve">Limited given the early </w:t>
            </w:r>
            <w:r w:rsidR="006C7E25">
              <w:rPr>
                <w:rFonts w:ascii="Calibri" w:hAnsi="Calibri"/>
                <w:color w:val="404040"/>
                <w:sz w:val="16"/>
                <w:szCs w:val="16"/>
              </w:rPr>
              <w:t xml:space="preserve">stages of both the Sponsor and its initial fund launch. </w:t>
            </w:r>
          </w:p>
        </w:tc>
      </w:tr>
      <w:tr w:rsidR="003D1DD2" w:rsidRPr="007D083A" w14:paraId="327FE1E9" w14:textId="77777777" w:rsidTr="00817EDA">
        <w:trPr>
          <w:trHeight w:val="256"/>
        </w:trPr>
        <w:tc>
          <w:tcPr>
            <w:tcW w:w="1985" w:type="dxa"/>
            <w:shd w:val="clear" w:color="auto" w:fill="auto"/>
            <w:vAlign w:val="center"/>
            <w:hideMark/>
          </w:tcPr>
          <w:p w14:paraId="7AADEB39" w14:textId="77777777" w:rsidR="003D1DD2" w:rsidRPr="00B270B7" w:rsidRDefault="003D1DD2" w:rsidP="000213CC">
            <w:pPr>
              <w:rPr>
                <w:rFonts w:ascii="Calibri" w:hAnsi="Calibri"/>
                <w:i/>
                <w:iCs/>
                <w:color w:val="404040"/>
                <w:sz w:val="16"/>
                <w:szCs w:val="16"/>
              </w:rPr>
            </w:pPr>
            <w:r w:rsidRPr="00B270B7">
              <w:rPr>
                <w:rFonts w:ascii="Calibri" w:hAnsi="Calibri"/>
                <w:i/>
                <w:iCs/>
                <w:color w:val="404040"/>
                <w:sz w:val="16"/>
                <w:szCs w:val="16"/>
              </w:rPr>
              <w:t>Sponsor</w:t>
            </w:r>
          </w:p>
        </w:tc>
        <w:tc>
          <w:tcPr>
            <w:tcW w:w="8295" w:type="dxa"/>
            <w:shd w:val="clear" w:color="auto" w:fill="auto"/>
            <w:vAlign w:val="center"/>
            <w:hideMark/>
          </w:tcPr>
          <w:p w14:paraId="7D25E99B" w14:textId="040F7CE2" w:rsidR="003D1DD2" w:rsidRPr="00B270B7" w:rsidRDefault="0074742F" w:rsidP="000213CC">
            <w:pPr>
              <w:jc w:val="both"/>
              <w:rPr>
                <w:rFonts w:ascii="Calibri" w:hAnsi="Calibri"/>
                <w:color w:val="404040"/>
                <w:sz w:val="16"/>
                <w:szCs w:val="16"/>
              </w:rPr>
            </w:pPr>
            <w:r>
              <w:rPr>
                <w:rFonts w:ascii="Calibri" w:hAnsi="Calibri"/>
                <w:color w:val="404040"/>
                <w:sz w:val="16"/>
                <w:szCs w:val="16"/>
              </w:rPr>
              <w:t xml:space="preserve">Experienced staff with sufficient resources from platform build-out since launch in 2021 overlayed with a degree of oversight and operational support from a well-established multi-platform real estate specialist </w:t>
            </w:r>
            <w:r w:rsidR="00E37641">
              <w:rPr>
                <w:rFonts w:ascii="Calibri" w:hAnsi="Calibri"/>
                <w:color w:val="404040"/>
                <w:sz w:val="16"/>
                <w:szCs w:val="16"/>
              </w:rPr>
              <w:t xml:space="preserve">in Bridge Investment Group. </w:t>
            </w:r>
          </w:p>
        </w:tc>
      </w:tr>
      <w:tr w:rsidR="003D1DD2" w:rsidRPr="007D083A" w14:paraId="6E1461AF" w14:textId="77777777" w:rsidTr="00817EDA">
        <w:trPr>
          <w:trHeight w:val="265"/>
        </w:trPr>
        <w:tc>
          <w:tcPr>
            <w:tcW w:w="1985" w:type="dxa"/>
            <w:shd w:val="clear" w:color="auto" w:fill="auto"/>
            <w:vAlign w:val="center"/>
            <w:hideMark/>
          </w:tcPr>
          <w:p w14:paraId="6F0A7232" w14:textId="77777777" w:rsidR="003D1DD2" w:rsidRPr="00B270B7" w:rsidRDefault="003D1DD2" w:rsidP="000213CC">
            <w:pPr>
              <w:rPr>
                <w:rFonts w:ascii="Calibri" w:hAnsi="Calibri"/>
                <w:i/>
                <w:iCs/>
                <w:color w:val="404040"/>
                <w:sz w:val="16"/>
                <w:szCs w:val="16"/>
              </w:rPr>
            </w:pPr>
            <w:r w:rsidRPr="00B270B7">
              <w:rPr>
                <w:rFonts w:ascii="Calibri" w:hAnsi="Calibri"/>
                <w:i/>
                <w:iCs/>
                <w:color w:val="404040"/>
                <w:sz w:val="16"/>
                <w:szCs w:val="16"/>
              </w:rPr>
              <w:t>Strategy</w:t>
            </w:r>
          </w:p>
        </w:tc>
        <w:tc>
          <w:tcPr>
            <w:tcW w:w="8295" w:type="dxa"/>
            <w:shd w:val="clear" w:color="auto" w:fill="auto"/>
            <w:vAlign w:val="center"/>
            <w:hideMark/>
          </w:tcPr>
          <w:p w14:paraId="7ECBDE19" w14:textId="6A7B9C68" w:rsidR="003D1DD2" w:rsidRPr="00B270B7" w:rsidRDefault="00226988" w:rsidP="000213CC">
            <w:pPr>
              <w:jc w:val="both"/>
              <w:rPr>
                <w:rFonts w:ascii="Calibri" w:hAnsi="Calibri"/>
                <w:color w:val="404040"/>
                <w:sz w:val="16"/>
                <w:szCs w:val="16"/>
              </w:rPr>
            </w:pPr>
            <w:r>
              <w:rPr>
                <w:rFonts w:ascii="Calibri" w:hAnsi="Calibri"/>
                <w:color w:val="404040"/>
                <w:sz w:val="16"/>
                <w:szCs w:val="16"/>
              </w:rPr>
              <w:t xml:space="preserve">Opportunistic risk-return profile focused on </w:t>
            </w:r>
            <w:r w:rsidR="0068518C">
              <w:rPr>
                <w:rFonts w:ascii="Calibri" w:hAnsi="Calibri"/>
                <w:color w:val="404040"/>
                <w:sz w:val="16"/>
                <w:szCs w:val="16"/>
              </w:rPr>
              <w:t>larger developments where traditional finite-life closed-end fund capital</w:t>
            </w:r>
            <w:r w:rsidR="00AD2CBF">
              <w:rPr>
                <w:rFonts w:ascii="Calibri" w:hAnsi="Calibri"/>
                <w:color w:val="404040"/>
                <w:sz w:val="16"/>
                <w:szCs w:val="16"/>
              </w:rPr>
              <w:t xml:space="preserve"> would be less appropriate. </w:t>
            </w:r>
            <w:r w:rsidR="00351F31">
              <w:rPr>
                <w:rFonts w:ascii="Calibri" w:hAnsi="Calibri"/>
                <w:color w:val="404040"/>
                <w:sz w:val="16"/>
                <w:szCs w:val="16"/>
              </w:rPr>
              <w:t>Industrial sector remains a thematic focus.</w:t>
            </w:r>
          </w:p>
        </w:tc>
      </w:tr>
      <w:tr w:rsidR="003D1DD2" w:rsidRPr="007D083A" w14:paraId="22D97E0E" w14:textId="77777777" w:rsidTr="00817EDA">
        <w:trPr>
          <w:trHeight w:val="256"/>
        </w:trPr>
        <w:tc>
          <w:tcPr>
            <w:tcW w:w="1985" w:type="dxa"/>
            <w:shd w:val="clear" w:color="auto" w:fill="auto"/>
            <w:vAlign w:val="center"/>
            <w:hideMark/>
          </w:tcPr>
          <w:p w14:paraId="1EF4797A" w14:textId="77777777" w:rsidR="003D1DD2" w:rsidRPr="00B270B7" w:rsidRDefault="003D1DD2" w:rsidP="000213CC">
            <w:pPr>
              <w:rPr>
                <w:rFonts w:ascii="Calibri" w:hAnsi="Calibri"/>
                <w:i/>
                <w:iCs/>
                <w:color w:val="404040"/>
                <w:sz w:val="16"/>
                <w:szCs w:val="16"/>
              </w:rPr>
            </w:pPr>
            <w:r w:rsidRPr="00B270B7">
              <w:rPr>
                <w:rFonts w:ascii="Calibri" w:hAnsi="Calibri"/>
                <w:i/>
                <w:iCs/>
                <w:color w:val="404040"/>
                <w:sz w:val="16"/>
                <w:szCs w:val="16"/>
              </w:rPr>
              <w:t>Terms &amp; Conditions</w:t>
            </w:r>
          </w:p>
        </w:tc>
        <w:tc>
          <w:tcPr>
            <w:tcW w:w="8295" w:type="dxa"/>
            <w:shd w:val="clear" w:color="auto" w:fill="auto"/>
            <w:vAlign w:val="center"/>
            <w:hideMark/>
          </w:tcPr>
          <w:p w14:paraId="23E4FD63" w14:textId="238C87F3" w:rsidR="003D1DD2" w:rsidRPr="00B270B7" w:rsidRDefault="00B223F7" w:rsidP="000213CC">
            <w:pPr>
              <w:jc w:val="both"/>
              <w:rPr>
                <w:rFonts w:ascii="Calibri" w:hAnsi="Calibri"/>
                <w:color w:val="404040"/>
                <w:sz w:val="16"/>
                <w:szCs w:val="16"/>
              </w:rPr>
            </w:pPr>
            <w:r>
              <w:rPr>
                <w:rFonts w:ascii="Calibri" w:hAnsi="Calibri"/>
                <w:color w:val="404040"/>
                <w:sz w:val="16"/>
                <w:szCs w:val="16"/>
              </w:rPr>
              <w:t xml:space="preserve">Favorable relative to closed-end fund alternatives, reflecting </w:t>
            </w:r>
            <w:r w:rsidR="004E7AEB">
              <w:rPr>
                <w:rFonts w:ascii="Calibri" w:hAnsi="Calibri"/>
                <w:color w:val="404040"/>
                <w:sz w:val="16"/>
                <w:szCs w:val="16"/>
              </w:rPr>
              <w:t xml:space="preserve">NYSCRF’s significant capital commitment. </w:t>
            </w:r>
          </w:p>
        </w:tc>
      </w:tr>
      <w:tr w:rsidR="003D1DD2" w:rsidRPr="007D083A" w14:paraId="042C4F3D" w14:textId="77777777" w:rsidTr="005C3856">
        <w:trPr>
          <w:trHeight w:val="300"/>
        </w:trPr>
        <w:tc>
          <w:tcPr>
            <w:tcW w:w="1985" w:type="dxa"/>
            <w:shd w:val="clear" w:color="auto" w:fill="D9D9D9" w:themeFill="background1" w:themeFillShade="D9"/>
            <w:vAlign w:val="center"/>
            <w:hideMark/>
          </w:tcPr>
          <w:p w14:paraId="0CC5B6AE" w14:textId="77777777" w:rsidR="003D1DD2" w:rsidRPr="00B270B7" w:rsidRDefault="003D1DD2" w:rsidP="000213CC">
            <w:pPr>
              <w:rPr>
                <w:rFonts w:ascii="Calibri" w:hAnsi="Calibri"/>
                <w:i/>
                <w:iCs/>
                <w:color w:val="404040"/>
                <w:sz w:val="16"/>
                <w:szCs w:val="16"/>
              </w:rPr>
            </w:pPr>
            <w:r w:rsidRPr="00B270B7">
              <w:rPr>
                <w:rFonts w:ascii="Calibri" w:hAnsi="Calibri"/>
                <w:i/>
                <w:iCs/>
                <w:color w:val="404040"/>
                <w:sz w:val="16"/>
                <w:szCs w:val="16"/>
              </w:rPr>
              <w:t xml:space="preserve">Overall  </w:t>
            </w:r>
          </w:p>
        </w:tc>
        <w:tc>
          <w:tcPr>
            <w:tcW w:w="8295" w:type="dxa"/>
            <w:shd w:val="clear" w:color="auto" w:fill="D9D9D9" w:themeFill="background1" w:themeFillShade="D9"/>
            <w:vAlign w:val="center"/>
            <w:hideMark/>
          </w:tcPr>
          <w:p w14:paraId="17FDF1A7" w14:textId="34FC5E33" w:rsidR="003D1DD2" w:rsidRPr="00B270B7" w:rsidRDefault="004E13B0" w:rsidP="000213CC">
            <w:pPr>
              <w:jc w:val="both"/>
              <w:rPr>
                <w:rFonts w:ascii="Calibri" w:hAnsi="Calibri"/>
                <w:color w:val="404040"/>
                <w:sz w:val="16"/>
                <w:szCs w:val="16"/>
              </w:rPr>
            </w:pPr>
            <w:r>
              <w:rPr>
                <w:rFonts w:ascii="Calibri" w:hAnsi="Calibri"/>
                <w:color w:val="404040"/>
                <w:sz w:val="16"/>
                <w:szCs w:val="16"/>
              </w:rPr>
              <w:t>The Fund is not broadly marketed and has been Buy-rated as a Fund-of-One opportunity specific to NYSCRF.</w:t>
            </w:r>
          </w:p>
        </w:tc>
      </w:tr>
    </w:tbl>
    <w:p w14:paraId="26A87B38" w14:textId="6B16B456" w:rsidR="004926ED" w:rsidRDefault="00DC3182" w:rsidP="0076152B">
      <w:pPr>
        <w:spacing w:before="80"/>
        <w:jc w:val="center"/>
        <w:rPr>
          <w:rFonts w:ascii="Calibri" w:hAnsi="Calibri"/>
          <w:b/>
          <w:color w:val="003A5D"/>
          <w:szCs w:val="22"/>
        </w:rPr>
      </w:pPr>
      <w:r>
        <w:rPr>
          <w:rFonts w:ascii="Calibri" w:hAnsi="Calibri"/>
          <w:b/>
          <w:color w:val="003A5D"/>
          <w:szCs w:val="22"/>
        </w:rPr>
        <w:t>Investment Rating Explanation</w:t>
      </w:r>
    </w:p>
    <w:p w14:paraId="262BA748" w14:textId="77777777" w:rsidR="0076152B" w:rsidRDefault="0076152B" w:rsidP="0076152B">
      <w:pPr>
        <w:spacing w:line="264" w:lineRule="auto"/>
        <w:ind w:left="-144"/>
        <w:jc w:val="both"/>
        <w:rPr>
          <w:rFonts w:ascii="Calibri" w:eastAsia="MS Mincho" w:hAnsi="Calibri"/>
          <w:color w:val="404040" w:themeColor="text1" w:themeTint="BF"/>
          <w:sz w:val="16"/>
          <w:szCs w:val="16"/>
          <w:lang w:val="en-GB"/>
        </w:rPr>
      </w:pPr>
      <w:r w:rsidRPr="00901966">
        <w:rPr>
          <w:rFonts w:ascii="Calibri" w:eastAsia="MS Mincho" w:hAnsi="Calibri"/>
          <w:color w:val="404040" w:themeColor="text1" w:themeTint="BF"/>
          <w:sz w:val="16"/>
          <w:szCs w:val="16"/>
          <w:lang w:val="en-GB"/>
        </w:rPr>
        <w:t xml:space="preserve">The comments and assertions reflect Townsend views of the specific investment product, its </w:t>
      </w:r>
      <w:proofErr w:type="gramStart"/>
      <w:r w:rsidRPr="00901966">
        <w:rPr>
          <w:rFonts w:ascii="Calibri" w:eastAsia="MS Mincho" w:hAnsi="Calibri"/>
          <w:color w:val="404040" w:themeColor="text1" w:themeTint="BF"/>
          <w:sz w:val="16"/>
          <w:szCs w:val="16"/>
          <w:lang w:val="en-GB"/>
        </w:rPr>
        <w:t>strengths</w:t>
      </w:r>
      <w:proofErr w:type="gramEnd"/>
      <w:r w:rsidRPr="00901966">
        <w:rPr>
          <w:rFonts w:ascii="Calibri" w:eastAsia="MS Mincho" w:hAnsi="Calibri"/>
          <w:color w:val="404040" w:themeColor="text1" w:themeTint="BF"/>
          <w:sz w:val="16"/>
          <w:szCs w:val="16"/>
          <w:lang w:val="en-GB"/>
        </w:rPr>
        <w:t xml:space="preserve"> and weaknesses in general and in the context of Townsend’s </w:t>
      </w:r>
      <w:r w:rsidRPr="00901966">
        <w:rPr>
          <w:rFonts w:ascii="Calibri" w:eastAsia="MS Mincho" w:hAnsi="Calibri"/>
          <w:i/>
          <w:color w:val="404040" w:themeColor="text1" w:themeTint="BF"/>
          <w:sz w:val="16"/>
          <w:szCs w:val="16"/>
          <w:lang w:val="en-GB"/>
        </w:rPr>
        <w:t>View of the World</w:t>
      </w:r>
      <w:r w:rsidRPr="00901966">
        <w:rPr>
          <w:rFonts w:ascii="Calibri" w:eastAsia="MS Mincho" w:hAnsi="Calibri"/>
          <w:color w:val="404040" w:themeColor="text1" w:themeTint="BF"/>
          <w:sz w:val="16"/>
          <w:szCs w:val="16"/>
          <w:lang w:val="en-GB"/>
        </w:rPr>
        <w:t xml:space="preserve"> and same vintage alternative choices. </w:t>
      </w:r>
    </w:p>
    <w:p w14:paraId="73BD3C8F" w14:textId="77777777" w:rsidR="0076152B" w:rsidRPr="00901966" w:rsidRDefault="0076152B" w:rsidP="0076152B">
      <w:pPr>
        <w:pStyle w:val="ListParagraph"/>
        <w:numPr>
          <w:ilvl w:val="0"/>
          <w:numId w:val="38"/>
        </w:numPr>
        <w:spacing w:before="80" w:line="264" w:lineRule="auto"/>
        <w:ind w:left="504"/>
        <w:jc w:val="both"/>
        <w:rPr>
          <w:rFonts w:ascii="Calibri" w:eastAsia="MS Mincho" w:hAnsi="Calibri"/>
          <w:color w:val="404040" w:themeColor="text1" w:themeTint="BF"/>
          <w:sz w:val="16"/>
          <w:szCs w:val="16"/>
          <w:lang w:val="en-GB"/>
        </w:rPr>
      </w:pPr>
      <w:r w:rsidRPr="00901966">
        <w:rPr>
          <w:rFonts w:ascii="Calibri" w:hAnsi="Calibri"/>
          <w:b/>
          <w:sz w:val="16"/>
          <w:szCs w:val="16"/>
          <w:lang w:val="en-GB" w:eastAsia="ja-JP"/>
        </w:rPr>
        <w:t>Buy</w:t>
      </w:r>
      <w:r w:rsidRPr="00901966">
        <w:rPr>
          <w:rFonts w:ascii="Calibri" w:hAnsi="Calibri"/>
          <w:sz w:val="16"/>
          <w:szCs w:val="16"/>
          <w:lang w:val="en-GB" w:eastAsia="ja-JP"/>
        </w:rPr>
        <w:t xml:space="preserve"> -</w:t>
      </w:r>
      <w:r w:rsidRPr="00901966">
        <w:rPr>
          <w:rFonts w:ascii="Calibri" w:hAnsi="Calibri"/>
          <w:color w:val="404040" w:themeColor="text1" w:themeTint="BF"/>
          <w:sz w:val="16"/>
          <w:szCs w:val="16"/>
          <w:lang w:val="en-GB" w:eastAsia="ja-JP"/>
        </w:rPr>
        <w:t xml:space="preserve"> Suitable for institutional investors that have a portfolio construction need. Appropriate overall risk profile given the strategy and targeted returns.</w:t>
      </w:r>
    </w:p>
    <w:p w14:paraId="3DC93E20" w14:textId="77777777" w:rsidR="0076152B" w:rsidRPr="00901966" w:rsidRDefault="0076152B" w:rsidP="0076152B">
      <w:pPr>
        <w:pStyle w:val="NoSpacing"/>
        <w:numPr>
          <w:ilvl w:val="0"/>
          <w:numId w:val="38"/>
        </w:numPr>
        <w:ind w:left="504"/>
        <w:jc w:val="both"/>
        <w:rPr>
          <w:rFonts w:ascii="Calibri" w:hAnsi="Calibri"/>
          <w:color w:val="404040" w:themeColor="text1" w:themeTint="BF"/>
          <w:sz w:val="16"/>
          <w:szCs w:val="16"/>
          <w:lang w:val="en-GB" w:eastAsia="ja-JP"/>
        </w:rPr>
      </w:pPr>
      <w:r w:rsidRPr="00901966">
        <w:rPr>
          <w:rFonts w:ascii="Calibri" w:hAnsi="Calibri"/>
          <w:b/>
          <w:sz w:val="16"/>
          <w:szCs w:val="16"/>
          <w:lang w:val="en-GB" w:eastAsia="ja-JP"/>
        </w:rPr>
        <w:t xml:space="preserve">Qualified </w:t>
      </w:r>
      <w:r w:rsidRPr="00901966">
        <w:rPr>
          <w:rFonts w:ascii="Calibri" w:hAnsi="Calibri"/>
          <w:sz w:val="16"/>
          <w:szCs w:val="16"/>
          <w:lang w:val="en-GB" w:eastAsia="ja-JP"/>
        </w:rPr>
        <w:t xml:space="preserve">- </w:t>
      </w:r>
      <w:r w:rsidRPr="00901966">
        <w:rPr>
          <w:rFonts w:ascii="Calibri" w:hAnsi="Calibri"/>
          <w:color w:val="404040" w:themeColor="text1" w:themeTint="BF"/>
          <w:sz w:val="16"/>
          <w:szCs w:val="16"/>
          <w:lang w:val="en-GB"/>
        </w:rPr>
        <w:t xml:space="preserve">Suitable for institutional capital. In addition to customary risks, contains one or more heightened risks that should be weighed against an investor’s preferences, risk tolerances, and portfolio construction needs. </w:t>
      </w:r>
      <w:r w:rsidRPr="00901966">
        <w:rPr>
          <w:rFonts w:ascii="Calibri" w:hAnsi="Calibri"/>
          <w:color w:val="404040" w:themeColor="text1" w:themeTint="BF"/>
          <w:sz w:val="16"/>
          <w:szCs w:val="16"/>
        </w:rPr>
        <w:t xml:space="preserve">  </w:t>
      </w:r>
    </w:p>
    <w:p w14:paraId="6C6114FC" w14:textId="77777777" w:rsidR="0076152B" w:rsidRPr="00901966" w:rsidRDefault="0076152B" w:rsidP="0076152B">
      <w:pPr>
        <w:spacing w:before="80"/>
        <w:ind w:left="-144"/>
        <w:jc w:val="both"/>
        <w:rPr>
          <w:rFonts w:ascii="Calibri" w:hAnsi="Calibri"/>
          <w:color w:val="404040" w:themeColor="text1" w:themeTint="BF"/>
          <w:sz w:val="16"/>
          <w:szCs w:val="16"/>
          <w:lang w:val="en-GB"/>
        </w:rPr>
      </w:pPr>
      <w:r w:rsidRPr="00901966">
        <w:rPr>
          <w:rFonts w:ascii="Calibri" w:hAnsi="Calibri"/>
          <w:color w:val="404040" w:themeColor="text1" w:themeTint="BF"/>
          <w:sz w:val="16"/>
          <w:szCs w:val="16"/>
          <w:lang w:val="en-GB"/>
        </w:rPr>
        <w:t xml:space="preserve">Operational due diligence rating provided by Aon’s dedicated multi-asset class Operational Due Diligence team according to its autonomous review of the Sponsor’s </w:t>
      </w:r>
      <w:r w:rsidRPr="00901966">
        <w:rPr>
          <w:rFonts w:ascii="Calibri" w:eastAsia="MS Mincho" w:hAnsi="Calibri" w:cs="Arial"/>
          <w:color w:val="404040" w:themeColor="text1" w:themeTint="BF"/>
          <w:sz w:val="16"/>
          <w:szCs w:val="16"/>
        </w:rPr>
        <w:t xml:space="preserve">policies &amp; procedures, </w:t>
      </w:r>
      <w:proofErr w:type="gramStart"/>
      <w:r w:rsidRPr="00901966">
        <w:rPr>
          <w:rFonts w:ascii="Calibri" w:eastAsia="MS Mincho" w:hAnsi="Calibri" w:cs="Arial"/>
          <w:color w:val="404040" w:themeColor="text1" w:themeTint="BF"/>
          <w:sz w:val="16"/>
          <w:szCs w:val="16"/>
        </w:rPr>
        <w:t>infrastructure</w:t>
      </w:r>
      <w:proofErr w:type="gramEnd"/>
      <w:r w:rsidRPr="00901966">
        <w:rPr>
          <w:rFonts w:ascii="Calibri" w:eastAsia="MS Mincho" w:hAnsi="Calibri" w:cs="Arial"/>
          <w:color w:val="404040" w:themeColor="text1" w:themeTint="BF"/>
          <w:sz w:val="16"/>
          <w:szCs w:val="16"/>
        </w:rPr>
        <w:t xml:space="preserve"> and capabilities across a range of operations, middle and back office, and control functions.</w:t>
      </w:r>
    </w:p>
    <w:p w14:paraId="636EECB3" w14:textId="77777777" w:rsidR="0076152B" w:rsidRPr="00901966" w:rsidRDefault="0076152B" w:rsidP="0076152B">
      <w:pPr>
        <w:pStyle w:val="ListParagraph"/>
        <w:numPr>
          <w:ilvl w:val="0"/>
          <w:numId w:val="39"/>
        </w:numPr>
        <w:spacing w:before="80"/>
        <w:ind w:left="504"/>
        <w:jc w:val="both"/>
        <w:rPr>
          <w:rFonts w:ascii="Calibri" w:hAnsi="Calibri"/>
          <w:color w:val="404040" w:themeColor="text1" w:themeTint="BF"/>
          <w:sz w:val="16"/>
          <w:szCs w:val="16"/>
          <w:lang w:val="en-GB"/>
        </w:rPr>
      </w:pPr>
      <w:r w:rsidRPr="00901966">
        <w:rPr>
          <w:rFonts w:ascii="Calibri" w:hAnsi="Calibri"/>
          <w:b/>
          <w:color w:val="404040" w:themeColor="text1" w:themeTint="BF"/>
          <w:sz w:val="16"/>
          <w:szCs w:val="16"/>
          <w:lang w:val="en-GB"/>
        </w:rPr>
        <w:t>A1-Pass</w:t>
      </w:r>
      <w:r w:rsidRPr="00901966">
        <w:rPr>
          <w:rFonts w:ascii="Calibri" w:hAnsi="Calibri"/>
          <w:color w:val="404040" w:themeColor="text1" w:themeTint="BF"/>
          <w:sz w:val="16"/>
          <w:szCs w:val="16"/>
          <w:lang w:val="en-GB"/>
        </w:rPr>
        <w:t xml:space="preserve"> </w:t>
      </w:r>
      <w:r>
        <w:rPr>
          <w:rFonts w:ascii="Calibri" w:hAnsi="Calibri"/>
          <w:color w:val="404040" w:themeColor="text1" w:themeTint="BF"/>
          <w:sz w:val="16"/>
          <w:szCs w:val="16"/>
          <w:lang w:val="en-GB"/>
        </w:rPr>
        <w:t>– (</w:t>
      </w:r>
      <w:r w:rsidRPr="00D35850">
        <w:rPr>
          <w:rFonts w:ascii="Wingdings" w:hAnsi="Wingdings" w:cstheme="majorHAnsi" w:hint="eastAsia"/>
          <w:bCs/>
          <w:color w:val="404040" w:themeColor="text1" w:themeTint="BF"/>
          <w:sz w:val="16"/>
          <w:szCs w:val="16"/>
        </w:rPr>
        <w:sym w:font="Wingdings" w:char="F0FC"/>
      </w:r>
      <w:r w:rsidRPr="00D35850">
        <w:rPr>
          <w:rFonts w:asciiTheme="majorHAnsi" w:hAnsiTheme="majorHAnsi" w:cstheme="majorHAnsi"/>
          <w:bCs/>
          <w:color w:val="404040" w:themeColor="text1" w:themeTint="BF"/>
          <w:sz w:val="16"/>
          <w:szCs w:val="16"/>
        </w:rPr>
        <w:t>+)</w:t>
      </w:r>
      <w:r w:rsidRPr="00901966">
        <w:rPr>
          <w:rFonts w:ascii="Calibri" w:hAnsi="Calibri"/>
          <w:color w:val="404040" w:themeColor="text1" w:themeTint="BF"/>
          <w:sz w:val="16"/>
          <w:szCs w:val="16"/>
          <w:lang w:val="en-GB"/>
        </w:rPr>
        <w:t xml:space="preserve"> N</w:t>
      </w:r>
      <w:r w:rsidRPr="00901966">
        <w:rPr>
          <w:rFonts w:ascii="Calibri" w:eastAsia="MS Mincho" w:hAnsi="Calibri"/>
          <w:color w:val="404040" w:themeColor="text1" w:themeTint="BF"/>
          <w:sz w:val="16"/>
          <w:szCs w:val="16"/>
        </w:rPr>
        <w:t>o material operational concerns; firm’s operations largely align with a well-controlled operating environment.</w:t>
      </w:r>
    </w:p>
    <w:p w14:paraId="317B7142" w14:textId="77777777" w:rsidR="0076152B" w:rsidRPr="00901966" w:rsidRDefault="0076152B" w:rsidP="0076152B">
      <w:pPr>
        <w:pStyle w:val="ListParagraph"/>
        <w:numPr>
          <w:ilvl w:val="0"/>
          <w:numId w:val="39"/>
        </w:numPr>
        <w:ind w:left="504"/>
        <w:jc w:val="both"/>
        <w:rPr>
          <w:rFonts w:ascii="Calibri" w:eastAsia="MS Mincho" w:hAnsi="Calibri"/>
          <w:color w:val="404040" w:themeColor="text1" w:themeTint="BF"/>
          <w:sz w:val="16"/>
          <w:szCs w:val="16"/>
        </w:rPr>
      </w:pPr>
      <w:r w:rsidRPr="00901966">
        <w:rPr>
          <w:rFonts w:ascii="Calibri" w:hAnsi="Calibri"/>
          <w:b/>
          <w:color w:val="404040" w:themeColor="text1" w:themeTint="BF"/>
          <w:sz w:val="16"/>
          <w:szCs w:val="16"/>
          <w:lang w:val="en-GB"/>
        </w:rPr>
        <w:t>A2-Pass</w:t>
      </w:r>
      <w:r>
        <w:rPr>
          <w:rFonts w:ascii="Calibri" w:hAnsi="Calibri"/>
          <w:b/>
          <w:color w:val="404040" w:themeColor="text1" w:themeTint="BF"/>
          <w:sz w:val="16"/>
          <w:szCs w:val="16"/>
          <w:lang w:val="en-GB"/>
        </w:rPr>
        <w:t xml:space="preserve"> </w:t>
      </w:r>
      <w:r w:rsidRPr="00D35850">
        <w:rPr>
          <w:rFonts w:ascii="Calibri" w:hAnsi="Calibri"/>
          <w:b/>
          <w:color w:val="404040" w:themeColor="text1" w:themeTint="BF"/>
          <w:sz w:val="16"/>
          <w:szCs w:val="16"/>
          <w:lang w:val="en-GB"/>
        </w:rPr>
        <w:t>(</w:t>
      </w:r>
      <w:r w:rsidRPr="00D35850">
        <w:rPr>
          <w:rFonts w:ascii="Wingdings" w:hAnsi="Wingdings" w:cstheme="majorHAnsi" w:hint="eastAsia"/>
          <w:bCs/>
          <w:color w:val="404040" w:themeColor="text1" w:themeTint="BF"/>
          <w:sz w:val="16"/>
          <w:szCs w:val="16"/>
        </w:rPr>
        <w:sym w:font="Wingdings" w:char="F0FC"/>
      </w:r>
      <w:r w:rsidRPr="00D35850">
        <w:rPr>
          <w:rFonts w:asciiTheme="majorHAnsi" w:hAnsiTheme="majorHAnsi" w:cstheme="majorHAnsi"/>
          <w:bCs/>
          <w:color w:val="404040" w:themeColor="text1" w:themeTint="BF"/>
          <w:sz w:val="16"/>
          <w:szCs w:val="16"/>
        </w:rPr>
        <w:t>)</w:t>
      </w:r>
      <w:r w:rsidRPr="00901966">
        <w:rPr>
          <w:rFonts w:ascii="Calibri" w:hAnsi="Calibri"/>
          <w:color w:val="404040" w:themeColor="text1" w:themeTint="BF"/>
          <w:sz w:val="16"/>
          <w:szCs w:val="16"/>
          <w:lang w:val="en-GB"/>
        </w:rPr>
        <w:t xml:space="preserve"> - F</w:t>
      </w:r>
      <w:proofErr w:type="spellStart"/>
      <w:r w:rsidRPr="00901966">
        <w:rPr>
          <w:rFonts w:ascii="Calibri" w:eastAsia="MS Mincho" w:hAnsi="Calibri"/>
          <w:color w:val="404040" w:themeColor="text1" w:themeTint="BF"/>
          <w:sz w:val="16"/>
          <w:szCs w:val="16"/>
        </w:rPr>
        <w:t>irm’s</w:t>
      </w:r>
      <w:proofErr w:type="spellEnd"/>
      <w:r w:rsidRPr="00901966">
        <w:rPr>
          <w:rFonts w:ascii="Calibri" w:eastAsia="MS Mincho" w:hAnsi="Calibri"/>
          <w:color w:val="404040" w:themeColor="text1" w:themeTint="BF"/>
          <w:sz w:val="16"/>
          <w:szCs w:val="16"/>
        </w:rPr>
        <w:t xml:space="preserve"> operations largely align with a well-controlled operating environment, with limited exceptions due to resource limitations or where isolated areas do not align with best practice.</w:t>
      </w:r>
    </w:p>
    <w:p w14:paraId="67B4CFD5" w14:textId="77777777" w:rsidR="0076152B" w:rsidRPr="00901966" w:rsidRDefault="0076152B" w:rsidP="0076152B">
      <w:pPr>
        <w:pStyle w:val="ListParagraph"/>
        <w:numPr>
          <w:ilvl w:val="0"/>
          <w:numId w:val="39"/>
        </w:numPr>
        <w:ind w:left="504"/>
        <w:jc w:val="both"/>
        <w:rPr>
          <w:rFonts w:ascii="Calibri" w:eastAsia="MS Mincho" w:hAnsi="Calibri"/>
          <w:color w:val="404040" w:themeColor="text1" w:themeTint="BF"/>
          <w:sz w:val="16"/>
          <w:szCs w:val="16"/>
        </w:rPr>
      </w:pPr>
      <w:r w:rsidRPr="00901966">
        <w:rPr>
          <w:rFonts w:ascii="Calibri" w:eastAsia="MS Mincho" w:hAnsi="Calibri"/>
          <w:b/>
          <w:color w:val="404040" w:themeColor="text1" w:themeTint="BF"/>
          <w:sz w:val="16"/>
          <w:szCs w:val="16"/>
        </w:rPr>
        <w:t>Conditional Pass</w:t>
      </w:r>
      <w:r w:rsidRPr="00901966">
        <w:rPr>
          <w:rFonts w:ascii="Calibri" w:eastAsia="MS Mincho" w:hAnsi="Calibri"/>
          <w:color w:val="404040" w:themeColor="text1" w:themeTint="BF"/>
          <w:sz w:val="16"/>
          <w:szCs w:val="16"/>
        </w:rPr>
        <w:t xml:space="preserve"> - Aon noted specific operational concerns that the firm has agreed to address in a reasonable timeframe.</w:t>
      </w:r>
    </w:p>
    <w:p w14:paraId="1E961CEF" w14:textId="670C9AEB" w:rsidR="0076152B" w:rsidRPr="00901966" w:rsidRDefault="0076152B" w:rsidP="0076152B">
      <w:pPr>
        <w:spacing w:before="80"/>
        <w:ind w:left="-144"/>
        <w:jc w:val="both"/>
        <w:rPr>
          <w:rFonts w:ascii="Calibri" w:eastAsia="MS Mincho" w:hAnsi="Calibri"/>
          <w:iCs/>
          <w:color w:val="404040"/>
          <w:sz w:val="16"/>
          <w:szCs w:val="16"/>
        </w:rPr>
      </w:pPr>
      <w:r w:rsidRPr="00901966">
        <w:rPr>
          <w:rFonts w:ascii="Calibri" w:eastAsia="MS Mincho" w:hAnsi="Calibri"/>
          <w:iCs/>
          <w:color w:val="404040"/>
          <w:sz w:val="16"/>
          <w:szCs w:val="16"/>
        </w:rPr>
        <w:t xml:space="preserve">ESG scoring and an associated rating is according to guidance from </w:t>
      </w:r>
      <w:r w:rsidR="0052323A">
        <w:rPr>
          <w:rFonts w:ascii="Calibri" w:eastAsia="MS Mincho" w:hAnsi="Calibri"/>
          <w:iCs/>
          <w:color w:val="404040"/>
          <w:sz w:val="16"/>
          <w:szCs w:val="16"/>
        </w:rPr>
        <w:t>Townsend’s</w:t>
      </w:r>
      <w:r w:rsidRPr="00901966">
        <w:rPr>
          <w:rFonts w:ascii="Calibri" w:eastAsia="MS Mincho" w:hAnsi="Calibri"/>
          <w:iCs/>
          <w:color w:val="404040"/>
          <w:sz w:val="16"/>
          <w:szCs w:val="16"/>
        </w:rPr>
        <w:t xml:space="preserve"> internal ESG Committee</w:t>
      </w:r>
      <w:r w:rsidR="0052323A">
        <w:rPr>
          <w:rFonts w:ascii="Calibri" w:eastAsia="MS Mincho" w:hAnsi="Calibri"/>
          <w:iCs/>
          <w:color w:val="404040"/>
          <w:sz w:val="16"/>
          <w:szCs w:val="16"/>
        </w:rPr>
        <w:t>.</w:t>
      </w:r>
    </w:p>
    <w:p w14:paraId="7FE0CEA4" w14:textId="77777777" w:rsidR="0076152B" w:rsidRPr="00901966" w:rsidRDefault="0076152B" w:rsidP="0076152B">
      <w:pPr>
        <w:numPr>
          <w:ilvl w:val="0"/>
          <w:numId w:val="37"/>
        </w:numPr>
        <w:spacing w:before="80" w:after="120"/>
        <w:ind w:left="504"/>
        <w:contextualSpacing/>
        <w:jc w:val="both"/>
        <w:rPr>
          <w:rFonts w:ascii="Calibri" w:eastAsia="MS Mincho" w:hAnsi="Calibri"/>
          <w:i/>
          <w:color w:val="404040"/>
          <w:sz w:val="16"/>
          <w:szCs w:val="16"/>
        </w:rPr>
      </w:pPr>
      <w:r w:rsidRPr="00901966">
        <w:rPr>
          <w:rFonts w:ascii="Calibri" w:eastAsia="MS Mincho" w:hAnsi="Calibri"/>
          <w:b/>
          <w:bCs/>
          <w:iCs/>
          <w:color w:val="404040"/>
          <w:sz w:val="16"/>
          <w:szCs w:val="16"/>
        </w:rPr>
        <w:t>Limited</w:t>
      </w:r>
      <w:r w:rsidRPr="00901966">
        <w:rPr>
          <w:rFonts w:ascii="Calibri" w:eastAsia="MS Mincho" w:hAnsi="Calibri"/>
          <w:iCs/>
          <w:color w:val="404040"/>
          <w:sz w:val="16"/>
          <w:szCs w:val="16"/>
        </w:rPr>
        <w:t xml:space="preserve"> </w:t>
      </w:r>
      <w:proofErr w:type="gramStart"/>
      <w:r w:rsidRPr="00901966">
        <w:rPr>
          <w:rFonts w:ascii="Calibri" w:eastAsia="MS Mincho" w:hAnsi="Calibri"/>
          <w:iCs/>
          <w:color w:val="404040"/>
          <w:sz w:val="16"/>
          <w:szCs w:val="16"/>
        </w:rPr>
        <w:t>-  The</w:t>
      </w:r>
      <w:proofErr w:type="gramEnd"/>
      <w:r w:rsidRPr="00901966">
        <w:rPr>
          <w:rFonts w:ascii="Calibri" w:eastAsia="MS Mincho" w:hAnsi="Calibri"/>
          <w:iCs/>
          <w:color w:val="404040"/>
          <w:sz w:val="16"/>
          <w:szCs w:val="16"/>
        </w:rPr>
        <w:t xml:space="preserve"> fund management team takes limited steps to address ESG considerations in existing and anticipated portfolios.</w:t>
      </w:r>
    </w:p>
    <w:p w14:paraId="6E647744" w14:textId="77777777" w:rsidR="0076152B" w:rsidRPr="00901966" w:rsidRDefault="0076152B" w:rsidP="0076152B">
      <w:pPr>
        <w:numPr>
          <w:ilvl w:val="0"/>
          <w:numId w:val="37"/>
        </w:numPr>
        <w:spacing w:before="80" w:after="120"/>
        <w:ind w:left="504"/>
        <w:contextualSpacing/>
        <w:jc w:val="both"/>
        <w:rPr>
          <w:rFonts w:ascii="Calibri" w:eastAsia="MS Mincho" w:hAnsi="Calibri"/>
          <w:i/>
          <w:color w:val="404040"/>
          <w:sz w:val="16"/>
          <w:szCs w:val="16"/>
        </w:rPr>
      </w:pPr>
      <w:r w:rsidRPr="00901966">
        <w:rPr>
          <w:rFonts w:ascii="Calibri" w:eastAsia="MS Mincho" w:hAnsi="Calibri"/>
          <w:b/>
          <w:bCs/>
          <w:iCs/>
          <w:color w:val="404040"/>
          <w:sz w:val="16"/>
          <w:szCs w:val="16"/>
        </w:rPr>
        <w:t>Integrated</w:t>
      </w:r>
      <w:r w:rsidRPr="00901966">
        <w:rPr>
          <w:rFonts w:ascii="Calibri" w:eastAsia="MS Mincho" w:hAnsi="Calibri"/>
          <w:iCs/>
          <w:color w:val="404040"/>
          <w:sz w:val="16"/>
          <w:szCs w:val="16"/>
        </w:rPr>
        <w:t xml:space="preserve"> - </w:t>
      </w:r>
      <w:r w:rsidRPr="00901966">
        <w:rPr>
          <w:rFonts w:ascii="Calibri" w:eastAsia="Calibri" w:hAnsi="Calibri" w:cs="Calibri"/>
          <w:color w:val="404040"/>
          <w:sz w:val="16"/>
          <w:szCs w:val="16"/>
        </w:rPr>
        <w:t>The fund management team takes essential steps to identify, evaluate, and mitigate potential financially material ESG risks within existing and anticipated portfolios.</w:t>
      </w:r>
    </w:p>
    <w:p w14:paraId="1F405820" w14:textId="77777777" w:rsidR="0076152B" w:rsidRPr="00895F24" w:rsidRDefault="0076152B" w:rsidP="0076152B">
      <w:pPr>
        <w:numPr>
          <w:ilvl w:val="0"/>
          <w:numId w:val="37"/>
        </w:numPr>
        <w:spacing w:before="80" w:after="120"/>
        <w:ind w:left="504"/>
        <w:contextualSpacing/>
        <w:jc w:val="both"/>
        <w:rPr>
          <w:rFonts w:ascii="Calibri" w:eastAsia="MS Mincho" w:hAnsi="Calibri"/>
          <w:i/>
          <w:color w:val="404040"/>
          <w:sz w:val="16"/>
          <w:szCs w:val="16"/>
        </w:rPr>
      </w:pPr>
      <w:r w:rsidRPr="00901966">
        <w:rPr>
          <w:rFonts w:ascii="Calibri" w:eastAsia="MS Mincho" w:hAnsi="Calibri"/>
          <w:b/>
          <w:bCs/>
          <w:iCs/>
          <w:color w:val="404040"/>
          <w:sz w:val="16"/>
          <w:szCs w:val="16"/>
        </w:rPr>
        <w:t xml:space="preserve">Advanced </w:t>
      </w:r>
      <w:r w:rsidRPr="00901966">
        <w:rPr>
          <w:rFonts w:ascii="Calibri" w:eastAsia="MS Mincho" w:hAnsi="Calibri"/>
          <w:iCs/>
          <w:color w:val="404040"/>
          <w:sz w:val="16"/>
          <w:szCs w:val="16"/>
        </w:rPr>
        <w:t xml:space="preserve">- </w:t>
      </w:r>
      <w:r w:rsidRPr="00901966">
        <w:rPr>
          <w:rFonts w:ascii="Calibri" w:eastAsia="MS Mincho" w:hAnsi="Calibri"/>
          <w:color w:val="404040"/>
          <w:sz w:val="16"/>
          <w:szCs w:val="16"/>
        </w:rPr>
        <w:t>The fund management team demonstrates an advanced awareness of potential ESG risks in the investment strategy. The fund management team can demonstrate advanced processes to identify, evaluate, and potentially mitigate these risks across its activities.</w:t>
      </w:r>
    </w:p>
    <w:p w14:paraId="415A2757" w14:textId="77777777" w:rsidR="00222281" w:rsidRPr="007C49DB" w:rsidRDefault="00222281" w:rsidP="000213CC">
      <w:pPr>
        <w:spacing w:before="80"/>
        <w:rPr>
          <w:rFonts w:ascii="Calibri" w:hAnsi="Calibri"/>
          <w:b/>
          <w:color w:val="003A5D"/>
          <w:szCs w:val="22"/>
        </w:rPr>
      </w:pPr>
    </w:p>
    <w:p w14:paraId="360BC527" w14:textId="43DA6498" w:rsidR="00C17A73" w:rsidRPr="00185BF0" w:rsidRDefault="00C17A73" w:rsidP="000213CC">
      <w:pPr>
        <w:tabs>
          <w:tab w:val="left" w:pos="7088"/>
        </w:tabs>
        <w:ind w:right="15"/>
        <w:jc w:val="both"/>
        <w:rPr>
          <w:rFonts w:ascii="Calibri" w:hAnsi="Calibri"/>
          <w:color w:val="003A5D" w:themeColor="text2"/>
          <w:sz w:val="24"/>
        </w:rPr>
      </w:pPr>
      <w:r w:rsidRPr="00185BF0">
        <w:rPr>
          <w:rFonts w:ascii="Calibri" w:hAnsi="Calibri"/>
          <w:b/>
          <w:bCs/>
          <w:color w:val="003A5D" w:themeColor="text2"/>
          <w:sz w:val="24"/>
        </w:rPr>
        <w:t>About The Townsend Group</w:t>
      </w:r>
    </w:p>
    <w:p w14:paraId="2FAD3E06" w14:textId="33B7EAA8" w:rsidR="00EF3B9A" w:rsidRPr="00EF3B9A" w:rsidRDefault="00EF3B9A" w:rsidP="00EF3B9A">
      <w:pPr>
        <w:tabs>
          <w:tab w:val="left" w:pos="7088"/>
        </w:tabs>
        <w:ind w:right="15"/>
        <w:jc w:val="both"/>
        <w:rPr>
          <w:rFonts w:ascii="Calibri" w:hAnsi="Calibri"/>
          <w:color w:val="404040" w:themeColor="text1" w:themeTint="BF"/>
          <w:sz w:val="16"/>
          <w:szCs w:val="16"/>
        </w:rPr>
      </w:pPr>
      <w:r w:rsidRPr="00EF3B9A">
        <w:rPr>
          <w:rFonts w:ascii="Calibri" w:hAnsi="Calibri"/>
          <w:color w:val="404040" w:themeColor="text1" w:themeTint="BF"/>
          <w:sz w:val="16"/>
          <w:szCs w:val="16"/>
        </w:rPr>
        <w:t xml:space="preserve">Founded in 1983, Townsend Group, (“Townsend”) provides a core set of investment skills exclusively focused on global real estate and real asset classes. The firm offers these capabilities to institutional investors as an investment advisor and consultant. </w:t>
      </w:r>
    </w:p>
    <w:p w14:paraId="16757FE7" w14:textId="77777777" w:rsidR="00EF3B9A" w:rsidRPr="00EF3B9A" w:rsidRDefault="00EF3B9A" w:rsidP="00EF3B9A">
      <w:pPr>
        <w:tabs>
          <w:tab w:val="left" w:pos="7088"/>
        </w:tabs>
        <w:ind w:right="15"/>
        <w:jc w:val="both"/>
        <w:rPr>
          <w:rFonts w:ascii="Calibri" w:hAnsi="Calibri"/>
          <w:color w:val="404040" w:themeColor="text1" w:themeTint="BF"/>
          <w:sz w:val="16"/>
          <w:szCs w:val="16"/>
        </w:rPr>
      </w:pPr>
    </w:p>
    <w:p w14:paraId="689CE461" w14:textId="7E8A3CE5" w:rsidR="00EF3B9A" w:rsidRPr="00EF3B9A" w:rsidRDefault="00EF3B9A" w:rsidP="00EF3B9A">
      <w:pPr>
        <w:tabs>
          <w:tab w:val="left" w:pos="7088"/>
        </w:tabs>
        <w:ind w:right="15"/>
        <w:jc w:val="both"/>
        <w:rPr>
          <w:rFonts w:ascii="Calibri" w:hAnsi="Calibri"/>
          <w:color w:val="404040" w:themeColor="text1" w:themeTint="BF"/>
          <w:sz w:val="16"/>
          <w:szCs w:val="16"/>
        </w:rPr>
      </w:pPr>
      <w:r w:rsidRPr="00EF3B9A">
        <w:rPr>
          <w:rFonts w:ascii="Calibri" w:hAnsi="Calibri"/>
          <w:color w:val="404040" w:themeColor="text1" w:themeTint="BF"/>
          <w:sz w:val="16"/>
          <w:szCs w:val="16"/>
        </w:rPr>
        <w:t xml:space="preserve">Townsend has been advising and managing real estate portfolios for over three decades and across multiple market cycles. As of December 31, 2023, Townsend had assets under management of approximately $21.5 billion. As of December 31, 2023, Townsend provided advisory services to clients who had real estate/real asset allocations exceeding $218.2 billion.  We believe, through our global investment platform, fiduciary culture, asset class expertise and client capital scale, we </w:t>
      </w:r>
      <w:proofErr w:type="gramStart"/>
      <w:r w:rsidRPr="00EF3B9A">
        <w:rPr>
          <w:rFonts w:ascii="Calibri" w:hAnsi="Calibri"/>
          <w:color w:val="404040" w:themeColor="text1" w:themeTint="BF"/>
          <w:sz w:val="16"/>
          <w:szCs w:val="16"/>
        </w:rPr>
        <w:t>are able to</w:t>
      </w:r>
      <w:proofErr w:type="gramEnd"/>
      <w:r w:rsidRPr="00EF3B9A">
        <w:rPr>
          <w:rFonts w:ascii="Calibri" w:hAnsi="Calibri"/>
          <w:color w:val="404040" w:themeColor="text1" w:themeTint="BF"/>
          <w:sz w:val="16"/>
          <w:szCs w:val="16"/>
        </w:rPr>
        <w:t xml:space="preserve"> deliver clients unique information, while providing a sourcing and execution advantage.</w:t>
      </w:r>
    </w:p>
    <w:p w14:paraId="62D860CE" w14:textId="77777777" w:rsidR="00EF3B9A" w:rsidRDefault="00EF3B9A" w:rsidP="000213CC">
      <w:pPr>
        <w:tabs>
          <w:tab w:val="left" w:pos="7088"/>
        </w:tabs>
        <w:ind w:right="15"/>
        <w:jc w:val="both"/>
        <w:rPr>
          <w:rFonts w:ascii="Calibri" w:hAnsi="Calibri"/>
          <w:i/>
          <w:iCs/>
          <w:color w:val="404040" w:themeColor="text1" w:themeTint="BF"/>
          <w:sz w:val="14"/>
          <w:szCs w:val="14"/>
        </w:rPr>
      </w:pPr>
    </w:p>
    <w:p w14:paraId="7F7EBE49" w14:textId="4CA7F7C0" w:rsidR="00C17A73" w:rsidRPr="00C17A73" w:rsidRDefault="00C17A73" w:rsidP="000213CC">
      <w:pPr>
        <w:tabs>
          <w:tab w:val="left" w:pos="7088"/>
        </w:tabs>
        <w:ind w:right="15"/>
        <w:jc w:val="both"/>
        <w:rPr>
          <w:rFonts w:ascii="Calibri" w:hAnsi="Calibri"/>
          <w:i/>
          <w:iCs/>
          <w:color w:val="404040" w:themeColor="text1" w:themeTint="BF"/>
          <w:sz w:val="14"/>
          <w:szCs w:val="14"/>
        </w:rPr>
      </w:pPr>
      <w:r w:rsidRPr="00C17A73">
        <w:rPr>
          <w:rFonts w:ascii="Calibri" w:hAnsi="Calibri"/>
          <w:i/>
          <w:iCs/>
          <w:color w:val="404040" w:themeColor="text1" w:themeTint="BF"/>
          <w:sz w:val="14"/>
          <w:szCs w:val="14"/>
        </w:rPr>
        <w:t xml:space="preserve">Disclaimer </w:t>
      </w:r>
    </w:p>
    <w:p w14:paraId="509AF324" w14:textId="30E1A557" w:rsidR="00C17A73" w:rsidRPr="00B270B7" w:rsidRDefault="007F7FF4" w:rsidP="007F7FF4">
      <w:pPr>
        <w:tabs>
          <w:tab w:val="left" w:pos="7088"/>
        </w:tabs>
        <w:spacing w:after="240"/>
        <w:ind w:right="15"/>
        <w:jc w:val="both"/>
        <w:rPr>
          <w:rFonts w:ascii="Calibri" w:hAnsi="Calibri"/>
          <w:color w:val="404040" w:themeColor="text1" w:themeTint="BF"/>
          <w:sz w:val="14"/>
          <w:szCs w:val="14"/>
        </w:rPr>
      </w:pPr>
      <w:r w:rsidRPr="007F7FF4">
        <w:rPr>
          <w:rFonts w:ascii="Calibri" w:hAnsi="Calibri"/>
          <w:color w:val="404040" w:themeColor="text1" w:themeTint="BF"/>
          <w:sz w:val="14"/>
          <w:szCs w:val="14"/>
        </w:rPr>
        <w:t xml:space="preserve">This document has been prepared by Townsend Holdings LLC (“Townsend”) and is appropriate solely for qualified investors. Nothing in this document should be treated as an authoritative statement of the law on any </w:t>
      </w:r>
      <w:proofErr w:type="gramStart"/>
      <w:r w:rsidRPr="007F7FF4">
        <w:rPr>
          <w:rFonts w:ascii="Calibri" w:hAnsi="Calibri"/>
          <w:color w:val="404040" w:themeColor="text1" w:themeTint="BF"/>
          <w:sz w:val="14"/>
          <w:szCs w:val="14"/>
        </w:rPr>
        <w:t>particular aspect</w:t>
      </w:r>
      <w:proofErr w:type="gramEnd"/>
      <w:r w:rsidRPr="007F7FF4">
        <w:rPr>
          <w:rFonts w:ascii="Calibri" w:hAnsi="Calibri"/>
          <w:color w:val="404040" w:themeColor="text1" w:themeTint="BF"/>
          <w:sz w:val="14"/>
          <w:szCs w:val="14"/>
        </w:rPr>
        <w:t xml:space="preserve"> or in any specific case. It should not be taken as financial advice and action should not be taken </w:t>
      </w:r>
      <w:proofErr w:type="gramStart"/>
      <w:r w:rsidRPr="007F7FF4">
        <w:rPr>
          <w:rFonts w:ascii="Calibri" w:hAnsi="Calibri"/>
          <w:color w:val="404040" w:themeColor="text1" w:themeTint="BF"/>
          <w:sz w:val="14"/>
          <w:szCs w:val="14"/>
        </w:rPr>
        <w:t>as a result of</w:t>
      </w:r>
      <w:proofErr w:type="gramEnd"/>
      <w:r w:rsidRPr="007F7FF4">
        <w:rPr>
          <w:rFonts w:ascii="Calibri" w:hAnsi="Calibri"/>
          <w:color w:val="404040" w:themeColor="text1" w:themeTint="BF"/>
          <w:sz w:val="14"/>
          <w:szCs w:val="14"/>
        </w:rPr>
        <w:t xml:space="preserve"> this document alone. The information contained herein is given as of the date hereof and does not purport to give information as of any other date. The delivery at any time shall not, under any circumstances, create any implication that there has been a change in the information set forth herein since the date hereof or any obligation to update or provide amendments hereto. The information contained herein is derived from proprietary and non-proprietary sources deemed by Townsend to be reliable and are not necessarily all inclusive.  Reliance upon information in this material is at the sole discretion of the reader.  This document does not constitute an offer of securities or solicitation of any kind and may not be treated as such, i) in any jurisdiction where such an offer or solicitation is against the law; ii) to anyone to whom it is unlawful to make such an offer or solicitation; or iii) if the person making the offer or solicitation is not qualified to do so.  Townsend is a Registered Investment Adviser with the Securities and Exchange Commission. Select Townsend employees may have personal interest in this investment/fund or affiliates of this investment/fund. All Townsend employees are subject to an investment pre-clearance process for such investments under Townsend's Code of Ethics. To assess any conflict of interest/perceived conflict of interest and to avoid any opportunity of beneficial treatment, all employee investments that may create a conflict/or perceived conflict are monitored by Townsend Compliance and the Townsend Compliance Committee</w:t>
      </w:r>
      <w:r w:rsidR="00EF3B9A">
        <w:rPr>
          <w:rFonts w:ascii="Calibri" w:hAnsi="Calibri"/>
          <w:color w:val="404040" w:themeColor="text1" w:themeTint="BF"/>
          <w:sz w:val="14"/>
          <w:szCs w:val="14"/>
        </w:rPr>
        <w:t>.</w:t>
      </w:r>
    </w:p>
    <w:sectPr w:rsidR="00C17A73" w:rsidRPr="00B270B7" w:rsidSect="00292BC1">
      <w:pgSz w:w="12240" w:h="15840" w:code="1"/>
      <w:pgMar w:top="202" w:right="1008" w:bottom="1008" w:left="1008" w:header="576" w:footer="43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5CD82" w14:textId="77777777" w:rsidR="00093002" w:rsidRDefault="00093002" w:rsidP="00B01731">
      <w:r>
        <w:separator/>
      </w:r>
    </w:p>
  </w:endnote>
  <w:endnote w:type="continuationSeparator" w:id="0">
    <w:p w14:paraId="12804994" w14:textId="77777777" w:rsidR="00093002" w:rsidRDefault="00093002" w:rsidP="00B01731">
      <w:r>
        <w:continuationSeparator/>
      </w:r>
    </w:p>
  </w:endnote>
  <w:endnote w:type="continuationNotice" w:id="1">
    <w:p w14:paraId="57F9E7DE" w14:textId="77777777" w:rsidR="00093002" w:rsidRDefault="000930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8E7B2" w14:textId="77777777" w:rsidR="00D15728" w:rsidRPr="009209E5" w:rsidRDefault="00D15728" w:rsidP="001D4CC0">
    <w:pPr>
      <w:pStyle w:val="Footer"/>
      <w:tabs>
        <w:tab w:val="clear" w:pos="4320"/>
        <w:tab w:val="clear" w:pos="8640"/>
        <w:tab w:val="center" w:pos="4680"/>
        <w:tab w:val="right" w:pos="9360"/>
      </w:tabs>
      <w:jc w:val="right"/>
      <w:rPr>
        <w:i/>
        <w:color w:val="404040" w:themeColor="text1" w:themeTint="BF"/>
      </w:rPr>
    </w:pPr>
    <w:r w:rsidRPr="009209E5">
      <w:rPr>
        <w:i/>
        <w:color w:val="404040" w:themeColor="text1" w:themeTint="BF"/>
        <w:sz w:val="20"/>
        <w:szCs w:val="20"/>
      </w:rPr>
      <w:t>Trade Secret and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7B8E5" w14:textId="77777777" w:rsidR="00D15728" w:rsidRPr="007E021C" w:rsidRDefault="00D15728" w:rsidP="00826FA4">
    <w:pPr>
      <w:pStyle w:val="Footer"/>
      <w:tabs>
        <w:tab w:val="clear" w:pos="4320"/>
        <w:tab w:val="clear" w:pos="8640"/>
        <w:tab w:val="center" w:pos="4680"/>
        <w:tab w:val="right" w:pos="9360"/>
      </w:tabs>
      <w:jc w:val="both"/>
      <w:rPr>
        <w:rFonts w:ascii="Calibri" w:hAnsi="Calibri"/>
        <w:color w:val="404040" w:themeColor="text1" w:themeTint="BF"/>
        <w:sz w:val="16"/>
        <w:szCs w:val="16"/>
      </w:rP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9B6BA" w14:textId="76E31B53" w:rsidR="00151F23" w:rsidRPr="00C17492" w:rsidRDefault="00D15728" w:rsidP="00D65F24">
    <w:pPr>
      <w:pStyle w:val="Footer"/>
      <w:tabs>
        <w:tab w:val="clear" w:pos="4320"/>
        <w:tab w:val="clear" w:pos="8640"/>
        <w:tab w:val="center" w:pos="4680"/>
        <w:tab w:val="right" w:pos="9360"/>
      </w:tabs>
      <w:spacing w:before="360"/>
      <w:ind w:right="-864"/>
      <w:rPr>
        <w:rFonts w:ascii="Calibri" w:hAnsi="Calibri"/>
        <w:color w:val="404040" w:themeColor="text1" w:themeTint="BF"/>
        <w:sz w:val="16"/>
        <w:szCs w:val="16"/>
      </w:rPr>
    </w:pPr>
    <w:proofErr w:type="spellStart"/>
    <w:r w:rsidRPr="000248A4">
      <w:rPr>
        <w:sz w:val="16"/>
        <w:szCs w:val="16"/>
      </w:rPr>
      <w:t>InDetail</w:t>
    </w:r>
    <w:proofErr w:type="spellEnd"/>
    <w:r w:rsidRPr="000248A4">
      <w:rPr>
        <w:sz w:val="16"/>
        <w:szCs w:val="16"/>
      </w:rPr>
      <w:t xml:space="preserve"> – </w:t>
    </w:r>
    <w:r w:rsidR="005B3789">
      <w:rPr>
        <w:sz w:val="16"/>
        <w:szCs w:val="16"/>
      </w:rPr>
      <w:t xml:space="preserve">NYSCRF </w:t>
    </w:r>
    <w:r w:rsidR="00D376E1">
      <w:rPr>
        <w:sz w:val="16"/>
        <w:szCs w:val="16"/>
      </w:rPr>
      <w:t>Bridge Logistics Develop to Core Fund</w:t>
    </w:r>
    <w:r>
      <w:tab/>
    </w:r>
    <w:r>
      <w:fldChar w:fldCharType="begin"/>
    </w:r>
    <w:r>
      <w:instrText xml:space="preserve"> PAGE   \* MERGEFORMAT </w:instrText>
    </w:r>
    <w:r>
      <w:fldChar w:fldCharType="separate"/>
    </w:r>
    <w:r>
      <w:rPr>
        <w:noProof/>
      </w:rPr>
      <w:t>9</w:t>
    </w:r>
    <w:r>
      <w:rPr>
        <w:noProof/>
      </w:rPr>
      <w:fldChar w:fldCharType="end"/>
    </w:r>
    <w:r>
      <w:tab/>
      <w:t xml:space="preserve">               </w:t>
    </w:r>
    <w:r w:rsidR="00151F23">
      <w:t xml:space="preserve">                      </w:t>
    </w:r>
    <w:r w:rsidR="00151F23" w:rsidRPr="00EF1795">
      <w:rPr>
        <w:rFonts w:ascii="Calibri" w:hAnsi="Calibri"/>
        <w:color w:val="404040" w:themeColor="text1" w:themeTint="BF"/>
        <w:sz w:val="16"/>
        <w:szCs w:val="16"/>
      </w:rPr>
      <w:t xml:space="preserve">Please refer to the disclosures at the end of this </w:t>
    </w:r>
    <w:proofErr w:type="gramStart"/>
    <w:r w:rsidR="00151F23" w:rsidRPr="00EF1795">
      <w:rPr>
        <w:rFonts w:ascii="Calibri" w:hAnsi="Calibri"/>
        <w:color w:val="404040" w:themeColor="text1" w:themeTint="BF"/>
        <w:sz w:val="16"/>
        <w:szCs w:val="16"/>
      </w:rPr>
      <w:t>report</w:t>
    </w:r>
    <w:proofErr w:type="gramEnd"/>
  </w:p>
  <w:p w14:paraId="40B109FD" w14:textId="5EE3CC9E" w:rsidR="00D15728" w:rsidRPr="00C17492" w:rsidRDefault="00D15728" w:rsidP="00B63BF7">
    <w:pPr>
      <w:pStyle w:val="Footer"/>
      <w:tabs>
        <w:tab w:val="clear" w:pos="4320"/>
        <w:tab w:val="clear" w:pos="8640"/>
        <w:tab w:val="center" w:pos="4680"/>
        <w:tab w:val="right" w:pos="9360"/>
      </w:tabs>
      <w:rPr>
        <w:rFonts w:ascii="Calibri" w:hAnsi="Calibri"/>
        <w:color w:val="404040" w:themeColor="text1" w:themeTint="BF"/>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BAF2C" w14:textId="77777777" w:rsidR="00093002" w:rsidRDefault="00093002" w:rsidP="00B01731">
      <w:r>
        <w:separator/>
      </w:r>
    </w:p>
  </w:footnote>
  <w:footnote w:type="continuationSeparator" w:id="0">
    <w:p w14:paraId="1E9E60D2" w14:textId="77777777" w:rsidR="00093002" w:rsidRDefault="00093002" w:rsidP="00B01731">
      <w:r>
        <w:continuationSeparator/>
      </w:r>
    </w:p>
  </w:footnote>
  <w:footnote w:type="continuationNotice" w:id="1">
    <w:p w14:paraId="1F52B591" w14:textId="77777777" w:rsidR="00093002" w:rsidRDefault="00093002"/>
  </w:footnote>
  <w:footnote w:id="2">
    <w:p w14:paraId="27098B4E" w14:textId="0C515D2D" w:rsidR="000962D3" w:rsidRPr="000962D3" w:rsidRDefault="000962D3" w:rsidP="000962D3">
      <w:pPr>
        <w:pStyle w:val="FootnoteText"/>
        <w:jc w:val="both"/>
        <w:rPr>
          <w:sz w:val="18"/>
          <w:szCs w:val="18"/>
        </w:rPr>
      </w:pPr>
      <w:r w:rsidRPr="000962D3">
        <w:rPr>
          <w:rStyle w:val="FootnoteReference"/>
          <w:color w:val="404040" w:themeColor="text1" w:themeTint="BF"/>
          <w:sz w:val="18"/>
          <w:szCs w:val="18"/>
        </w:rPr>
        <w:footnoteRef/>
      </w:r>
      <w:r w:rsidRPr="000962D3">
        <w:rPr>
          <w:color w:val="404040" w:themeColor="text1" w:themeTint="BF"/>
          <w:sz w:val="18"/>
          <w:szCs w:val="18"/>
        </w:rPr>
        <w:t xml:space="preserve"> The Covered Cost Overruns would exclude, among other things, tenant improvement costs, post-completion expenses, change orders approved by both Partners or that are required under applicable law or construction loan documents, construction interest, costs resulting from force majeure in the construction contract, operating expenses, permit fees, insurance premiums and real estate taxes paid during construction.</w:t>
      </w:r>
    </w:p>
  </w:footnote>
  <w:footnote w:id="3">
    <w:p w14:paraId="64278FDF" w14:textId="480BD530" w:rsidR="00280486" w:rsidRPr="00A02391" w:rsidRDefault="00280486" w:rsidP="00CF4643">
      <w:pPr>
        <w:pStyle w:val="FootnoteText"/>
        <w:jc w:val="both"/>
        <w:rPr>
          <w:sz w:val="18"/>
          <w:szCs w:val="18"/>
        </w:rPr>
      </w:pPr>
      <w:r w:rsidRPr="00A02391">
        <w:rPr>
          <w:rStyle w:val="FootnoteReference"/>
          <w:color w:val="404040" w:themeColor="text1" w:themeTint="BF"/>
          <w:sz w:val="18"/>
          <w:szCs w:val="18"/>
        </w:rPr>
        <w:footnoteRef/>
      </w:r>
      <w:r w:rsidRPr="00A02391">
        <w:rPr>
          <w:color w:val="404040" w:themeColor="text1" w:themeTint="BF"/>
          <w:sz w:val="18"/>
          <w:szCs w:val="18"/>
        </w:rPr>
        <w:t xml:space="preserve"> </w:t>
      </w:r>
      <w:r w:rsidR="002465FC" w:rsidRPr="00A02391">
        <w:rPr>
          <w:color w:val="404040" w:themeColor="text1" w:themeTint="BF"/>
          <w:sz w:val="18"/>
          <w:szCs w:val="18"/>
        </w:rPr>
        <w:t xml:space="preserve">The Manager’s generic fund model assumes </w:t>
      </w:r>
      <w:r w:rsidR="000D12C6" w:rsidRPr="00A02391">
        <w:rPr>
          <w:color w:val="404040" w:themeColor="text1" w:themeTint="BF"/>
          <w:sz w:val="18"/>
          <w:szCs w:val="18"/>
        </w:rPr>
        <w:t xml:space="preserve">a 23.3% development gross IRR </w:t>
      </w:r>
      <w:r w:rsidR="00CF4643" w:rsidRPr="00A02391">
        <w:rPr>
          <w:color w:val="404040" w:themeColor="text1" w:themeTint="BF"/>
          <w:sz w:val="18"/>
          <w:szCs w:val="18"/>
        </w:rPr>
        <w:t>on a $118 million total cost basis</w:t>
      </w:r>
      <w:r w:rsidR="00944DB7" w:rsidRPr="00A02391">
        <w:rPr>
          <w:color w:val="404040" w:themeColor="text1" w:themeTint="BF"/>
          <w:sz w:val="18"/>
          <w:szCs w:val="18"/>
        </w:rPr>
        <w:t xml:space="preserve"> deal</w:t>
      </w:r>
      <w:r w:rsidR="00CF4643" w:rsidRPr="00A02391">
        <w:rPr>
          <w:color w:val="404040" w:themeColor="text1" w:themeTint="BF"/>
          <w:sz w:val="18"/>
          <w:szCs w:val="18"/>
        </w:rPr>
        <w:t xml:space="preserve"> </w:t>
      </w:r>
      <w:r w:rsidR="000D12C6" w:rsidRPr="00A02391">
        <w:rPr>
          <w:color w:val="404040" w:themeColor="text1" w:themeTint="BF"/>
          <w:sz w:val="18"/>
          <w:szCs w:val="18"/>
        </w:rPr>
        <w:t>generates $4.79 million of promote</w:t>
      </w:r>
      <w:r w:rsidR="00CF4643" w:rsidRPr="00A02391">
        <w:rPr>
          <w:color w:val="404040" w:themeColor="text1" w:themeTint="BF"/>
          <w:sz w:val="18"/>
          <w:szCs w:val="18"/>
        </w:rPr>
        <w:t xml:space="preserve">; a 50% </w:t>
      </w:r>
      <w:r w:rsidR="00356F04" w:rsidRPr="00A02391">
        <w:rPr>
          <w:color w:val="404040" w:themeColor="text1" w:themeTint="BF"/>
          <w:sz w:val="18"/>
          <w:szCs w:val="18"/>
        </w:rPr>
        <w:t xml:space="preserve">LTV refi generates $6.1M of cash proceeds of which $2.4M </w:t>
      </w:r>
      <w:r w:rsidR="00235BA0" w:rsidRPr="00A02391">
        <w:rPr>
          <w:color w:val="404040" w:themeColor="text1" w:themeTint="BF"/>
          <w:sz w:val="18"/>
          <w:szCs w:val="18"/>
        </w:rPr>
        <w:t xml:space="preserve">would fund the cash incentive. </w:t>
      </w:r>
    </w:p>
  </w:footnote>
  <w:footnote w:id="4">
    <w:p w14:paraId="28F158CB" w14:textId="0F9BB8C9" w:rsidR="00FD0D68" w:rsidRDefault="00FD0D68">
      <w:pPr>
        <w:pStyle w:val="FootnoteText"/>
      </w:pPr>
      <w:r w:rsidRPr="00D5152B">
        <w:rPr>
          <w:rStyle w:val="FootnoteReference"/>
          <w:color w:val="404040" w:themeColor="text1" w:themeTint="BF"/>
        </w:rPr>
        <w:footnoteRef/>
      </w:r>
      <w:r w:rsidRPr="00D5152B">
        <w:rPr>
          <w:color w:val="404040" w:themeColor="text1" w:themeTint="BF"/>
        </w:rPr>
        <w:t xml:space="preserve"> The use of non-recourse financing is identified in the </w:t>
      </w:r>
      <w:r w:rsidR="00413922" w:rsidRPr="00D5152B">
        <w:rPr>
          <w:color w:val="404040" w:themeColor="text1" w:themeTint="BF"/>
        </w:rPr>
        <w:t xml:space="preserve">draft term sheet definitively, rather than stated as an expected best practice. It is expected this will be formalized in the Fund’s final operating documents. </w:t>
      </w:r>
    </w:p>
  </w:footnote>
  <w:footnote w:id="5">
    <w:p w14:paraId="120497CC" w14:textId="1FD662AA" w:rsidR="00743CCD" w:rsidRPr="00F20BB6" w:rsidRDefault="00743CCD">
      <w:pPr>
        <w:pStyle w:val="FootnoteText"/>
        <w:rPr>
          <w:color w:val="404040" w:themeColor="text1" w:themeTint="BF"/>
          <w:sz w:val="18"/>
          <w:szCs w:val="18"/>
        </w:rPr>
      </w:pPr>
      <w:r w:rsidRPr="00F20BB6">
        <w:rPr>
          <w:rStyle w:val="FootnoteReference"/>
          <w:color w:val="404040" w:themeColor="text1" w:themeTint="BF"/>
          <w:sz w:val="18"/>
          <w:szCs w:val="18"/>
        </w:rPr>
        <w:footnoteRef/>
      </w:r>
      <w:r w:rsidRPr="00F20BB6">
        <w:rPr>
          <w:color w:val="404040" w:themeColor="text1" w:themeTint="BF"/>
          <w:sz w:val="18"/>
          <w:szCs w:val="18"/>
        </w:rPr>
        <w:t xml:space="preserve"> While the fund’s formal limitation is 35%, Bridge has preferred to operate the fund at closer to 20% development exposure.</w:t>
      </w:r>
    </w:p>
  </w:footnote>
  <w:footnote w:id="6">
    <w:p w14:paraId="75E2041E" w14:textId="14627A0E" w:rsidR="00534C5A" w:rsidRPr="006B74AC" w:rsidRDefault="00534C5A">
      <w:pPr>
        <w:pStyle w:val="FootnoteText"/>
        <w:rPr>
          <w:sz w:val="18"/>
          <w:szCs w:val="18"/>
        </w:rPr>
      </w:pPr>
      <w:r w:rsidRPr="00F20BB6">
        <w:rPr>
          <w:rStyle w:val="FootnoteReference"/>
          <w:color w:val="404040" w:themeColor="text1" w:themeTint="BF"/>
          <w:sz w:val="18"/>
          <w:szCs w:val="18"/>
        </w:rPr>
        <w:footnoteRef/>
      </w:r>
      <w:r w:rsidRPr="00F20BB6">
        <w:rPr>
          <w:color w:val="404040" w:themeColor="text1" w:themeTint="BF"/>
          <w:sz w:val="18"/>
          <w:szCs w:val="18"/>
        </w:rPr>
        <w:t xml:space="preserve"> Includes Jay Cornforth, Brian Gagne, </w:t>
      </w:r>
      <w:r w:rsidR="006B74AC" w:rsidRPr="00F20BB6">
        <w:rPr>
          <w:color w:val="404040" w:themeColor="text1" w:themeTint="BF"/>
          <w:sz w:val="18"/>
          <w:szCs w:val="18"/>
        </w:rPr>
        <w:t>Matt Berger, and a representative from the Bridge Investment Group finance team.</w:t>
      </w:r>
      <w:r w:rsidR="006B74AC" w:rsidRPr="006B74AC">
        <w:rPr>
          <w:color w:val="404040" w:themeColor="text1" w:themeTint="BF"/>
          <w:sz w:val="18"/>
          <w:szCs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5230E" w14:textId="77777777" w:rsidR="00D15728" w:rsidRDefault="00D15728" w:rsidP="004801B6">
    <w:pPr>
      <w:pStyle w:val="Header"/>
      <w:tabs>
        <w:tab w:val="clear" w:pos="4320"/>
        <w:tab w:val="clear" w:pos="8640"/>
        <w:tab w:val="left" w:pos="4107"/>
      </w:tabs>
      <w:jc w:val="left"/>
    </w:pPr>
    <w:r>
      <w:rPr>
        <w:rFonts w:ascii="Calibri" w:hAnsi="Calibri" w:cs="Calibri"/>
        <w:b/>
        <w:bCs/>
        <w:smallCaps/>
        <w:noProof/>
        <w:color w:val="003A5D" w:themeColor="text2"/>
        <w:sz w:val="36"/>
        <w:szCs w:val="36"/>
      </w:rPr>
      <w:drawing>
        <wp:anchor distT="0" distB="0" distL="114300" distR="114300" simplePos="0" relativeHeight="251657216" behindDoc="0" locked="0" layoutInCell="1" allowOverlap="1" wp14:anchorId="23ECE909" wp14:editId="19E693AC">
          <wp:simplePos x="0" y="0"/>
          <wp:positionH relativeFrom="column">
            <wp:posOffset>83639</wp:posOffset>
          </wp:positionH>
          <wp:positionV relativeFrom="paragraph">
            <wp:posOffset>19501</wp:posOffset>
          </wp:positionV>
          <wp:extent cx="1754323" cy="845062"/>
          <wp:effectExtent l="0" t="0" r="0" b="0"/>
          <wp:wrapNone/>
          <wp:docPr id="22" name="Picture 1" descr="4743_M&amp;A_Townsend_Aon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3_M&amp;A_Townsend_Aon_color.png"/>
                  <pic:cNvPicPr/>
                </pic:nvPicPr>
                <pic:blipFill rotWithShape="1">
                  <a:blip r:embed="rId1" cstate="print"/>
                  <a:srcRect b="15564"/>
                  <a:stretch/>
                </pic:blipFill>
                <pic:spPr bwMode="auto">
                  <a:xfrm>
                    <a:off x="0" y="0"/>
                    <a:ext cx="1755273" cy="8455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ab/>
    </w:r>
  </w:p>
  <w:p w14:paraId="091E9A58" w14:textId="77777777" w:rsidR="00D15728" w:rsidRDefault="00D15728" w:rsidP="004801B6">
    <w:pPr>
      <w:pStyle w:val="Header"/>
      <w:tabs>
        <w:tab w:val="clear" w:pos="4320"/>
        <w:tab w:val="clear" w:pos="8640"/>
        <w:tab w:val="left" w:pos="4107"/>
      </w:tabs>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F4761" w14:textId="77777777" w:rsidR="00D15728" w:rsidRDefault="00D15728" w:rsidP="00861CC1">
    <w:pPr>
      <w:pStyle w:val="BodyText"/>
      <w:ind w:firstLine="0"/>
      <w:jc w:val="right"/>
      <w:rPr>
        <w:i/>
        <w:sz w:val="16"/>
        <w:szCs w:val="16"/>
      </w:rPr>
    </w:pPr>
    <w:r>
      <w:rPr>
        <w:i/>
        <w:sz w:val="16"/>
        <w:szCs w:val="16"/>
      </w:rPr>
      <w:t>Trade S</w:t>
    </w:r>
    <w:r w:rsidRPr="00861CC1">
      <w:rPr>
        <w:i/>
        <w:sz w:val="16"/>
        <w:szCs w:val="16"/>
      </w:rPr>
      <w:t>ecret and Confidential</w:t>
    </w:r>
  </w:p>
  <w:p w14:paraId="1AD23EB7" w14:textId="77777777" w:rsidR="00D15728" w:rsidRDefault="00D15728" w:rsidP="007E021C">
    <w:pPr>
      <w:pStyle w:val="BodyText"/>
      <w:spacing w:before="0"/>
      <w:ind w:firstLine="0"/>
      <w:rPr>
        <w:i/>
        <w:sz w:val="16"/>
        <w:szCs w:val="16"/>
      </w:rPr>
    </w:pPr>
  </w:p>
  <w:p w14:paraId="0EBCAA4E" w14:textId="77777777" w:rsidR="00D15728" w:rsidRPr="00861CC1" w:rsidRDefault="00D15728" w:rsidP="0002544E">
    <w:pPr>
      <w:pStyle w:val="BodyText"/>
      <w:spacing w:before="0"/>
      <w:ind w:firstLine="0"/>
      <w:jc w:val="right"/>
      <w:rPr>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1E07"/>
    <w:multiLevelType w:val="hybridMultilevel"/>
    <w:tmpl w:val="454613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D1BD1"/>
    <w:multiLevelType w:val="hybridMultilevel"/>
    <w:tmpl w:val="5F2A3690"/>
    <w:lvl w:ilvl="0" w:tplc="549C58AE">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028972F2"/>
    <w:multiLevelType w:val="hybridMultilevel"/>
    <w:tmpl w:val="02CED1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BB004F"/>
    <w:multiLevelType w:val="hybridMultilevel"/>
    <w:tmpl w:val="F5485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7566EB"/>
    <w:multiLevelType w:val="hybridMultilevel"/>
    <w:tmpl w:val="72F20E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BAC4C5F"/>
    <w:multiLevelType w:val="hybridMultilevel"/>
    <w:tmpl w:val="234C72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65198"/>
    <w:multiLevelType w:val="hybridMultilevel"/>
    <w:tmpl w:val="01EAEA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1F059C"/>
    <w:multiLevelType w:val="hybridMultilevel"/>
    <w:tmpl w:val="00621E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1DB778E"/>
    <w:multiLevelType w:val="hybridMultilevel"/>
    <w:tmpl w:val="5AD65A16"/>
    <w:lvl w:ilvl="0" w:tplc="1C623B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2D1287"/>
    <w:multiLevelType w:val="hybridMultilevel"/>
    <w:tmpl w:val="04F44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7E1A1A"/>
    <w:multiLevelType w:val="hybridMultilevel"/>
    <w:tmpl w:val="27E61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F44F49"/>
    <w:multiLevelType w:val="hybridMultilevel"/>
    <w:tmpl w:val="8FEE1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5E6EB3"/>
    <w:multiLevelType w:val="multilevel"/>
    <w:tmpl w:val="5A0E2A68"/>
    <w:lvl w:ilvl="0">
      <w:start w:val="1"/>
      <w:numFmt w:val="bullet"/>
      <w:pStyle w:val="Bulletplus"/>
      <w:lvlText w:val=""/>
      <w:lvlJc w:val="left"/>
      <w:pPr>
        <w:tabs>
          <w:tab w:val="num" w:pos="382"/>
        </w:tabs>
        <w:ind w:left="382" w:hanging="360"/>
      </w:pPr>
      <w:rPr>
        <w:rFonts w:ascii="Symbol" w:hAnsi="Symbol" w:hint="default"/>
      </w:rPr>
    </w:lvl>
    <w:lvl w:ilvl="1">
      <w:start w:val="1"/>
      <w:numFmt w:val="bullet"/>
      <w:lvlText w:val="o"/>
      <w:lvlJc w:val="left"/>
      <w:pPr>
        <w:tabs>
          <w:tab w:val="num" w:pos="1102"/>
        </w:tabs>
        <w:ind w:left="1102" w:hanging="360"/>
      </w:pPr>
      <w:rPr>
        <w:rFonts w:ascii="Courier New" w:hAnsi="Courier New" w:cs="Courier New" w:hint="default"/>
      </w:rPr>
    </w:lvl>
    <w:lvl w:ilvl="2">
      <w:start w:val="1"/>
      <w:numFmt w:val="bullet"/>
      <w:lvlText w:val=""/>
      <w:lvlJc w:val="left"/>
      <w:pPr>
        <w:tabs>
          <w:tab w:val="num" w:pos="1822"/>
        </w:tabs>
        <w:ind w:left="1822" w:hanging="360"/>
      </w:pPr>
      <w:rPr>
        <w:rFonts w:ascii="Wingdings" w:hAnsi="Wingdings" w:hint="default"/>
      </w:rPr>
    </w:lvl>
    <w:lvl w:ilvl="3">
      <w:start w:val="1"/>
      <w:numFmt w:val="bullet"/>
      <w:lvlText w:val=""/>
      <w:lvlJc w:val="left"/>
      <w:pPr>
        <w:tabs>
          <w:tab w:val="num" w:pos="2542"/>
        </w:tabs>
        <w:ind w:left="2542" w:hanging="360"/>
      </w:pPr>
      <w:rPr>
        <w:rFonts w:ascii="Symbol" w:hAnsi="Symbol" w:hint="default"/>
      </w:rPr>
    </w:lvl>
    <w:lvl w:ilvl="4">
      <w:start w:val="1"/>
      <w:numFmt w:val="bullet"/>
      <w:lvlText w:val="o"/>
      <w:lvlJc w:val="left"/>
      <w:pPr>
        <w:tabs>
          <w:tab w:val="num" w:pos="3262"/>
        </w:tabs>
        <w:ind w:left="3262" w:hanging="360"/>
      </w:pPr>
      <w:rPr>
        <w:rFonts w:ascii="Courier New" w:hAnsi="Courier New" w:cs="Courier New" w:hint="default"/>
      </w:rPr>
    </w:lvl>
    <w:lvl w:ilvl="5">
      <w:start w:val="1"/>
      <w:numFmt w:val="bullet"/>
      <w:lvlText w:val=""/>
      <w:lvlJc w:val="left"/>
      <w:pPr>
        <w:tabs>
          <w:tab w:val="num" w:pos="3982"/>
        </w:tabs>
        <w:ind w:left="3982" w:hanging="360"/>
      </w:pPr>
      <w:rPr>
        <w:rFonts w:ascii="Wingdings" w:hAnsi="Wingdings" w:hint="default"/>
      </w:rPr>
    </w:lvl>
    <w:lvl w:ilvl="6">
      <w:start w:val="1"/>
      <w:numFmt w:val="bullet"/>
      <w:lvlText w:val=""/>
      <w:lvlJc w:val="left"/>
      <w:pPr>
        <w:tabs>
          <w:tab w:val="num" w:pos="4702"/>
        </w:tabs>
        <w:ind w:left="4702" w:hanging="360"/>
      </w:pPr>
      <w:rPr>
        <w:rFonts w:ascii="Symbol" w:hAnsi="Symbol" w:hint="default"/>
      </w:rPr>
    </w:lvl>
    <w:lvl w:ilvl="7">
      <w:start w:val="1"/>
      <w:numFmt w:val="bullet"/>
      <w:lvlText w:val="o"/>
      <w:lvlJc w:val="left"/>
      <w:pPr>
        <w:tabs>
          <w:tab w:val="num" w:pos="5422"/>
        </w:tabs>
        <w:ind w:left="5422" w:hanging="360"/>
      </w:pPr>
      <w:rPr>
        <w:rFonts w:ascii="Courier New" w:hAnsi="Courier New" w:cs="Courier New" w:hint="default"/>
      </w:rPr>
    </w:lvl>
    <w:lvl w:ilvl="8">
      <w:start w:val="1"/>
      <w:numFmt w:val="bullet"/>
      <w:lvlText w:val=""/>
      <w:lvlJc w:val="left"/>
      <w:pPr>
        <w:tabs>
          <w:tab w:val="num" w:pos="6142"/>
        </w:tabs>
        <w:ind w:left="6142" w:hanging="360"/>
      </w:pPr>
      <w:rPr>
        <w:rFonts w:ascii="Wingdings" w:hAnsi="Wingdings" w:hint="default"/>
      </w:rPr>
    </w:lvl>
  </w:abstractNum>
  <w:abstractNum w:abstractNumId="13" w15:restartNumberingAfterBreak="0">
    <w:nsid w:val="310F512E"/>
    <w:multiLevelType w:val="hybridMultilevel"/>
    <w:tmpl w:val="4EAA59F0"/>
    <w:lvl w:ilvl="0" w:tplc="04090003">
      <w:start w:val="1"/>
      <w:numFmt w:val="bullet"/>
      <w:lvlText w:val="o"/>
      <w:lvlJc w:val="left"/>
      <w:pPr>
        <w:ind w:left="1584" w:hanging="360"/>
      </w:pPr>
      <w:rPr>
        <w:rFonts w:ascii="Courier New" w:hAnsi="Courier New" w:cs="Courier New"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4" w15:restartNumberingAfterBreak="0">
    <w:nsid w:val="32077B14"/>
    <w:multiLevelType w:val="hybridMultilevel"/>
    <w:tmpl w:val="165C3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9C4FA5"/>
    <w:multiLevelType w:val="hybridMultilevel"/>
    <w:tmpl w:val="6B54D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981979"/>
    <w:multiLevelType w:val="hybridMultilevel"/>
    <w:tmpl w:val="83F85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1045ED"/>
    <w:multiLevelType w:val="multilevel"/>
    <w:tmpl w:val="572CA53A"/>
    <w:lvl w:ilvl="0">
      <w:start w:val="1"/>
      <w:numFmt w:val="decimal"/>
      <w:pStyle w:val="List"/>
      <w:lvlText w:val="%1."/>
      <w:lvlJc w:val="left"/>
      <w:pPr>
        <w:ind w:left="36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3E5C17F0"/>
    <w:multiLevelType w:val="hybridMultilevel"/>
    <w:tmpl w:val="FA007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1F4E13"/>
    <w:multiLevelType w:val="hybridMultilevel"/>
    <w:tmpl w:val="C7F6B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04434F"/>
    <w:multiLevelType w:val="hybridMultilevel"/>
    <w:tmpl w:val="DA847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2E5025"/>
    <w:multiLevelType w:val="hybridMultilevel"/>
    <w:tmpl w:val="CD560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BF616E"/>
    <w:multiLevelType w:val="hybridMultilevel"/>
    <w:tmpl w:val="FDA4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9D55BE"/>
    <w:multiLevelType w:val="hybridMultilevel"/>
    <w:tmpl w:val="6A0229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5E2C10"/>
    <w:multiLevelType w:val="hybridMultilevel"/>
    <w:tmpl w:val="606A38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1F0DB2"/>
    <w:multiLevelType w:val="hybridMultilevel"/>
    <w:tmpl w:val="B7DE3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6D7E14"/>
    <w:multiLevelType w:val="hybridMultilevel"/>
    <w:tmpl w:val="3CF4ACA8"/>
    <w:lvl w:ilvl="0" w:tplc="840ADBF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55160B"/>
    <w:multiLevelType w:val="hybridMultilevel"/>
    <w:tmpl w:val="DE480B48"/>
    <w:lvl w:ilvl="0" w:tplc="04090001">
      <w:start w:val="1"/>
      <w:numFmt w:val="bullet"/>
      <w:lvlText w:val=""/>
      <w:lvlJc w:val="left"/>
      <w:pPr>
        <w:ind w:left="720" w:hanging="360"/>
      </w:pPr>
      <w:rPr>
        <w:rFonts w:ascii="Symbol" w:hAnsi="Symbol" w:hint="default"/>
      </w:rPr>
    </w:lvl>
    <w:lvl w:ilvl="1" w:tplc="A37E90FA">
      <w:start w:val="1"/>
      <w:numFmt w:val="bullet"/>
      <w:pStyle w:val="ListBullet3"/>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14B01FEC">
      <w:start w:val="1"/>
      <w:numFmt w:val="bullet"/>
      <w:pStyle w:val="ListBullet4"/>
      <w:lvlText w:val="‒"/>
      <w:lvlJc w:val="left"/>
      <w:pPr>
        <w:ind w:left="2880" w:hanging="360"/>
      </w:pPr>
      <w:rPr>
        <w:rFonts w:ascii="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7E3421"/>
    <w:multiLevelType w:val="hybridMultilevel"/>
    <w:tmpl w:val="F620ADCE"/>
    <w:lvl w:ilvl="0" w:tplc="E4A41F66">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15:restartNumberingAfterBreak="0">
    <w:nsid w:val="61CD430D"/>
    <w:multiLevelType w:val="hybridMultilevel"/>
    <w:tmpl w:val="001227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2A3540"/>
    <w:multiLevelType w:val="hybridMultilevel"/>
    <w:tmpl w:val="4094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831975"/>
    <w:multiLevelType w:val="hybridMultilevel"/>
    <w:tmpl w:val="098812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964E71"/>
    <w:multiLevelType w:val="hybridMultilevel"/>
    <w:tmpl w:val="31A4E8A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7BE7BE6"/>
    <w:multiLevelType w:val="hybridMultilevel"/>
    <w:tmpl w:val="09289A8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BE00A5D"/>
    <w:multiLevelType w:val="hybridMultilevel"/>
    <w:tmpl w:val="6FCEA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0B0239"/>
    <w:multiLevelType w:val="hybridMultilevel"/>
    <w:tmpl w:val="DA5EE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552D54"/>
    <w:multiLevelType w:val="hybridMultilevel"/>
    <w:tmpl w:val="23608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A51604"/>
    <w:multiLevelType w:val="hybridMultilevel"/>
    <w:tmpl w:val="7B5607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274762"/>
    <w:multiLevelType w:val="hybridMultilevel"/>
    <w:tmpl w:val="81C49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2767496">
    <w:abstractNumId w:val="17"/>
  </w:num>
  <w:num w:numId="2" w16cid:durableId="860508261">
    <w:abstractNumId w:val="27"/>
  </w:num>
  <w:num w:numId="3" w16cid:durableId="1630739528">
    <w:abstractNumId w:val="12"/>
  </w:num>
  <w:num w:numId="4" w16cid:durableId="130028327">
    <w:abstractNumId w:val="11"/>
  </w:num>
  <w:num w:numId="5" w16cid:durableId="2137333670">
    <w:abstractNumId w:val="19"/>
  </w:num>
  <w:num w:numId="6" w16cid:durableId="1677221951">
    <w:abstractNumId w:val="23"/>
  </w:num>
  <w:num w:numId="7" w16cid:durableId="174348246">
    <w:abstractNumId w:val="36"/>
  </w:num>
  <w:num w:numId="8" w16cid:durableId="1009330786">
    <w:abstractNumId w:val="6"/>
  </w:num>
  <w:num w:numId="9" w16cid:durableId="1841387655">
    <w:abstractNumId w:val="37"/>
  </w:num>
  <w:num w:numId="10" w16cid:durableId="632179336">
    <w:abstractNumId w:val="7"/>
  </w:num>
  <w:num w:numId="11" w16cid:durableId="1247154678">
    <w:abstractNumId w:val="4"/>
  </w:num>
  <w:num w:numId="12" w16cid:durableId="1983927613">
    <w:abstractNumId w:val="22"/>
  </w:num>
  <w:num w:numId="13" w16cid:durableId="340788955">
    <w:abstractNumId w:val="31"/>
  </w:num>
  <w:num w:numId="14" w16cid:durableId="48261537">
    <w:abstractNumId w:val="3"/>
  </w:num>
  <w:num w:numId="15" w16cid:durableId="1348369968">
    <w:abstractNumId w:val="24"/>
  </w:num>
  <w:num w:numId="16" w16cid:durableId="731268659">
    <w:abstractNumId w:val="30"/>
  </w:num>
  <w:num w:numId="17" w16cid:durableId="1600796017">
    <w:abstractNumId w:val="35"/>
  </w:num>
  <w:num w:numId="18" w16cid:durableId="279725442">
    <w:abstractNumId w:val="18"/>
  </w:num>
  <w:num w:numId="19" w16cid:durableId="1859661376">
    <w:abstractNumId w:val="34"/>
  </w:num>
  <w:num w:numId="20" w16cid:durableId="416170641">
    <w:abstractNumId w:val="2"/>
  </w:num>
  <w:num w:numId="21" w16cid:durableId="707606915">
    <w:abstractNumId w:val="26"/>
  </w:num>
  <w:num w:numId="22" w16cid:durableId="85805120">
    <w:abstractNumId w:val="8"/>
  </w:num>
  <w:num w:numId="23" w16cid:durableId="1708213670">
    <w:abstractNumId w:val="1"/>
  </w:num>
  <w:num w:numId="24" w16cid:durableId="586427764">
    <w:abstractNumId w:val="28"/>
  </w:num>
  <w:num w:numId="25" w16cid:durableId="777330242">
    <w:abstractNumId w:val="32"/>
  </w:num>
  <w:num w:numId="26" w16cid:durableId="2040203357">
    <w:abstractNumId w:val="33"/>
  </w:num>
  <w:num w:numId="27" w16cid:durableId="1893229275">
    <w:abstractNumId w:val="10"/>
  </w:num>
  <w:num w:numId="28" w16cid:durableId="1993827929">
    <w:abstractNumId w:val="14"/>
  </w:num>
  <w:num w:numId="29" w16cid:durableId="913899545">
    <w:abstractNumId w:val="29"/>
  </w:num>
  <w:num w:numId="30" w16cid:durableId="1468279373">
    <w:abstractNumId w:val="0"/>
  </w:num>
  <w:num w:numId="31" w16cid:durableId="2027049319">
    <w:abstractNumId w:val="9"/>
  </w:num>
  <w:num w:numId="32" w16cid:durableId="667751729">
    <w:abstractNumId w:val="13"/>
  </w:num>
  <w:num w:numId="33" w16cid:durableId="1413968745">
    <w:abstractNumId w:val="38"/>
  </w:num>
  <w:num w:numId="34" w16cid:durableId="1087078341">
    <w:abstractNumId w:val="5"/>
  </w:num>
  <w:num w:numId="35" w16cid:durableId="501897887">
    <w:abstractNumId w:val="21"/>
  </w:num>
  <w:num w:numId="36" w16cid:durableId="363138080">
    <w:abstractNumId w:val="20"/>
  </w:num>
  <w:num w:numId="37" w16cid:durableId="761796595">
    <w:abstractNumId w:val="15"/>
  </w:num>
  <w:num w:numId="38" w16cid:durableId="1273901106">
    <w:abstractNumId w:val="16"/>
  </w:num>
  <w:num w:numId="39" w16cid:durableId="1615363385">
    <w:abstractNumId w:val="2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731"/>
    <w:rsid w:val="0000003E"/>
    <w:rsid w:val="000000EA"/>
    <w:rsid w:val="000003DB"/>
    <w:rsid w:val="000004E9"/>
    <w:rsid w:val="00000605"/>
    <w:rsid w:val="0000085E"/>
    <w:rsid w:val="00000B22"/>
    <w:rsid w:val="00000D67"/>
    <w:rsid w:val="00000E33"/>
    <w:rsid w:val="000012C2"/>
    <w:rsid w:val="00001421"/>
    <w:rsid w:val="00001499"/>
    <w:rsid w:val="000014D9"/>
    <w:rsid w:val="000015B3"/>
    <w:rsid w:val="00001988"/>
    <w:rsid w:val="00001C6A"/>
    <w:rsid w:val="00001E6C"/>
    <w:rsid w:val="0000234A"/>
    <w:rsid w:val="00002450"/>
    <w:rsid w:val="00002AD6"/>
    <w:rsid w:val="00002B30"/>
    <w:rsid w:val="00002EFB"/>
    <w:rsid w:val="00003383"/>
    <w:rsid w:val="000034C5"/>
    <w:rsid w:val="0000375A"/>
    <w:rsid w:val="0000386E"/>
    <w:rsid w:val="00003E70"/>
    <w:rsid w:val="00003E73"/>
    <w:rsid w:val="00004210"/>
    <w:rsid w:val="000043DA"/>
    <w:rsid w:val="000047F8"/>
    <w:rsid w:val="0000481E"/>
    <w:rsid w:val="00004C39"/>
    <w:rsid w:val="00005219"/>
    <w:rsid w:val="00005628"/>
    <w:rsid w:val="00005682"/>
    <w:rsid w:val="000057FD"/>
    <w:rsid w:val="0000592C"/>
    <w:rsid w:val="00005C2B"/>
    <w:rsid w:val="00005C3D"/>
    <w:rsid w:val="00005D62"/>
    <w:rsid w:val="00005D70"/>
    <w:rsid w:val="00005E2D"/>
    <w:rsid w:val="00005FCE"/>
    <w:rsid w:val="000061FF"/>
    <w:rsid w:val="00006229"/>
    <w:rsid w:val="000062F3"/>
    <w:rsid w:val="0000678D"/>
    <w:rsid w:val="0000691F"/>
    <w:rsid w:val="00006EA4"/>
    <w:rsid w:val="00006FF4"/>
    <w:rsid w:val="00007521"/>
    <w:rsid w:val="00007705"/>
    <w:rsid w:val="0000783F"/>
    <w:rsid w:val="00007B27"/>
    <w:rsid w:val="00007BBF"/>
    <w:rsid w:val="00007C4E"/>
    <w:rsid w:val="00010012"/>
    <w:rsid w:val="000100AA"/>
    <w:rsid w:val="00010182"/>
    <w:rsid w:val="0001052E"/>
    <w:rsid w:val="00010C18"/>
    <w:rsid w:val="00010ECE"/>
    <w:rsid w:val="00011474"/>
    <w:rsid w:val="00011783"/>
    <w:rsid w:val="00011790"/>
    <w:rsid w:val="000118BF"/>
    <w:rsid w:val="00011C8F"/>
    <w:rsid w:val="00011CA9"/>
    <w:rsid w:val="00011E3A"/>
    <w:rsid w:val="00011F69"/>
    <w:rsid w:val="000120BD"/>
    <w:rsid w:val="00012118"/>
    <w:rsid w:val="00012299"/>
    <w:rsid w:val="00012924"/>
    <w:rsid w:val="00012ACA"/>
    <w:rsid w:val="00012C34"/>
    <w:rsid w:val="000131AD"/>
    <w:rsid w:val="0001327B"/>
    <w:rsid w:val="000135C9"/>
    <w:rsid w:val="0001365C"/>
    <w:rsid w:val="0001367E"/>
    <w:rsid w:val="00013B0D"/>
    <w:rsid w:val="00013B88"/>
    <w:rsid w:val="00013F5E"/>
    <w:rsid w:val="000149FC"/>
    <w:rsid w:val="000150CB"/>
    <w:rsid w:val="000150F5"/>
    <w:rsid w:val="000158AB"/>
    <w:rsid w:val="00015908"/>
    <w:rsid w:val="00015DE1"/>
    <w:rsid w:val="00015E22"/>
    <w:rsid w:val="0001604B"/>
    <w:rsid w:val="00016412"/>
    <w:rsid w:val="0001643B"/>
    <w:rsid w:val="000164D5"/>
    <w:rsid w:val="000166C2"/>
    <w:rsid w:val="00016857"/>
    <w:rsid w:val="000168DE"/>
    <w:rsid w:val="00016F25"/>
    <w:rsid w:val="00017166"/>
    <w:rsid w:val="000171AC"/>
    <w:rsid w:val="00017233"/>
    <w:rsid w:val="000176CA"/>
    <w:rsid w:val="000176FD"/>
    <w:rsid w:val="00017726"/>
    <w:rsid w:val="00017998"/>
    <w:rsid w:val="000179D4"/>
    <w:rsid w:val="00017AD0"/>
    <w:rsid w:val="00017B17"/>
    <w:rsid w:val="00017EDF"/>
    <w:rsid w:val="000205DE"/>
    <w:rsid w:val="00020949"/>
    <w:rsid w:val="000209C8"/>
    <w:rsid w:val="00020D0C"/>
    <w:rsid w:val="00020EB2"/>
    <w:rsid w:val="00020EBE"/>
    <w:rsid w:val="00020EF7"/>
    <w:rsid w:val="00020F9C"/>
    <w:rsid w:val="00021027"/>
    <w:rsid w:val="0002108B"/>
    <w:rsid w:val="00021242"/>
    <w:rsid w:val="000212DD"/>
    <w:rsid w:val="000213C8"/>
    <w:rsid w:val="000213CC"/>
    <w:rsid w:val="0002144E"/>
    <w:rsid w:val="000215DB"/>
    <w:rsid w:val="00021957"/>
    <w:rsid w:val="00021E61"/>
    <w:rsid w:val="0002235B"/>
    <w:rsid w:val="00022475"/>
    <w:rsid w:val="000224A7"/>
    <w:rsid w:val="000225A2"/>
    <w:rsid w:val="00022906"/>
    <w:rsid w:val="00022C69"/>
    <w:rsid w:val="00022F64"/>
    <w:rsid w:val="0002307F"/>
    <w:rsid w:val="0002349B"/>
    <w:rsid w:val="000234D5"/>
    <w:rsid w:val="000234FB"/>
    <w:rsid w:val="00023657"/>
    <w:rsid w:val="000237C2"/>
    <w:rsid w:val="00023926"/>
    <w:rsid w:val="00023A86"/>
    <w:rsid w:val="00023C3C"/>
    <w:rsid w:val="00023E82"/>
    <w:rsid w:val="00023EFB"/>
    <w:rsid w:val="00023F7B"/>
    <w:rsid w:val="0002413A"/>
    <w:rsid w:val="00024302"/>
    <w:rsid w:val="00024367"/>
    <w:rsid w:val="000243B3"/>
    <w:rsid w:val="0002465E"/>
    <w:rsid w:val="000246E6"/>
    <w:rsid w:val="00024861"/>
    <w:rsid w:val="000248A4"/>
    <w:rsid w:val="000249AA"/>
    <w:rsid w:val="000249C8"/>
    <w:rsid w:val="00024ED6"/>
    <w:rsid w:val="0002522F"/>
    <w:rsid w:val="000253EA"/>
    <w:rsid w:val="0002544E"/>
    <w:rsid w:val="00025560"/>
    <w:rsid w:val="0002556E"/>
    <w:rsid w:val="00025648"/>
    <w:rsid w:val="0002582D"/>
    <w:rsid w:val="00025A5B"/>
    <w:rsid w:val="00025DAA"/>
    <w:rsid w:val="00025F95"/>
    <w:rsid w:val="000260AB"/>
    <w:rsid w:val="000261DC"/>
    <w:rsid w:val="000268AE"/>
    <w:rsid w:val="00026CA9"/>
    <w:rsid w:val="00026D07"/>
    <w:rsid w:val="00026D36"/>
    <w:rsid w:val="00026F9E"/>
    <w:rsid w:val="00027021"/>
    <w:rsid w:val="000271E9"/>
    <w:rsid w:val="00027225"/>
    <w:rsid w:val="000272F7"/>
    <w:rsid w:val="0002741E"/>
    <w:rsid w:val="000276A5"/>
    <w:rsid w:val="00027954"/>
    <w:rsid w:val="00027A74"/>
    <w:rsid w:val="00027AFF"/>
    <w:rsid w:val="00027B94"/>
    <w:rsid w:val="00027DA9"/>
    <w:rsid w:val="00027F5D"/>
    <w:rsid w:val="000305A9"/>
    <w:rsid w:val="00030734"/>
    <w:rsid w:val="00030A25"/>
    <w:rsid w:val="00030C21"/>
    <w:rsid w:val="00030E69"/>
    <w:rsid w:val="00030F2D"/>
    <w:rsid w:val="000310D2"/>
    <w:rsid w:val="000311A3"/>
    <w:rsid w:val="000311E1"/>
    <w:rsid w:val="00031338"/>
    <w:rsid w:val="00031382"/>
    <w:rsid w:val="00031B3A"/>
    <w:rsid w:val="00031F30"/>
    <w:rsid w:val="000322A5"/>
    <w:rsid w:val="00032611"/>
    <w:rsid w:val="00032661"/>
    <w:rsid w:val="00032CD2"/>
    <w:rsid w:val="00032F25"/>
    <w:rsid w:val="00032FBF"/>
    <w:rsid w:val="000332C9"/>
    <w:rsid w:val="0003344F"/>
    <w:rsid w:val="000336DC"/>
    <w:rsid w:val="0003386D"/>
    <w:rsid w:val="000338E2"/>
    <w:rsid w:val="000338F8"/>
    <w:rsid w:val="00033A29"/>
    <w:rsid w:val="00033D3B"/>
    <w:rsid w:val="0003403C"/>
    <w:rsid w:val="0003445B"/>
    <w:rsid w:val="000344EC"/>
    <w:rsid w:val="0003464F"/>
    <w:rsid w:val="00034894"/>
    <w:rsid w:val="00034A03"/>
    <w:rsid w:val="00034A5D"/>
    <w:rsid w:val="00034DF6"/>
    <w:rsid w:val="00034FCA"/>
    <w:rsid w:val="0003502F"/>
    <w:rsid w:val="000353B0"/>
    <w:rsid w:val="00035673"/>
    <w:rsid w:val="0003584A"/>
    <w:rsid w:val="0003597F"/>
    <w:rsid w:val="00035CE9"/>
    <w:rsid w:val="00035DE9"/>
    <w:rsid w:val="00035E6C"/>
    <w:rsid w:val="00035E89"/>
    <w:rsid w:val="00035EC4"/>
    <w:rsid w:val="00035ED3"/>
    <w:rsid w:val="00035F9F"/>
    <w:rsid w:val="000364D8"/>
    <w:rsid w:val="00036943"/>
    <w:rsid w:val="00036A71"/>
    <w:rsid w:val="00036A73"/>
    <w:rsid w:val="00036B14"/>
    <w:rsid w:val="00037068"/>
    <w:rsid w:val="00037504"/>
    <w:rsid w:val="0003758B"/>
    <w:rsid w:val="00037664"/>
    <w:rsid w:val="00037721"/>
    <w:rsid w:val="00037907"/>
    <w:rsid w:val="00037B8A"/>
    <w:rsid w:val="00037C2C"/>
    <w:rsid w:val="00040060"/>
    <w:rsid w:val="00040192"/>
    <w:rsid w:val="000404C1"/>
    <w:rsid w:val="000405A7"/>
    <w:rsid w:val="000408F2"/>
    <w:rsid w:val="000408F6"/>
    <w:rsid w:val="00040D03"/>
    <w:rsid w:val="00040D22"/>
    <w:rsid w:val="0004103C"/>
    <w:rsid w:val="00041328"/>
    <w:rsid w:val="000413EB"/>
    <w:rsid w:val="000415BA"/>
    <w:rsid w:val="0004162D"/>
    <w:rsid w:val="000416C6"/>
    <w:rsid w:val="0004190C"/>
    <w:rsid w:val="00041B3E"/>
    <w:rsid w:val="00041D78"/>
    <w:rsid w:val="00041E35"/>
    <w:rsid w:val="00041F52"/>
    <w:rsid w:val="00041F78"/>
    <w:rsid w:val="0004207F"/>
    <w:rsid w:val="00042102"/>
    <w:rsid w:val="000424D6"/>
    <w:rsid w:val="000426B3"/>
    <w:rsid w:val="00042988"/>
    <w:rsid w:val="00042AF4"/>
    <w:rsid w:val="00042B97"/>
    <w:rsid w:val="00042D13"/>
    <w:rsid w:val="00042D18"/>
    <w:rsid w:val="00042D48"/>
    <w:rsid w:val="0004309E"/>
    <w:rsid w:val="00043380"/>
    <w:rsid w:val="000434FF"/>
    <w:rsid w:val="000438E4"/>
    <w:rsid w:val="00043A38"/>
    <w:rsid w:val="00043B8C"/>
    <w:rsid w:val="00043B8D"/>
    <w:rsid w:val="00043F9E"/>
    <w:rsid w:val="00043FCC"/>
    <w:rsid w:val="0004413E"/>
    <w:rsid w:val="0004423D"/>
    <w:rsid w:val="0004435C"/>
    <w:rsid w:val="000443F2"/>
    <w:rsid w:val="00044862"/>
    <w:rsid w:val="000449E2"/>
    <w:rsid w:val="00044B3E"/>
    <w:rsid w:val="00044F5C"/>
    <w:rsid w:val="000452B2"/>
    <w:rsid w:val="000454C5"/>
    <w:rsid w:val="00045C3B"/>
    <w:rsid w:val="00046148"/>
    <w:rsid w:val="0004625E"/>
    <w:rsid w:val="0004696C"/>
    <w:rsid w:val="00046982"/>
    <w:rsid w:val="00046EBC"/>
    <w:rsid w:val="00047635"/>
    <w:rsid w:val="000476F2"/>
    <w:rsid w:val="00047992"/>
    <w:rsid w:val="000479A7"/>
    <w:rsid w:val="00047D0E"/>
    <w:rsid w:val="00047D52"/>
    <w:rsid w:val="00047D72"/>
    <w:rsid w:val="00047FFA"/>
    <w:rsid w:val="00050151"/>
    <w:rsid w:val="000502C4"/>
    <w:rsid w:val="00050819"/>
    <w:rsid w:val="0005092F"/>
    <w:rsid w:val="0005097E"/>
    <w:rsid w:val="00050BDF"/>
    <w:rsid w:val="00051429"/>
    <w:rsid w:val="0005147B"/>
    <w:rsid w:val="0005172E"/>
    <w:rsid w:val="00051738"/>
    <w:rsid w:val="000517D0"/>
    <w:rsid w:val="00051AF7"/>
    <w:rsid w:val="00051C91"/>
    <w:rsid w:val="00051CFD"/>
    <w:rsid w:val="00051F3F"/>
    <w:rsid w:val="0005206F"/>
    <w:rsid w:val="0005228C"/>
    <w:rsid w:val="00052300"/>
    <w:rsid w:val="00052396"/>
    <w:rsid w:val="0005245E"/>
    <w:rsid w:val="000524B7"/>
    <w:rsid w:val="00052535"/>
    <w:rsid w:val="000525A3"/>
    <w:rsid w:val="000526C8"/>
    <w:rsid w:val="00052BEE"/>
    <w:rsid w:val="00052D80"/>
    <w:rsid w:val="00052EA8"/>
    <w:rsid w:val="000530E7"/>
    <w:rsid w:val="00053340"/>
    <w:rsid w:val="000533B8"/>
    <w:rsid w:val="00053591"/>
    <w:rsid w:val="00053965"/>
    <w:rsid w:val="000539FF"/>
    <w:rsid w:val="00053AD3"/>
    <w:rsid w:val="00054035"/>
    <w:rsid w:val="0005422F"/>
    <w:rsid w:val="0005453D"/>
    <w:rsid w:val="000545E5"/>
    <w:rsid w:val="00054826"/>
    <w:rsid w:val="000548F1"/>
    <w:rsid w:val="00054A47"/>
    <w:rsid w:val="00054AD1"/>
    <w:rsid w:val="00054B21"/>
    <w:rsid w:val="00054C51"/>
    <w:rsid w:val="00054D08"/>
    <w:rsid w:val="00054F11"/>
    <w:rsid w:val="00054F33"/>
    <w:rsid w:val="000550BD"/>
    <w:rsid w:val="0005515D"/>
    <w:rsid w:val="00055185"/>
    <w:rsid w:val="0005527E"/>
    <w:rsid w:val="00055363"/>
    <w:rsid w:val="00055466"/>
    <w:rsid w:val="00055533"/>
    <w:rsid w:val="000555C1"/>
    <w:rsid w:val="00055656"/>
    <w:rsid w:val="00055A3A"/>
    <w:rsid w:val="00055BF3"/>
    <w:rsid w:val="00055CE0"/>
    <w:rsid w:val="00055E77"/>
    <w:rsid w:val="000564F9"/>
    <w:rsid w:val="000565AC"/>
    <w:rsid w:val="0005662C"/>
    <w:rsid w:val="00056936"/>
    <w:rsid w:val="000569E6"/>
    <w:rsid w:val="00056DBB"/>
    <w:rsid w:val="000572A4"/>
    <w:rsid w:val="000577CB"/>
    <w:rsid w:val="00057ADF"/>
    <w:rsid w:val="00057E4E"/>
    <w:rsid w:val="00057F14"/>
    <w:rsid w:val="00060193"/>
    <w:rsid w:val="00060266"/>
    <w:rsid w:val="000602B2"/>
    <w:rsid w:val="000605E9"/>
    <w:rsid w:val="000605F8"/>
    <w:rsid w:val="00060BA8"/>
    <w:rsid w:val="00060D96"/>
    <w:rsid w:val="00060E54"/>
    <w:rsid w:val="00060EED"/>
    <w:rsid w:val="00060F48"/>
    <w:rsid w:val="00061051"/>
    <w:rsid w:val="0006114A"/>
    <w:rsid w:val="00061308"/>
    <w:rsid w:val="0006136E"/>
    <w:rsid w:val="000614A2"/>
    <w:rsid w:val="000614E3"/>
    <w:rsid w:val="000615ED"/>
    <w:rsid w:val="0006181A"/>
    <w:rsid w:val="00061828"/>
    <w:rsid w:val="00061B07"/>
    <w:rsid w:val="00061D6F"/>
    <w:rsid w:val="00061F31"/>
    <w:rsid w:val="00062362"/>
    <w:rsid w:val="000623A2"/>
    <w:rsid w:val="000624B7"/>
    <w:rsid w:val="0006263B"/>
    <w:rsid w:val="00062CDD"/>
    <w:rsid w:val="00062D1F"/>
    <w:rsid w:val="00062EB1"/>
    <w:rsid w:val="00062EB6"/>
    <w:rsid w:val="000632D2"/>
    <w:rsid w:val="000632EB"/>
    <w:rsid w:val="000633C7"/>
    <w:rsid w:val="0006370C"/>
    <w:rsid w:val="00063800"/>
    <w:rsid w:val="00063A8C"/>
    <w:rsid w:val="000644CB"/>
    <w:rsid w:val="000648AF"/>
    <w:rsid w:val="000648E3"/>
    <w:rsid w:val="00064B67"/>
    <w:rsid w:val="00064C41"/>
    <w:rsid w:val="00064C76"/>
    <w:rsid w:val="00064D1F"/>
    <w:rsid w:val="00064E3A"/>
    <w:rsid w:val="00065184"/>
    <w:rsid w:val="00065190"/>
    <w:rsid w:val="000651BB"/>
    <w:rsid w:val="000651C2"/>
    <w:rsid w:val="0006568C"/>
    <w:rsid w:val="0006571B"/>
    <w:rsid w:val="00065A90"/>
    <w:rsid w:val="00065BE2"/>
    <w:rsid w:val="00065D63"/>
    <w:rsid w:val="00065EFB"/>
    <w:rsid w:val="000660F4"/>
    <w:rsid w:val="00066491"/>
    <w:rsid w:val="000669F7"/>
    <w:rsid w:val="00066DEB"/>
    <w:rsid w:val="0006719B"/>
    <w:rsid w:val="000672BC"/>
    <w:rsid w:val="0006735B"/>
    <w:rsid w:val="00067760"/>
    <w:rsid w:val="00067941"/>
    <w:rsid w:val="00067A52"/>
    <w:rsid w:val="00067B5C"/>
    <w:rsid w:val="0007006F"/>
    <w:rsid w:val="000705B1"/>
    <w:rsid w:val="00070674"/>
    <w:rsid w:val="000709A2"/>
    <w:rsid w:val="00070A27"/>
    <w:rsid w:val="00070F90"/>
    <w:rsid w:val="0007108A"/>
    <w:rsid w:val="000710BA"/>
    <w:rsid w:val="000712B1"/>
    <w:rsid w:val="000712E0"/>
    <w:rsid w:val="0007132E"/>
    <w:rsid w:val="0007153A"/>
    <w:rsid w:val="00071D37"/>
    <w:rsid w:val="00071E53"/>
    <w:rsid w:val="00071F01"/>
    <w:rsid w:val="00072055"/>
    <w:rsid w:val="0007211A"/>
    <w:rsid w:val="00072124"/>
    <w:rsid w:val="0007261C"/>
    <w:rsid w:val="00072796"/>
    <w:rsid w:val="00072940"/>
    <w:rsid w:val="00072980"/>
    <w:rsid w:val="000729AE"/>
    <w:rsid w:val="00072EFB"/>
    <w:rsid w:val="00073093"/>
    <w:rsid w:val="00073487"/>
    <w:rsid w:val="000734C9"/>
    <w:rsid w:val="0007364D"/>
    <w:rsid w:val="0007368A"/>
    <w:rsid w:val="00073902"/>
    <w:rsid w:val="00073ACC"/>
    <w:rsid w:val="00073F1A"/>
    <w:rsid w:val="000740D5"/>
    <w:rsid w:val="00074158"/>
    <w:rsid w:val="0007443E"/>
    <w:rsid w:val="00074820"/>
    <w:rsid w:val="00074845"/>
    <w:rsid w:val="000749BB"/>
    <w:rsid w:val="000749D2"/>
    <w:rsid w:val="00074A39"/>
    <w:rsid w:val="00074A3D"/>
    <w:rsid w:val="00074BF8"/>
    <w:rsid w:val="0007531D"/>
    <w:rsid w:val="000756EA"/>
    <w:rsid w:val="00075948"/>
    <w:rsid w:val="000759AD"/>
    <w:rsid w:val="00075BB8"/>
    <w:rsid w:val="00075DD3"/>
    <w:rsid w:val="00075E1D"/>
    <w:rsid w:val="00075E2A"/>
    <w:rsid w:val="00075E44"/>
    <w:rsid w:val="00075EA8"/>
    <w:rsid w:val="00075FAC"/>
    <w:rsid w:val="00076079"/>
    <w:rsid w:val="0007608A"/>
    <w:rsid w:val="00076104"/>
    <w:rsid w:val="00076152"/>
    <w:rsid w:val="000761A1"/>
    <w:rsid w:val="000761E8"/>
    <w:rsid w:val="00076207"/>
    <w:rsid w:val="0007642E"/>
    <w:rsid w:val="00076546"/>
    <w:rsid w:val="000769D9"/>
    <w:rsid w:val="00076B6E"/>
    <w:rsid w:val="00076CAF"/>
    <w:rsid w:val="00076D71"/>
    <w:rsid w:val="00077020"/>
    <w:rsid w:val="00077417"/>
    <w:rsid w:val="000775EF"/>
    <w:rsid w:val="000776CC"/>
    <w:rsid w:val="000778B6"/>
    <w:rsid w:val="00077C96"/>
    <w:rsid w:val="00077D02"/>
    <w:rsid w:val="00077F01"/>
    <w:rsid w:val="00077F5C"/>
    <w:rsid w:val="0008014A"/>
    <w:rsid w:val="00080240"/>
    <w:rsid w:val="00080372"/>
    <w:rsid w:val="00080813"/>
    <w:rsid w:val="00080874"/>
    <w:rsid w:val="00080949"/>
    <w:rsid w:val="0008096C"/>
    <w:rsid w:val="00080ADF"/>
    <w:rsid w:val="00080E3F"/>
    <w:rsid w:val="00080F5F"/>
    <w:rsid w:val="00080FB0"/>
    <w:rsid w:val="0008133B"/>
    <w:rsid w:val="00081439"/>
    <w:rsid w:val="00081560"/>
    <w:rsid w:val="000815DB"/>
    <w:rsid w:val="00081768"/>
    <w:rsid w:val="00081774"/>
    <w:rsid w:val="000818AC"/>
    <w:rsid w:val="000818B6"/>
    <w:rsid w:val="00081EA2"/>
    <w:rsid w:val="00081FB0"/>
    <w:rsid w:val="00082165"/>
    <w:rsid w:val="000826E8"/>
    <w:rsid w:val="00082859"/>
    <w:rsid w:val="00082B4F"/>
    <w:rsid w:val="00082B72"/>
    <w:rsid w:val="00082D77"/>
    <w:rsid w:val="00082DAC"/>
    <w:rsid w:val="00082F3D"/>
    <w:rsid w:val="00082F70"/>
    <w:rsid w:val="00083165"/>
    <w:rsid w:val="0008322B"/>
    <w:rsid w:val="00083232"/>
    <w:rsid w:val="000832C7"/>
    <w:rsid w:val="00083362"/>
    <w:rsid w:val="0008336C"/>
    <w:rsid w:val="00083518"/>
    <w:rsid w:val="00083AF0"/>
    <w:rsid w:val="00083B74"/>
    <w:rsid w:val="00083D1E"/>
    <w:rsid w:val="0008467B"/>
    <w:rsid w:val="00084680"/>
    <w:rsid w:val="00084849"/>
    <w:rsid w:val="0008484E"/>
    <w:rsid w:val="00084914"/>
    <w:rsid w:val="00084AA1"/>
    <w:rsid w:val="00084C1D"/>
    <w:rsid w:val="00084CDF"/>
    <w:rsid w:val="00084DDB"/>
    <w:rsid w:val="000851A4"/>
    <w:rsid w:val="00085546"/>
    <w:rsid w:val="000856C1"/>
    <w:rsid w:val="00085709"/>
    <w:rsid w:val="0008591B"/>
    <w:rsid w:val="000859A2"/>
    <w:rsid w:val="00085B1A"/>
    <w:rsid w:val="00085BF2"/>
    <w:rsid w:val="00085D17"/>
    <w:rsid w:val="00085D32"/>
    <w:rsid w:val="00085D90"/>
    <w:rsid w:val="00085DDE"/>
    <w:rsid w:val="00085F42"/>
    <w:rsid w:val="000866BC"/>
    <w:rsid w:val="00086A8D"/>
    <w:rsid w:val="00086B7C"/>
    <w:rsid w:val="00086CE1"/>
    <w:rsid w:val="00087078"/>
    <w:rsid w:val="00087117"/>
    <w:rsid w:val="000873D6"/>
    <w:rsid w:val="0008778C"/>
    <w:rsid w:val="000879F0"/>
    <w:rsid w:val="00087B32"/>
    <w:rsid w:val="00087C9D"/>
    <w:rsid w:val="00087F30"/>
    <w:rsid w:val="00087FDC"/>
    <w:rsid w:val="0009003A"/>
    <w:rsid w:val="00090280"/>
    <w:rsid w:val="00090428"/>
    <w:rsid w:val="00090434"/>
    <w:rsid w:val="000907B1"/>
    <w:rsid w:val="00090907"/>
    <w:rsid w:val="000909A6"/>
    <w:rsid w:val="000909C7"/>
    <w:rsid w:val="00090BDC"/>
    <w:rsid w:val="00090D08"/>
    <w:rsid w:val="00090F61"/>
    <w:rsid w:val="000911A5"/>
    <w:rsid w:val="00091255"/>
    <w:rsid w:val="0009150B"/>
    <w:rsid w:val="00091608"/>
    <w:rsid w:val="000917F8"/>
    <w:rsid w:val="0009192D"/>
    <w:rsid w:val="00091F45"/>
    <w:rsid w:val="00091FDC"/>
    <w:rsid w:val="000920E3"/>
    <w:rsid w:val="0009237B"/>
    <w:rsid w:val="0009241C"/>
    <w:rsid w:val="00092493"/>
    <w:rsid w:val="0009253E"/>
    <w:rsid w:val="00092546"/>
    <w:rsid w:val="00092685"/>
    <w:rsid w:val="00092818"/>
    <w:rsid w:val="0009287E"/>
    <w:rsid w:val="00093002"/>
    <w:rsid w:val="000930C4"/>
    <w:rsid w:val="00093195"/>
    <w:rsid w:val="0009324B"/>
    <w:rsid w:val="0009328B"/>
    <w:rsid w:val="00093402"/>
    <w:rsid w:val="000935F1"/>
    <w:rsid w:val="00093617"/>
    <w:rsid w:val="0009364D"/>
    <w:rsid w:val="000938C5"/>
    <w:rsid w:val="00093A15"/>
    <w:rsid w:val="00093CF0"/>
    <w:rsid w:val="00094485"/>
    <w:rsid w:val="000944F0"/>
    <w:rsid w:val="0009471E"/>
    <w:rsid w:val="000948E0"/>
    <w:rsid w:val="0009491F"/>
    <w:rsid w:val="00094BEB"/>
    <w:rsid w:val="0009536D"/>
    <w:rsid w:val="000953D9"/>
    <w:rsid w:val="000959D8"/>
    <w:rsid w:val="00095C87"/>
    <w:rsid w:val="000960B3"/>
    <w:rsid w:val="000962D3"/>
    <w:rsid w:val="000966DB"/>
    <w:rsid w:val="000967CF"/>
    <w:rsid w:val="00096C34"/>
    <w:rsid w:val="00096F58"/>
    <w:rsid w:val="00097575"/>
    <w:rsid w:val="000975AD"/>
    <w:rsid w:val="0009773A"/>
    <w:rsid w:val="00097A42"/>
    <w:rsid w:val="00097B04"/>
    <w:rsid w:val="00097CDA"/>
    <w:rsid w:val="000A01BE"/>
    <w:rsid w:val="000A03AE"/>
    <w:rsid w:val="000A03F5"/>
    <w:rsid w:val="000A0461"/>
    <w:rsid w:val="000A0493"/>
    <w:rsid w:val="000A05B4"/>
    <w:rsid w:val="000A07B2"/>
    <w:rsid w:val="000A0A14"/>
    <w:rsid w:val="000A0AE0"/>
    <w:rsid w:val="000A0E09"/>
    <w:rsid w:val="000A0E3B"/>
    <w:rsid w:val="000A0E69"/>
    <w:rsid w:val="000A0FDD"/>
    <w:rsid w:val="000A10D4"/>
    <w:rsid w:val="000A115C"/>
    <w:rsid w:val="000A161B"/>
    <w:rsid w:val="000A186F"/>
    <w:rsid w:val="000A1A74"/>
    <w:rsid w:val="000A1CA3"/>
    <w:rsid w:val="000A1E39"/>
    <w:rsid w:val="000A1ECC"/>
    <w:rsid w:val="000A1FEC"/>
    <w:rsid w:val="000A24C4"/>
    <w:rsid w:val="000A2691"/>
    <w:rsid w:val="000A2767"/>
    <w:rsid w:val="000A27A3"/>
    <w:rsid w:val="000A2898"/>
    <w:rsid w:val="000A28FD"/>
    <w:rsid w:val="000A2941"/>
    <w:rsid w:val="000A2EB1"/>
    <w:rsid w:val="000A2EDA"/>
    <w:rsid w:val="000A2F82"/>
    <w:rsid w:val="000A3024"/>
    <w:rsid w:val="000A325C"/>
    <w:rsid w:val="000A3913"/>
    <w:rsid w:val="000A3AAF"/>
    <w:rsid w:val="000A3C1D"/>
    <w:rsid w:val="000A3CC6"/>
    <w:rsid w:val="000A3ECB"/>
    <w:rsid w:val="000A3FB3"/>
    <w:rsid w:val="000A42AA"/>
    <w:rsid w:val="000A4915"/>
    <w:rsid w:val="000A4A20"/>
    <w:rsid w:val="000A4D39"/>
    <w:rsid w:val="000A501E"/>
    <w:rsid w:val="000A506F"/>
    <w:rsid w:val="000A50F5"/>
    <w:rsid w:val="000A58B4"/>
    <w:rsid w:val="000A5CBA"/>
    <w:rsid w:val="000A5D77"/>
    <w:rsid w:val="000A5E2C"/>
    <w:rsid w:val="000A608F"/>
    <w:rsid w:val="000A644F"/>
    <w:rsid w:val="000A68B7"/>
    <w:rsid w:val="000A6C23"/>
    <w:rsid w:val="000A72A9"/>
    <w:rsid w:val="000A767A"/>
    <w:rsid w:val="000A7730"/>
    <w:rsid w:val="000A7A1D"/>
    <w:rsid w:val="000A7C23"/>
    <w:rsid w:val="000A7D75"/>
    <w:rsid w:val="000A7E64"/>
    <w:rsid w:val="000B00BC"/>
    <w:rsid w:val="000B0118"/>
    <w:rsid w:val="000B01B1"/>
    <w:rsid w:val="000B03A0"/>
    <w:rsid w:val="000B0402"/>
    <w:rsid w:val="000B05EE"/>
    <w:rsid w:val="000B0678"/>
    <w:rsid w:val="000B0850"/>
    <w:rsid w:val="000B0B71"/>
    <w:rsid w:val="000B0C1A"/>
    <w:rsid w:val="000B1169"/>
    <w:rsid w:val="000B1190"/>
    <w:rsid w:val="000B138E"/>
    <w:rsid w:val="000B1410"/>
    <w:rsid w:val="000B1745"/>
    <w:rsid w:val="000B1C9C"/>
    <w:rsid w:val="000B1F7F"/>
    <w:rsid w:val="000B1FD8"/>
    <w:rsid w:val="000B202D"/>
    <w:rsid w:val="000B234D"/>
    <w:rsid w:val="000B258F"/>
    <w:rsid w:val="000B25EC"/>
    <w:rsid w:val="000B263E"/>
    <w:rsid w:val="000B2699"/>
    <w:rsid w:val="000B2DBF"/>
    <w:rsid w:val="000B2E08"/>
    <w:rsid w:val="000B36F4"/>
    <w:rsid w:val="000B3806"/>
    <w:rsid w:val="000B394E"/>
    <w:rsid w:val="000B3BA6"/>
    <w:rsid w:val="000B3D22"/>
    <w:rsid w:val="000B3D26"/>
    <w:rsid w:val="000B40D8"/>
    <w:rsid w:val="000B41C6"/>
    <w:rsid w:val="000B4252"/>
    <w:rsid w:val="000B4576"/>
    <w:rsid w:val="000B45DF"/>
    <w:rsid w:val="000B4753"/>
    <w:rsid w:val="000B4782"/>
    <w:rsid w:val="000B50F3"/>
    <w:rsid w:val="000B5118"/>
    <w:rsid w:val="000B5231"/>
    <w:rsid w:val="000B544A"/>
    <w:rsid w:val="000B5756"/>
    <w:rsid w:val="000B5A40"/>
    <w:rsid w:val="000B64C8"/>
    <w:rsid w:val="000B6636"/>
    <w:rsid w:val="000B69D5"/>
    <w:rsid w:val="000B6E22"/>
    <w:rsid w:val="000B6F17"/>
    <w:rsid w:val="000B6F18"/>
    <w:rsid w:val="000B711A"/>
    <w:rsid w:val="000B7366"/>
    <w:rsid w:val="000B75FF"/>
    <w:rsid w:val="000B7A81"/>
    <w:rsid w:val="000B7A84"/>
    <w:rsid w:val="000C014F"/>
    <w:rsid w:val="000C0329"/>
    <w:rsid w:val="000C0536"/>
    <w:rsid w:val="000C0569"/>
    <w:rsid w:val="000C075B"/>
    <w:rsid w:val="000C0880"/>
    <w:rsid w:val="000C0929"/>
    <w:rsid w:val="000C0A4B"/>
    <w:rsid w:val="000C0A74"/>
    <w:rsid w:val="000C0E5C"/>
    <w:rsid w:val="000C0E92"/>
    <w:rsid w:val="000C0EA3"/>
    <w:rsid w:val="000C10CB"/>
    <w:rsid w:val="000C10DD"/>
    <w:rsid w:val="000C1814"/>
    <w:rsid w:val="000C1A35"/>
    <w:rsid w:val="000C1EA8"/>
    <w:rsid w:val="000C2127"/>
    <w:rsid w:val="000C2463"/>
    <w:rsid w:val="000C2856"/>
    <w:rsid w:val="000C295A"/>
    <w:rsid w:val="000C29B5"/>
    <w:rsid w:val="000C29E1"/>
    <w:rsid w:val="000C2D32"/>
    <w:rsid w:val="000C2F0C"/>
    <w:rsid w:val="000C303F"/>
    <w:rsid w:val="000C3078"/>
    <w:rsid w:val="000C316A"/>
    <w:rsid w:val="000C334F"/>
    <w:rsid w:val="000C34DA"/>
    <w:rsid w:val="000C3F6F"/>
    <w:rsid w:val="000C4384"/>
    <w:rsid w:val="000C45BB"/>
    <w:rsid w:val="000C46A1"/>
    <w:rsid w:val="000C489B"/>
    <w:rsid w:val="000C4A2E"/>
    <w:rsid w:val="000C4ACF"/>
    <w:rsid w:val="000C4BA5"/>
    <w:rsid w:val="000C4D1F"/>
    <w:rsid w:val="000C4E8D"/>
    <w:rsid w:val="000C4EF9"/>
    <w:rsid w:val="000C4F6C"/>
    <w:rsid w:val="000C50D6"/>
    <w:rsid w:val="000C5177"/>
    <w:rsid w:val="000C5456"/>
    <w:rsid w:val="000C54E0"/>
    <w:rsid w:val="000C5547"/>
    <w:rsid w:val="000C5773"/>
    <w:rsid w:val="000C57A1"/>
    <w:rsid w:val="000C5B57"/>
    <w:rsid w:val="000C5C93"/>
    <w:rsid w:val="000C5E61"/>
    <w:rsid w:val="000C5F20"/>
    <w:rsid w:val="000C5F7B"/>
    <w:rsid w:val="000C5FF9"/>
    <w:rsid w:val="000C61CE"/>
    <w:rsid w:val="000C61E7"/>
    <w:rsid w:val="000C6268"/>
    <w:rsid w:val="000C626A"/>
    <w:rsid w:val="000C62C4"/>
    <w:rsid w:val="000C6345"/>
    <w:rsid w:val="000C66C3"/>
    <w:rsid w:val="000C6745"/>
    <w:rsid w:val="000C6954"/>
    <w:rsid w:val="000C69B9"/>
    <w:rsid w:val="000C69C2"/>
    <w:rsid w:val="000C6A2C"/>
    <w:rsid w:val="000C6BAE"/>
    <w:rsid w:val="000C6E76"/>
    <w:rsid w:val="000C6F4D"/>
    <w:rsid w:val="000C7424"/>
    <w:rsid w:val="000C7B2A"/>
    <w:rsid w:val="000C7CC6"/>
    <w:rsid w:val="000C7D50"/>
    <w:rsid w:val="000D0199"/>
    <w:rsid w:val="000D02DE"/>
    <w:rsid w:val="000D041E"/>
    <w:rsid w:val="000D08ED"/>
    <w:rsid w:val="000D0BA6"/>
    <w:rsid w:val="000D0D3B"/>
    <w:rsid w:val="000D112F"/>
    <w:rsid w:val="000D12C6"/>
    <w:rsid w:val="000D158D"/>
    <w:rsid w:val="000D15EB"/>
    <w:rsid w:val="000D1CDA"/>
    <w:rsid w:val="000D1CDD"/>
    <w:rsid w:val="000D1D36"/>
    <w:rsid w:val="000D2247"/>
    <w:rsid w:val="000D2333"/>
    <w:rsid w:val="000D234C"/>
    <w:rsid w:val="000D2482"/>
    <w:rsid w:val="000D2546"/>
    <w:rsid w:val="000D29A1"/>
    <w:rsid w:val="000D2A8D"/>
    <w:rsid w:val="000D2D4B"/>
    <w:rsid w:val="000D31FE"/>
    <w:rsid w:val="000D343D"/>
    <w:rsid w:val="000D3458"/>
    <w:rsid w:val="000D3883"/>
    <w:rsid w:val="000D399E"/>
    <w:rsid w:val="000D39AE"/>
    <w:rsid w:val="000D3BA2"/>
    <w:rsid w:val="000D3C64"/>
    <w:rsid w:val="000D3E66"/>
    <w:rsid w:val="000D3FDC"/>
    <w:rsid w:val="000D4113"/>
    <w:rsid w:val="000D41E3"/>
    <w:rsid w:val="000D446E"/>
    <w:rsid w:val="000D4505"/>
    <w:rsid w:val="000D46EF"/>
    <w:rsid w:val="000D4B1E"/>
    <w:rsid w:val="000D4F61"/>
    <w:rsid w:val="000D536D"/>
    <w:rsid w:val="000D59F3"/>
    <w:rsid w:val="000D5A85"/>
    <w:rsid w:val="000D5AA5"/>
    <w:rsid w:val="000D5B04"/>
    <w:rsid w:val="000D5B6B"/>
    <w:rsid w:val="000D5DEB"/>
    <w:rsid w:val="000D5F3E"/>
    <w:rsid w:val="000D6027"/>
    <w:rsid w:val="000D6842"/>
    <w:rsid w:val="000D68DB"/>
    <w:rsid w:val="000D6AA3"/>
    <w:rsid w:val="000D711B"/>
    <w:rsid w:val="000D73A0"/>
    <w:rsid w:val="000D7575"/>
    <w:rsid w:val="000D7760"/>
    <w:rsid w:val="000D7772"/>
    <w:rsid w:val="000D7B1A"/>
    <w:rsid w:val="000D7CED"/>
    <w:rsid w:val="000D7D75"/>
    <w:rsid w:val="000D7ECF"/>
    <w:rsid w:val="000E012B"/>
    <w:rsid w:val="000E0437"/>
    <w:rsid w:val="000E0BFF"/>
    <w:rsid w:val="000E0C67"/>
    <w:rsid w:val="000E0C9B"/>
    <w:rsid w:val="000E0EAC"/>
    <w:rsid w:val="000E0EE1"/>
    <w:rsid w:val="000E1003"/>
    <w:rsid w:val="000E105E"/>
    <w:rsid w:val="000E10B4"/>
    <w:rsid w:val="000E1237"/>
    <w:rsid w:val="000E1498"/>
    <w:rsid w:val="000E1515"/>
    <w:rsid w:val="000E17EF"/>
    <w:rsid w:val="000E1A28"/>
    <w:rsid w:val="000E1B13"/>
    <w:rsid w:val="000E1D6E"/>
    <w:rsid w:val="000E2393"/>
    <w:rsid w:val="000E2640"/>
    <w:rsid w:val="000E2BEF"/>
    <w:rsid w:val="000E2D9B"/>
    <w:rsid w:val="000E2E32"/>
    <w:rsid w:val="000E30C2"/>
    <w:rsid w:val="000E31C4"/>
    <w:rsid w:val="000E32F1"/>
    <w:rsid w:val="000E3412"/>
    <w:rsid w:val="000E37C2"/>
    <w:rsid w:val="000E3984"/>
    <w:rsid w:val="000E3A8A"/>
    <w:rsid w:val="000E3DB2"/>
    <w:rsid w:val="000E3F7B"/>
    <w:rsid w:val="000E41BB"/>
    <w:rsid w:val="000E4267"/>
    <w:rsid w:val="000E4319"/>
    <w:rsid w:val="000E431C"/>
    <w:rsid w:val="000E4328"/>
    <w:rsid w:val="000E45EF"/>
    <w:rsid w:val="000E4637"/>
    <w:rsid w:val="000E4697"/>
    <w:rsid w:val="000E4800"/>
    <w:rsid w:val="000E481E"/>
    <w:rsid w:val="000E48EC"/>
    <w:rsid w:val="000E49DB"/>
    <w:rsid w:val="000E4B2A"/>
    <w:rsid w:val="000E4CA3"/>
    <w:rsid w:val="000E5123"/>
    <w:rsid w:val="000E516C"/>
    <w:rsid w:val="000E51EA"/>
    <w:rsid w:val="000E5273"/>
    <w:rsid w:val="000E52F8"/>
    <w:rsid w:val="000E53A9"/>
    <w:rsid w:val="000E5527"/>
    <w:rsid w:val="000E554C"/>
    <w:rsid w:val="000E55C6"/>
    <w:rsid w:val="000E56CF"/>
    <w:rsid w:val="000E56E5"/>
    <w:rsid w:val="000E58A3"/>
    <w:rsid w:val="000E59EC"/>
    <w:rsid w:val="000E5B73"/>
    <w:rsid w:val="000E5B86"/>
    <w:rsid w:val="000E5C44"/>
    <w:rsid w:val="000E6218"/>
    <w:rsid w:val="000E630E"/>
    <w:rsid w:val="000E6447"/>
    <w:rsid w:val="000E6732"/>
    <w:rsid w:val="000E6C9C"/>
    <w:rsid w:val="000E6D57"/>
    <w:rsid w:val="000E6F52"/>
    <w:rsid w:val="000E735D"/>
    <w:rsid w:val="000E7401"/>
    <w:rsid w:val="000E7579"/>
    <w:rsid w:val="000E7582"/>
    <w:rsid w:val="000E7606"/>
    <w:rsid w:val="000E767E"/>
    <w:rsid w:val="000E7733"/>
    <w:rsid w:val="000E787C"/>
    <w:rsid w:val="000E7887"/>
    <w:rsid w:val="000E7C5E"/>
    <w:rsid w:val="000E7CC7"/>
    <w:rsid w:val="000E7EB9"/>
    <w:rsid w:val="000E7F5D"/>
    <w:rsid w:val="000F01C4"/>
    <w:rsid w:val="000F0208"/>
    <w:rsid w:val="000F060E"/>
    <w:rsid w:val="000F07DF"/>
    <w:rsid w:val="000F08F3"/>
    <w:rsid w:val="000F098C"/>
    <w:rsid w:val="000F0F26"/>
    <w:rsid w:val="000F17B8"/>
    <w:rsid w:val="000F1905"/>
    <w:rsid w:val="000F19A1"/>
    <w:rsid w:val="000F1EDD"/>
    <w:rsid w:val="000F217B"/>
    <w:rsid w:val="000F22B7"/>
    <w:rsid w:val="000F253B"/>
    <w:rsid w:val="000F2572"/>
    <w:rsid w:val="000F2B1D"/>
    <w:rsid w:val="000F2D39"/>
    <w:rsid w:val="000F2FA6"/>
    <w:rsid w:val="000F3353"/>
    <w:rsid w:val="000F3410"/>
    <w:rsid w:val="000F380E"/>
    <w:rsid w:val="000F39E8"/>
    <w:rsid w:val="000F3A95"/>
    <w:rsid w:val="000F3B21"/>
    <w:rsid w:val="000F3B31"/>
    <w:rsid w:val="000F3D48"/>
    <w:rsid w:val="000F3F91"/>
    <w:rsid w:val="000F414B"/>
    <w:rsid w:val="000F4710"/>
    <w:rsid w:val="000F48F4"/>
    <w:rsid w:val="000F4905"/>
    <w:rsid w:val="000F4A5E"/>
    <w:rsid w:val="000F4C2D"/>
    <w:rsid w:val="000F4CA4"/>
    <w:rsid w:val="000F4E13"/>
    <w:rsid w:val="000F4EF8"/>
    <w:rsid w:val="000F5036"/>
    <w:rsid w:val="000F5303"/>
    <w:rsid w:val="000F56EC"/>
    <w:rsid w:val="000F57E7"/>
    <w:rsid w:val="000F594A"/>
    <w:rsid w:val="000F5AF6"/>
    <w:rsid w:val="000F6086"/>
    <w:rsid w:val="000F68A3"/>
    <w:rsid w:val="000F68C2"/>
    <w:rsid w:val="000F6A57"/>
    <w:rsid w:val="000F6B53"/>
    <w:rsid w:val="000F6F04"/>
    <w:rsid w:val="000F7095"/>
    <w:rsid w:val="000F7101"/>
    <w:rsid w:val="000F7A8E"/>
    <w:rsid w:val="000F7CF8"/>
    <w:rsid w:val="000F7ED4"/>
    <w:rsid w:val="000F7F24"/>
    <w:rsid w:val="00100019"/>
    <w:rsid w:val="0010049E"/>
    <w:rsid w:val="00100697"/>
    <w:rsid w:val="00100C6C"/>
    <w:rsid w:val="00100D96"/>
    <w:rsid w:val="00100D99"/>
    <w:rsid w:val="00100EF8"/>
    <w:rsid w:val="00101252"/>
    <w:rsid w:val="00101274"/>
    <w:rsid w:val="001016BD"/>
    <w:rsid w:val="001019CA"/>
    <w:rsid w:val="00101A03"/>
    <w:rsid w:val="00101FA5"/>
    <w:rsid w:val="00102229"/>
    <w:rsid w:val="00102256"/>
    <w:rsid w:val="001022C3"/>
    <w:rsid w:val="001022EC"/>
    <w:rsid w:val="00102487"/>
    <w:rsid w:val="00102509"/>
    <w:rsid w:val="00102569"/>
    <w:rsid w:val="001025D3"/>
    <w:rsid w:val="00102B8C"/>
    <w:rsid w:val="00102BF5"/>
    <w:rsid w:val="00103000"/>
    <w:rsid w:val="001031A7"/>
    <w:rsid w:val="001032FA"/>
    <w:rsid w:val="001035C8"/>
    <w:rsid w:val="00103692"/>
    <w:rsid w:val="001036F9"/>
    <w:rsid w:val="0010370C"/>
    <w:rsid w:val="00103992"/>
    <w:rsid w:val="00103AF0"/>
    <w:rsid w:val="00103C64"/>
    <w:rsid w:val="00103CA9"/>
    <w:rsid w:val="00103D00"/>
    <w:rsid w:val="001040B5"/>
    <w:rsid w:val="00104478"/>
    <w:rsid w:val="00104487"/>
    <w:rsid w:val="00104888"/>
    <w:rsid w:val="001048F7"/>
    <w:rsid w:val="00104BF1"/>
    <w:rsid w:val="00104D27"/>
    <w:rsid w:val="00105056"/>
    <w:rsid w:val="00105073"/>
    <w:rsid w:val="001050C0"/>
    <w:rsid w:val="001054F7"/>
    <w:rsid w:val="0010590F"/>
    <w:rsid w:val="00105961"/>
    <w:rsid w:val="001059B2"/>
    <w:rsid w:val="00105B19"/>
    <w:rsid w:val="00105BE6"/>
    <w:rsid w:val="00105DA8"/>
    <w:rsid w:val="00105E9E"/>
    <w:rsid w:val="001061BA"/>
    <w:rsid w:val="001063AB"/>
    <w:rsid w:val="00106452"/>
    <w:rsid w:val="00106578"/>
    <w:rsid w:val="001066EE"/>
    <w:rsid w:val="0010680C"/>
    <w:rsid w:val="00106874"/>
    <w:rsid w:val="00106885"/>
    <w:rsid w:val="00106C0C"/>
    <w:rsid w:val="00106E1E"/>
    <w:rsid w:val="00106E48"/>
    <w:rsid w:val="00106FD4"/>
    <w:rsid w:val="001072E8"/>
    <w:rsid w:val="00107364"/>
    <w:rsid w:val="0010743A"/>
    <w:rsid w:val="0010746F"/>
    <w:rsid w:val="00107523"/>
    <w:rsid w:val="0010785E"/>
    <w:rsid w:val="001079BB"/>
    <w:rsid w:val="00107C6C"/>
    <w:rsid w:val="00107CB8"/>
    <w:rsid w:val="00107D32"/>
    <w:rsid w:val="00107E88"/>
    <w:rsid w:val="0011035A"/>
    <w:rsid w:val="0011063D"/>
    <w:rsid w:val="001106DF"/>
    <w:rsid w:val="00110739"/>
    <w:rsid w:val="0011095B"/>
    <w:rsid w:val="0011099E"/>
    <w:rsid w:val="00110BB6"/>
    <w:rsid w:val="00110D14"/>
    <w:rsid w:val="00110D37"/>
    <w:rsid w:val="00110D5B"/>
    <w:rsid w:val="00110D83"/>
    <w:rsid w:val="0011100F"/>
    <w:rsid w:val="001111CD"/>
    <w:rsid w:val="00111208"/>
    <w:rsid w:val="0011145C"/>
    <w:rsid w:val="0011168D"/>
    <w:rsid w:val="001116BE"/>
    <w:rsid w:val="00111A88"/>
    <w:rsid w:val="00111BC8"/>
    <w:rsid w:val="00111CF7"/>
    <w:rsid w:val="00111D8E"/>
    <w:rsid w:val="00111E16"/>
    <w:rsid w:val="00111E82"/>
    <w:rsid w:val="00112338"/>
    <w:rsid w:val="00112355"/>
    <w:rsid w:val="00112419"/>
    <w:rsid w:val="0011247D"/>
    <w:rsid w:val="001124CF"/>
    <w:rsid w:val="001124D7"/>
    <w:rsid w:val="00112853"/>
    <w:rsid w:val="00112C64"/>
    <w:rsid w:val="00112F55"/>
    <w:rsid w:val="00112F8C"/>
    <w:rsid w:val="00113024"/>
    <w:rsid w:val="00113033"/>
    <w:rsid w:val="001130D9"/>
    <w:rsid w:val="0011311B"/>
    <w:rsid w:val="00113195"/>
    <w:rsid w:val="00113308"/>
    <w:rsid w:val="001133C1"/>
    <w:rsid w:val="0011347A"/>
    <w:rsid w:val="0011355B"/>
    <w:rsid w:val="00113579"/>
    <w:rsid w:val="00113711"/>
    <w:rsid w:val="001138BB"/>
    <w:rsid w:val="00113B74"/>
    <w:rsid w:val="00113C03"/>
    <w:rsid w:val="00113E44"/>
    <w:rsid w:val="00113F42"/>
    <w:rsid w:val="00114100"/>
    <w:rsid w:val="00114382"/>
    <w:rsid w:val="00114683"/>
    <w:rsid w:val="001147D8"/>
    <w:rsid w:val="00114996"/>
    <w:rsid w:val="00114B20"/>
    <w:rsid w:val="001150FC"/>
    <w:rsid w:val="001153D6"/>
    <w:rsid w:val="001159DE"/>
    <w:rsid w:val="00115AE4"/>
    <w:rsid w:val="00115BC7"/>
    <w:rsid w:val="00115BE4"/>
    <w:rsid w:val="001160AA"/>
    <w:rsid w:val="001160B8"/>
    <w:rsid w:val="0011634D"/>
    <w:rsid w:val="00116472"/>
    <w:rsid w:val="001165F5"/>
    <w:rsid w:val="00116803"/>
    <w:rsid w:val="0011696F"/>
    <w:rsid w:val="0011733C"/>
    <w:rsid w:val="0011754F"/>
    <w:rsid w:val="00117569"/>
    <w:rsid w:val="0011763F"/>
    <w:rsid w:val="001176BF"/>
    <w:rsid w:val="00117A76"/>
    <w:rsid w:val="00117F32"/>
    <w:rsid w:val="00117F47"/>
    <w:rsid w:val="00117FBC"/>
    <w:rsid w:val="001200F5"/>
    <w:rsid w:val="00120148"/>
    <w:rsid w:val="001202C2"/>
    <w:rsid w:val="0012055C"/>
    <w:rsid w:val="001205AB"/>
    <w:rsid w:val="00120652"/>
    <w:rsid w:val="0012075D"/>
    <w:rsid w:val="0012087F"/>
    <w:rsid w:val="00120A61"/>
    <w:rsid w:val="00120DAF"/>
    <w:rsid w:val="001210B5"/>
    <w:rsid w:val="00121828"/>
    <w:rsid w:val="00121ACB"/>
    <w:rsid w:val="00121C5D"/>
    <w:rsid w:val="001221A8"/>
    <w:rsid w:val="001224DA"/>
    <w:rsid w:val="00122796"/>
    <w:rsid w:val="0012294B"/>
    <w:rsid w:val="00122C1A"/>
    <w:rsid w:val="00122F12"/>
    <w:rsid w:val="0012327E"/>
    <w:rsid w:val="00123528"/>
    <w:rsid w:val="00123799"/>
    <w:rsid w:val="001237D1"/>
    <w:rsid w:val="001238A3"/>
    <w:rsid w:val="001239FD"/>
    <w:rsid w:val="00123A6D"/>
    <w:rsid w:val="00123CCC"/>
    <w:rsid w:val="00123D3E"/>
    <w:rsid w:val="00123DAE"/>
    <w:rsid w:val="00123E0F"/>
    <w:rsid w:val="0012413A"/>
    <w:rsid w:val="001241B4"/>
    <w:rsid w:val="00124903"/>
    <w:rsid w:val="00124E7E"/>
    <w:rsid w:val="0012504F"/>
    <w:rsid w:val="001253D7"/>
    <w:rsid w:val="00125530"/>
    <w:rsid w:val="0012572F"/>
    <w:rsid w:val="001259F4"/>
    <w:rsid w:val="00125A3C"/>
    <w:rsid w:val="00125AEF"/>
    <w:rsid w:val="00125E78"/>
    <w:rsid w:val="00125F39"/>
    <w:rsid w:val="0012613D"/>
    <w:rsid w:val="001261FD"/>
    <w:rsid w:val="001265A0"/>
    <w:rsid w:val="00126695"/>
    <w:rsid w:val="001266A0"/>
    <w:rsid w:val="001268BB"/>
    <w:rsid w:val="00126A18"/>
    <w:rsid w:val="00126A36"/>
    <w:rsid w:val="00126B0C"/>
    <w:rsid w:val="00126E9F"/>
    <w:rsid w:val="00127499"/>
    <w:rsid w:val="00127683"/>
    <w:rsid w:val="00127A0C"/>
    <w:rsid w:val="00127ACC"/>
    <w:rsid w:val="00127B93"/>
    <w:rsid w:val="00127C49"/>
    <w:rsid w:val="00130087"/>
    <w:rsid w:val="001301DD"/>
    <w:rsid w:val="00130388"/>
    <w:rsid w:val="001304EC"/>
    <w:rsid w:val="00130573"/>
    <w:rsid w:val="001306D0"/>
    <w:rsid w:val="001308EE"/>
    <w:rsid w:val="00130919"/>
    <w:rsid w:val="001309FD"/>
    <w:rsid w:val="00130B08"/>
    <w:rsid w:val="00130D9B"/>
    <w:rsid w:val="001310BC"/>
    <w:rsid w:val="001311F6"/>
    <w:rsid w:val="0013120D"/>
    <w:rsid w:val="001312F0"/>
    <w:rsid w:val="0013135E"/>
    <w:rsid w:val="00131454"/>
    <w:rsid w:val="001316DC"/>
    <w:rsid w:val="001317E7"/>
    <w:rsid w:val="001318D1"/>
    <w:rsid w:val="00131DE3"/>
    <w:rsid w:val="00131E5E"/>
    <w:rsid w:val="00131F49"/>
    <w:rsid w:val="0013209E"/>
    <w:rsid w:val="0013219F"/>
    <w:rsid w:val="001321EB"/>
    <w:rsid w:val="0013220D"/>
    <w:rsid w:val="00132301"/>
    <w:rsid w:val="0013233A"/>
    <w:rsid w:val="0013235E"/>
    <w:rsid w:val="001324CF"/>
    <w:rsid w:val="00132575"/>
    <w:rsid w:val="00132833"/>
    <w:rsid w:val="00132851"/>
    <w:rsid w:val="00132AD5"/>
    <w:rsid w:val="001331D6"/>
    <w:rsid w:val="00133222"/>
    <w:rsid w:val="0013330C"/>
    <w:rsid w:val="001334AE"/>
    <w:rsid w:val="0013352E"/>
    <w:rsid w:val="00133558"/>
    <w:rsid w:val="00133703"/>
    <w:rsid w:val="001337FE"/>
    <w:rsid w:val="0013386A"/>
    <w:rsid w:val="00133C3B"/>
    <w:rsid w:val="00133F1E"/>
    <w:rsid w:val="001340D7"/>
    <w:rsid w:val="00134231"/>
    <w:rsid w:val="0013476C"/>
    <w:rsid w:val="00134E49"/>
    <w:rsid w:val="00135123"/>
    <w:rsid w:val="0013535F"/>
    <w:rsid w:val="00135420"/>
    <w:rsid w:val="00135568"/>
    <w:rsid w:val="0013565D"/>
    <w:rsid w:val="00135763"/>
    <w:rsid w:val="001358CF"/>
    <w:rsid w:val="00135AF9"/>
    <w:rsid w:val="00135BC5"/>
    <w:rsid w:val="00135C11"/>
    <w:rsid w:val="00135C7D"/>
    <w:rsid w:val="00135D1C"/>
    <w:rsid w:val="001360D2"/>
    <w:rsid w:val="00136110"/>
    <w:rsid w:val="0013619C"/>
    <w:rsid w:val="00136282"/>
    <w:rsid w:val="00136C32"/>
    <w:rsid w:val="0013709C"/>
    <w:rsid w:val="001371A4"/>
    <w:rsid w:val="00137400"/>
    <w:rsid w:val="00137429"/>
    <w:rsid w:val="00137443"/>
    <w:rsid w:val="00137944"/>
    <w:rsid w:val="00137B77"/>
    <w:rsid w:val="00137E51"/>
    <w:rsid w:val="00137F80"/>
    <w:rsid w:val="001401F4"/>
    <w:rsid w:val="001402A6"/>
    <w:rsid w:val="00140660"/>
    <w:rsid w:val="00140EEC"/>
    <w:rsid w:val="0014121B"/>
    <w:rsid w:val="001412F9"/>
    <w:rsid w:val="0014160D"/>
    <w:rsid w:val="001419B4"/>
    <w:rsid w:val="00141A7D"/>
    <w:rsid w:val="00141BA6"/>
    <w:rsid w:val="00141C64"/>
    <w:rsid w:val="00141D6B"/>
    <w:rsid w:val="00141F72"/>
    <w:rsid w:val="0014222F"/>
    <w:rsid w:val="00142317"/>
    <w:rsid w:val="001424DF"/>
    <w:rsid w:val="00142DDD"/>
    <w:rsid w:val="0014321E"/>
    <w:rsid w:val="001432FC"/>
    <w:rsid w:val="001433A9"/>
    <w:rsid w:val="0014342D"/>
    <w:rsid w:val="00143AAB"/>
    <w:rsid w:val="00143AE2"/>
    <w:rsid w:val="00143FA0"/>
    <w:rsid w:val="00144392"/>
    <w:rsid w:val="00144463"/>
    <w:rsid w:val="001450A1"/>
    <w:rsid w:val="0014518A"/>
    <w:rsid w:val="0014524E"/>
    <w:rsid w:val="00145469"/>
    <w:rsid w:val="00145733"/>
    <w:rsid w:val="0014588E"/>
    <w:rsid w:val="00145957"/>
    <w:rsid w:val="00145992"/>
    <w:rsid w:val="00145A63"/>
    <w:rsid w:val="00145AB5"/>
    <w:rsid w:val="00145C52"/>
    <w:rsid w:val="00145C53"/>
    <w:rsid w:val="00145FB3"/>
    <w:rsid w:val="0014601E"/>
    <w:rsid w:val="001464A3"/>
    <w:rsid w:val="00146821"/>
    <w:rsid w:val="001468ED"/>
    <w:rsid w:val="00146ED3"/>
    <w:rsid w:val="00146F7B"/>
    <w:rsid w:val="00147086"/>
    <w:rsid w:val="001471C8"/>
    <w:rsid w:val="00147552"/>
    <w:rsid w:val="001475B7"/>
    <w:rsid w:val="00147AAA"/>
    <w:rsid w:val="00147B7E"/>
    <w:rsid w:val="00147C7D"/>
    <w:rsid w:val="00147EF3"/>
    <w:rsid w:val="0015033F"/>
    <w:rsid w:val="001504F5"/>
    <w:rsid w:val="001506D1"/>
    <w:rsid w:val="001506DD"/>
    <w:rsid w:val="00150709"/>
    <w:rsid w:val="00150745"/>
    <w:rsid w:val="00150B92"/>
    <w:rsid w:val="00150E24"/>
    <w:rsid w:val="00151522"/>
    <w:rsid w:val="00151B98"/>
    <w:rsid w:val="00151DFA"/>
    <w:rsid w:val="00151F23"/>
    <w:rsid w:val="00152127"/>
    <w:rsid w:val="00152347"/>
    <w:rsid w:val="001528C0"/>
    <w:rsid w:val="00152970"/>
    <w:rsid w:val="00152AB5"/>
    <w:rsid w:val="00152D7A"/>
    <w:rsid w:val="00152DA1"/>
    <w:rsid w:val="00152EE5"/>
    <w:rsid w:val="001530E3"/>
    <w:rsid w:val="0015316F"/>
    <w:rsid w:val="001531A5"/>
    <w:rsid w:val="0015327F"/>
    <w:rsid w:val="00153358"/>
    <w:rsid w:val="00153397"/>
    <w:rsid w:val="001534C1"/>
    <w:rsid w:val="001537C6"/>
    <w:rsid w:val="001537EF"/>
    <w:rsid w:val="00153827"/>
    <w:rsid w:val="00153A5A"/>
    <w:rsid w:val="00153AF3"/>
    <w:rsid w:val="00153CF5"/>
    <w:rsid w:val="00153CF9"/>
    <w:rsid w:val="00153D9B"/>
    <w:rsid w:val="00154359"/>
    <w:rsid w:val="001544BD"/>
    <w:rsid w:val="00154592"/>
    <w:rsid w:val="001548CE"/>
    <w:rsid w:val="00154947"/>
    <w:rsid w:val="00154AA7"/>
    <w:rsid w:val="00154B5B"/>
    <w:rsid w:val="001551A9"/>
    <w:rsid w:val="00155288"/>
    <w:rsid w:val="001554FA"/>
    <w:rsid w:val="00155599"/>
    <w:rsid w:val="00155810"/>
    <w:rsid w:val="00155839"/>
    <w:rsid w:val="0015583E"/>
    <w:rsid w:val="00155B5D"/>
    <w:rsid w:val="00155BBA"/>
    <w:rsid w:val="00155F07"/>
    <w:rsid w:val="00156034"/>
    <w:rsid w:val="001560E9"/>
    <w:rsid w:val="00156278"/>
    <w:rsid w:val="00156495"/>
    <w:rsid w:val="00156799"/>
    <w:rsid w:val="0015697F"/>
    <w:rsid w:val="00156D7C"/>
    <w:rsid w:val="00156E26"/>
    <w:rsid w:val="00157135"/>
    <w:rsid w:val="001573C0"/>
    <w:rsid w:val="00157508"/>
    <w:rsid w:val="00157628"/>
    <w:rsid w:val="00157B65"/>
    <w:rsid w:val="001601E4"/>
    <w:rsid w:val="0016045E"/>
    <w:rsid w:val="001604D6"/>
    <w:rsid w:val="00160AFA"/>
    <w:rsid w:val="00160BC0"/>
    <w:rsid w:val="00160D3C"/>
    <w:rsid w:val="00161342"/>
    <w:rsid w:val="001613BB"/>
    <w:rsid w:val="0016151A"/>
    <w:rsid w:val="001615D2"/>
    <w:rsid w:val="0016199D"/>
    <w:rsid w:val="00161A97"/>
    <w:rsid w:val="00161AAD"/>
    <w:rsid w:val="00161AF3"/>
    <w:rsid w:val="00161D31"/>
    <w:rsid w:val="00161DC5"/>
    <w:rsid w:val="00161F21"/>
    <w:rsid w:val="00161F71"/>
    <w:rsid w:val="00161FDD"/>
    <w:rsid w:val="0016207B"/>
    <w:rsid w:val="00162096"/>
    <w:rsid w:val="001620BD"/>
    <w:rsid w:val="001626BC"/>
    <w:rsid w:val="00162746"/>
    <w:rsid w:val="0016291F"/>
    <w:rsid w:val="00162A55"/>
    <w:rsid w:val="00162FF3"/>
    <w:rsid w:val="001631FA"/>
    <w:rsid w:val="00163369"/>
    <w:rsid w:val="0016341D"/>
    <w:rsid w:val="00163497"/>
    <w:rsid w:val="001634B1"/>
    <w:rsid w:val="00163585"/>
    <w:rsid w:val="001637AA"/>
    <w:rsid w:val="00163A78"/>
    <w:rsid w:val="00163B75"/>
    <w:rsid w:val="00163BC3"/>
    <w:rsid w:val="00163C15"/>
    <w:rsid w:val="00163CF9"/>
    <w:rsid w:val="00163D69"/>
    <w:rsid w:val="00163DFA"/>
    <w:rsid w:val="0016408B"/>
    <w:rsid w:val="001646DE"/>
    <w:rsid w:val="00164877"/>
    <w:rsid w:val="00164BD2"/>
    <w:rsid w:val="00164C12"/>
    <w:rsid w:val="00164EAC"/>
    <w:rsid w:val="00164F94"/>
    <w:rsid w:val="0016500A"/>
    <w:rsid w:val="0016579F"/>
    <w:rsid w:val="00165F43"/>
    <w:rsid w:val="0016622D"/>
    <w:rsid w:val="001664E2"/>
    <w:rsid w:val="001666CF"/>
    <w:rsid w:val="00166B77"/>
    <w:rsid w:val="00166BA2"/>
    <w:rsid w:val="00166F39"/>
    <w:rsid w:val="00167767"/>
    <w:rsid w:val="00167872"/>
    <w:rsid w:val="001678EC"/>
    <w:rsid w:val="00167932"/>
    <w:rsid w:val="001679EC"/>
    <w:rsid w:val="001679FB"/>
    <w:rsid w:val="00167B49"/>
    <w:rsid w:val="0017019B"/>
    <w:rsid w:val="00170AB7"/>
    <w:rsid w:val="00170CB2"/>
    <w:rsid w:val="00170D3C"/>
    <w:rsid w:val="00170D94"/>
    <w:rsid w:val="00171217"/>
    <w:rsid w:val="00171527"/>
    <w:rsid w:val="00171D6F"/>
    <w:rsid w:val="00172322"/>
    <w:rsid w:val="001728D9"/>
    <w:rsid w:val="00172C7C"/>
    <w:rsid w:val="00172FF4"/>
    <w:rsid w:val="001734BC"/>
    <w:rsid w:val="001735E1"/>
    <w:rsid w:val="001736D8"/>
    <w:rsid w:val="00173A71"/>
    <w:rsid w:val="00173AE9"/>
    <w:rsid w:val="00173F44"/>
    <w:rsid w:val="001740B9"/>
    <w:rsid w:val="0017419B"/>
    <w:rsid w:val="0017442B"/>
    <w:rsid w:val="00174445"/>
    <w:rsid w:val="001744CD"/>
    <w:rsid w:val="001745BD"/>
    <w:rsid w:val="001747AA"/>
    <w:rsid w:val="00174843"/>
    <w:rsid w:val="00174B38"/>
    <w:rsid w:val="00174C00"/>
    <w:rsid w:val="00174CF5"/>
    <w:rsid w:val="00174D22"/>
    <w:rsid w:val="001750A3"/>
    <w:rsid w:val="00175562"/>
    <w:rsid w:val="00175829"/>
    <w:rsid w:val="00175C02"/>
    <w:rsid w:val="00175D0B"/>
    <w:rsid w:val="00175E74"/>
    <w:rsid w:val="00175F27"/>
    <w:rsid w:val="0017606F"/>
    <w:rsid w:val="001762B5"/>
    <w:rsid w:val="00176578"/>
    <w:rsid w:val="0017664E"/>
    <w:rsid w:val="001766D1"/>
    <w:rsid w:val="00176727"/>
    <w:rsid w:val="0017684D"/>
    <w:rsid w:val="00176C3C"/>
    <w:rsid w:val="00176CA0"/>
    <w:rsid w:val="001770D0"/>
    <w:rsid w:val="0017755D"/>
    <w:rsid w:val="00177890"/>
    <w:rsid w:val="00177A81"/>
    <w:rsid w:val="00177C9F"/>
    <w:rsid w:val="00177EDF"/>
    <w:rsid w:val="00180188"/>
    <w:rsid w:val="00180296"/>
    <w:rsid w:val="00180582"/>
    <w:rsid w:val="001805E7"/>
    <w:rsid w:val="001806B5"/>
    <w:rsid w:val="00180715"/>
    <w:rsid w:val="001808A4"/>
    <w:rsid w:val="00180969"/>
    <w:rsid w:val="00180A6D"/>
    <w:rsid w:val="0018120E"/>
    <w:rsid w:val="00181345"/>
    <w:rsid w:val="001813A4"/>
    <w:rsid w:val="001816DB"/>
    <w:rsid w:val="00181837"/>
    <w:rsid w:val="001819D2"/>
    <w:rsid w:val="00181D96"/>
    <w:rsid w:val="001820D4"/>
    <w:rsid w:val="0018212E"/>
    <w:rsid w:val="00182800"/>
    <w:rsid w:val="00182902"/>
    <w:rsid w:val="00182CE3"/>
    <w:rsid w:val="00182E38"/>
    <w:rsid w:val="0018326E"/>
    <w:rsid w:val="0018328A"/>
    <w:rsid w:val="001835E9"/>
    <w:rsid w:val="001836D8"/>
    <w:rsid w:val="001838CF"/>
    <w:rsid w:val="0018390D"/>
    <w:rsid w:val="00183B13"/>
    <w:rsid w:val="00183B21"/>
    <w:rsid w:val="00183B62"/>
    <w:rsid w:val="00183BAC"/>
    <w:rsid w:val="00183DFD"/>
    <w:rsid w:val="00184057"/>
    <w:rsid w:val="001851B6"/>
    <w:rsid w:val="00185351"/>
    <w:rsid w:val="00185571"/>
    <w:rsid w:val="00185696"/>
    <w:rsid w:val="001856EE"/>
    <w:rsid w:val="0018577D"/>
    <w:rsid w:val="00185BC5"/>
    <w:rsid w:val="00185BF0"/>
    <w:rsid w:val="00185CCE"/>
    <w:rsid w:val="00185E38"/>
    <w:rsid w:val="00185F5C"/>
    <w:rsid w:val="001862ED"/>
    <w:rsid w:val="00186574"/>
    <w:rsid w:val="00186696"/>
    <w:rsid w:val="001867B8"/>
    <w:rsid w:val="00186A31"/>
    <w:rsid w:val="00186CEF"/>
    <w:rsid w:val="00186EF0"/>
    <w:rsid w:val="00186F41"/>
    <w:rsid w:val="0018703A"/>
    <w:rsid w:val="0018719A"/>
    <w:rsid w:val="00187243"/>
    <w:rsid w:val="0018746E"/>
    <w:rsid w:val="001878B5"/>
    <w:rsid w:val="00187DFB"/>
    <w:rsid w:val="00187F84"/>
    <w:rsid w:val="00190079"/>
    <w:rsid w:val="0019038E"/>
    <w:rsid w:val="0019049F"/>
    <w:rsid w:val="00190898"/>
    <w:rsid w:val="00190934"/>
    <w:rsid w:val="00190CF0"/>
    <w:rsid w:val="00190E06"/>
    <w:rsid w:val="00191287"/>
    <w:rsid w:val="001912C2"/>
    <w:rsid w:val="0019144A"/>
    <w:rsid w:val="00191496"/>
    <w:rsid w:val="00191993"/>
    <w:rsid w:val="00191B07"/>
    <w:rsid w:val="001920A7"/>
    <w:rsid w:val="0019225E"/>
    <w:rsid w:val="001922C6"/>
    <w:rsid w:val="0019232A"/>
    <w:rsid w:val="001924EC"/>
    <w:rsid w:val="00192B19"/>
    <w:rsid w:val="00192BC1"/>
    <w:rsid w:val="00193078"/>
    <w:rsid w:val="001930EF"/>
    <w:rsid w:val="001934E2"/>
    <w:rsid w:val="0019396F"/>
    <w:rsid w:val="00193DAD"/>
    <w:rsid w:val="00193EA2"/>
    <w:rsid w:val="00193ED3"/>
    <w:rsid w:val="0019411B"/>
    <w:rsid w:val="001943CE"/>
    <w:rsid w:val="00194666"/>
    <w:rsid w:val="001946C7"/>
    <w:rsid w:val="001946DC"/>
    <w:rsid w:val="00194700"/>
    <w:rsid w:val="00194A78"/>
    <w:rsid w:val="00194D42"/>
    <w:rsid w:val="00195524"/>
    <w:rsid w:val="00195616"/>
    <w:rsid w:val="0019574A"/>
    <w:rsid w:val="00195845"/>
    <w:rsid w:val="001959F5"/>
    <w:rsid w:val="00195A87"/>
    <w:rsid w:val="00195BBD"/>
    <w:rsid w:val="00195D11"/>
    <w:rsid w:val="00195D42"/>
    <w:rsid w:val="00195DAD"/>
    <w:rsid w:val="00195E2B"/>
    <w:rsid w:val="0019649E"/>
    <w:rsid w:val="001964D3"/>
    <w:rsid w:val="00196A92"/>
    <w:rsid w:val="00196D35"/>
    <w:rsid w:val="00196D69"/>
    <w:rsid w:val="00196E39"/>
    <w:rsid w:val="00196E58"/>
    <w:rsid w:val="0019717D"/>
    <w:rsid w:val="001971B4"/>
    <w:rsid w:val="0019722B"/>
    <w:rsid w:val="00197427"/>
    <w:rsid w:val="00197588"/>
    <w:rsid w:val="0019783A"/>
    <w:rsid w:val="00197980"/>
    <w:rsid w:val="00197A20"/>
    <w:rsid w:val="00197C87"/>
    <w:rsid w:val="00197F19"/>
    <w:rsid w:val="00197F7E"/>
    <w:rsid w:val="001A004D"/>
    <w:rsid w:val="001A0220"/>
    <w:rsid w:val="001A0268"/>
    <w:rsid w:val="001A081A"/>
    <w:rsid w:val="001A0A89"/>
    <w:rsid w:val="001A0F9C"/>
    <w:rsid w:val="001A112B"/>
    <w:rsid w:val="001A1146"/>
    <w:rsid w:val="001A11EB"/>
    <w:rsid w:val="001A14B7"/>
    <w:rsid w:val="001A1654"/>
    <w:rsid w:val="001A16D5"/>
    <w:rsid w:val="001A17E0"/>
    <w:rsid w:val="001A1D1B"/>
    <w:rsid w:val="001A20D2"/>
    <w:rsid w:val="001A2258"/>
    <w:rsid w:val="001A2366"/>
    <w:rsid w:val="001A24B8"/>
    <w:rsid w:val="001A2B38"/>
    <w:rsid w:val="001A2E67"/>
    <w:rsid w:val="001A3109"/>
    <w:rsid w:val="001A32F6"/>
    <w:rsid w:val="001A3324"/>
    <w:rsid w:val="001A39B4"/>
    <w:rsid w:val="001A3C51"/>
    <w:rsid w:val="001A3CA6"/>
    <w:rsid w:val="001A3D71"/>
    <w:rsid w:val="001A4015"/>
    <w:rsid w:val="001A40EF"/>
    <w:rsid w:val="001A42AD"/>
    <w:rsid w:val="001A453E"/>
    <w:rsid w:val="001A469B"/>
    <w:rsid w:val="001A4AA0"/>
    <w:rsid w:val="001A4AED"/>
    <w:rsid w:val="001A4D74"/>
    <w:rsid w:val="001A4DE7"/>
    <w:rsid w:val="001A4F00"/>
    <w:rsid w:val="001A5058"/>
    <w:rsid w:val="001A50DE"/>
    <w:rsid w:val="001A517F"/>
    <w:rsid w:val="001A5251"/>
    <w:rsid w:val="001A543F"/>
    <w:rsid w:val="001A57E4"/>
    <w:rsid w:val="001A5958"/>
    <w:rsid w:val="001A59C1"/>
    <w:rsid w:val="001A5F17"/>
    <w:rsid w:val="001A6003"/>
    <w:rsid w:val="001A64D9"/>
    <w:rsid w:val="001A6A0B"/>
    <w:rsid w:val="001A6C53"/>
    <w:rsid w:val="001A6C7C"/>
    <w:rsid w:val="001A6DD6"/>
    <w:rsid w:val="001A6DF3"/>
    <w:rsid w:val="001A6EAB"/>
    <w:rsid w:val="001A6ECA"/>
    <w:rsid w:val="001A712A"/>
    <w:rsid w:val="001A7288"/>
    <w:rsid w:val="001A74C1"/>
    <w:rsid w:val="001A757A"/>
    <w:rsid w:val="001A75C7"/>
    <w:rsid w:val="001A7BEF"/>
    <w:rsid w:val="001A7C6E"/>
    <w:rsid w:val="001B0399"/>
    <w:rsid w:val="001B05C4"/>
    <w:rsid w:val="001B07D5"/>
    <w:rsid w:val="001B07E2"/>
    <w:rsid w:val="001B0843"/>
    <w:rsid w:val="001B0B09"/>
    <w:rsid w:val="001B0C9B"/>
    <w:rsid w:val="001B0CAA"/>
    <w:rsid w:val="001B0D5B"/>
    <w:rsid w:val="001B0DA3"/>
    <w:rsid w:val="001B0E5E"/>
    <w:rsid w:val="001B0FDF"/>
    <w:rsid w:val="001B0FF7"/>
    <w:rsid w:val="001B101C"/>
    <w:rsid w:val="001B1081"/>
    <w:rsid w:val="001B117C"/>
    <w:rsid w:val="001B15F7"/>
    <w:rsid w:val="001B1854"/>
    <w:rsid w:val="001B1AFC"/>
    <w:rsid w:val="001B1BBF"/>
    <w:rsid w:val="001B1FEF"/>
    <w:rsid w:val="001B23ED"/>
    <w:rsid w:val="001B25F1"/>
    <w:rsid w:val="001B27D5"/>
    <w:rsid w:val="001B2E96"/>
    <w:rsid w:val="001B2FD0"/>
    <w:rsid w:val="001B30BD"/>
    <w:rsid w:val="001B3697"/>
    <w:rsid w:val="001B36FC"/>
    <w:rsid w:val="001B3938"/>
    <w:rsid w:val="001B3C73"/>
    <w:rsid w:val="001B4002"/>
    <w:rsid w:val="001B408F"/>
    <w:rsid w:val="001B41C5"/>
    <w:rsid w:val="001B445A"/>
    <w:rsid w:val="001B450E"/>
    <w:rsid w:val="001B4573"/>
    <w:rsid w:val="001B4728"/>
    <w:rsid w:val="001B49A3"/>
    <w:rsid w:val="001B49DC"/>
    <w:rsid w:val="001B4C36"/>
    <w:rsid w:val="001B5264"/>
    <w:rsid w:val="001B53F4"/>
    <w:rsid w:val="001B571D"/>
    <w:rsid w:val="001B5755"/>
    <w:rsid w:val="001B5784"/>
    <w:rsid w:val="001B57B3"/>
    <w:rsid w:val="001B5803"/>
    <w:rsid w:val="001B5C56"/>
    <w:rsid w:val="001B5D50"/>
    <w:rsid w:val="001B6172"/>
    <w:rsid w:val="001B6367"/>
    <w:rsid w:val="001B636E"/>
    <w:rsid w:val="001B63CB"/>
    <w:rsid w:val="001B6481"/>
    <w:rsid w:val="001B6666"/>
    <w:rsid w:val="001B6805"/>
    <w:rsid w:val="001B6A95"/>
    <w:rsid w:val="001B6B53"/>
    <w:rsid w:val="001B6DBC"/>
    <w:rsid w:val="001B70D3"/>
    <w:rsid w:val="001B71C9"/>
    <w:rsid w:val="001B77A2"/>
    <w:rsid w:val="001B7A49"/>
    <w:rsid w:val="001B7CD2"/>
    <w:rsid w:val="001B7D56"/>
    <w:rsid w:val="001C07CA"/>
    <w:rsid w:val="001C0A80"/>
    <w:rsid w:val="001C0F68"/>
    <w:rsid w:val="001C140A"/>
    <w:rsid w:val="001C14CC"/>
    <w:rsid w:val="001C1712"/>
    <w:rsid w:val="001C17F5"/>
    <w:rsid w:val="001C1CE5"/>
    <w:rsid w:val="001C239D"/>
    <w:rsid w:val="001C23EB"/>
    <w:rsid w:val="001C25A7"/>
    <w:rsid w:val="001C2BEC"/>
    <w:rsid w:val="001C2C92"/>
    <w:rsid w:val="001C3247"/>
    <w:rsid w:val="001C3352"/>
    <w:rsid w:val="001C35F1"/>
    <w:rsid w:val="001C387A"/>
    <w:rsid w:val="001C3991"/>
    <w:rsid w:val="001C3A79"/>
    <w:rsid w:val="001C3DCD"/>
    <w:rsid w:val="001C3ECB"/>
    <w:rsid w:val="001C3FE7"/>
    <w:rsid w:val="001C41D1"/>
    <w:rsid w:val="001C439E"/>
    <w:rsid w:val="001C447A"/>
    <w:rsid w:val="001C458C"/>
    <w:rsid w:val="001C4732"/>
    <w:rsid w:val="001C4A40"/>
    <w:rsid w:val="001C4B1E"/>
    <w:rsid w:val="001C4B3E"/>
    <w:rsid w:val="001C4C12"/>
    <w:rsid w:val="001C51F9"/>
    <w:rsid w:val="001C5214"/>
    <w:rsid w:val="001C5388"/>
    <w:rsid w:val="001C53A4"/>
    <w:rsid w:val="001C5504"/>
    <w:rsid w:val="001C5550"/>
    <w:rsid w:val="001C593C"/>
    <w:rsid w:val="001C59D3"/>
    <w:rsid w:val="001C5AD3"/>
    <w:rsid w:val="001C6089"/>
    <w:rsid w:val="001C61D2"/>
    <w:rsid w:val="001C6268"/>
    <w:rsid w:val="001C681D"/>
    <w:rsid w:val="001C68A7"/>
    <w:rsid w:val="001C6AA8"/>
    <w:rsid w:val="001C712D"/>
    <w:rsid w:val="001C71BD"/>
    <w:rsid w:val="001C72D1"/>
    <w:rsid w:val="001C730D"/>
    <w:rsid w:val="001C7627"/>
    <w:rsid w:val="001C7B8B"/>
    <w:rsid w:val="001C7E40"/>
    <w:rsid w:val="001C7F5E"/>
    <w:rsid w:val="001D00C4"/>
    <w:rsid w:val="001D02A3"/>
    <w:rsid w:val="001D0401"/>
    <w:rsid w:val="001D05A6"/>
    <w:rsid w:val="001D063A"/>
    <w:rsid w:val="001D0934"/>
    <w:rsid w:val="001D09F4"/>
    <w:rsid w:val="001D0ABF"/>
    <w:rsid w:val="001D0AEF"/>
    <w:rsid w:val="001D0AFE"/>
    <w:rsid w:val="001D0D6D"/>
    <w:rsid w:val="001D0F64"/>
    <w:rsid w:val="001D10DA"/>
    <w:rsid w:val="001D14D9"/>
    <w:rsid w:val="001D14FB"/>
    <w:rsid w:val="001D16B2"/>
    <w:rsid w:val="001D185A"/>
    <w:rsid w:val="001D19B5"/>
    <w:rsid w:val="001D19DC"/>
    <w:rsid w:val="001D1AA7"/>
    <w:rsid w:val="001D1DFF"/>
    <w:rsid w:val="001D21C6"/>
    <w:rsid w:val="001D21FB"/>
    <w:rsid w:val="001D2513"/>
    <w:rsid w:val="001D2707"/>
    <w:rsid w:val="001D2894"/>
    <w:rsid w:val="001D2AD5"/>
    <w:rsid w:val="001D2B4A"/>
    <w:rsid w:val="001D2E3C"/>
    <w:rsid w:val="001D3300"/>
    <w:rsid w:val="001D3395"/>
    <w:rsid w:val="001D341B"/>
    <w:rsid w:val="001D3513"/>
    <w:rsid w:val="001D39E9"/>
    <w:rsid w:val="001D3CD8"/>
    <w:rsid w:val="001D3EE9"/>
    <w:rsid w:val="001D3EFB"/>
    <w:rsid w:val="001D3FF3"/>
    <w:rsid w:val="001D4249"/>
    <w:rsid w:val="001D42C2"/>
    <w:rsid w:val="001D482A"/>
    <w:rsid w:val="001D4C5B"/>
    <w:rsid w:val="001D4CC0"/>
    <w:rsid w:val="001D4D27"/>
    <w:rsid w:val="001D53DD"/>
    <w:rsid w:val="001D5769"/>
    <w:rsid w:val="001D5842"/>
    <w:rsid w:val="001D585B"/>
    <w:rsid w:val="001D5A9A"/>
    <w:rsid w:val="001D5C71"/>
    <w:rsid w:val="001D5F20"/>
    <w:rsid w:val="001D607F"/>
    <w:rsid w:val="001D6346"/>
    <w:rsid w:val="001D649D"/>
    <w:rsid w:val="001D66F0"/>
    <w:rsid w:val="001D6D48"/>
    <w:rsid w:val="001D6FD7"/>
    <w:rsid w:val="001D75AE"/>
    <w:rsid w:val="001D75B2"/>
    <w:rsid w:val="001D768C"/>
    <w:rsid w:val="001D76FB"/>
    <w:rsid w:val="001D7937"/>
    <w:rsid w:val="001D7A2E"/>
    <w:rsid w:val="001D7AD8"/>
    <w:rsid w:val="001D7C93"/>
    <w:rsid w:val="001E050D"/>
    <w:rsid w:val="001E052A"/>
    <w:rsid w:val="001E0896"/>
    <w:rsid w:val="001E08FA"/>
    <w:rsid w:val="001E0A52"/>
    <w:rsid w:val="001E0AC4"/>
    <w:rsid w:val="001E0D89"/>
    <w:rsid w:val="001E0DB9"/>
    <w:rsid w:val="001E0E74"/>
    <w:rsid w:val="001E0E9D"/>
    <w:rsid w:val="001E0F6B"/>
    <w:rsid w:val="001E1119"/>
    <w:rsid w:val="001E12A2"/>
    <w:rsid w:val="001E139F"/>
    <w:rsid w:val="001E18D4"/>
    <w:rsid w:val="001E1A05"/>
    <w:rsid w:val="001E1B58"/>
    <w:rsid w:val="001E1F79"/>
    <w:rsid w:val="001E223C"/>
    <w:rsid w:val="001E23F2"/>
    <w:rsid w:val="001E247C"/>
    <w:rsid w:val="001E26A8"/>
    <w:rsid w:val="001E26D5"/>
    <w:rsid w:val="001E2705"/>
    <w:rsid w:val="001E2A1F"/>
    <w:rsid w:val="001E2D6A"/>
    <w:rsid w:val="001E35E8"/>
    <w:rsid w:val="001E36B3"/>
    <w:rsid w:val="001E3757"/>
    <w:rsid w:val="001E383E"/>
    <w:rsid w:val="001E38CD"/>
    <w:rsid w:val="001E39C8"/>
    <w:rsid w:val="001E3A67"/>
    <w:rsid w:val="001E3AEB"/>
    <w:rsid w:val="001E41CA"/>
    <w:rsid w:val="001E4202"/>
    <w:rsid w:val="001E42CD"/>
    <w:rsid w:val="001E4525"/>
    <w:rsid w:val="001E4937"/>
    <w:rsid w:val="001E49E4"/>
    <w:rsid w:val="001E4A97"/>
    <w:rsid w:val="001E4D46"/>
    <w:rsid w:val="001E4E57"/>
    <w:rsid w:val="001E50F7"/>
    <w:rsid w:val="001E5255"/>
    <w:rsid w:val="001E538B"/>
    <w:rsid w:val="001E5526"/>
    <w:rsid w:val="001E56E8"/>
    <w:rsid w:val="001E596D"/>
    <w:rsid w:val="001E5DB4"/>
    <w:rsid w:val="001E61D1"/>
    <w:rsid w:val="001E6264"/>
    <w:rsid w:val="001E62EC"/>
    <w:rsid w:val="001E6370"/>
    <w:rsid w:val="001E642E"/>
    <w:rsid w:val="001E6620"/>
    <w:rsid w:val="001E683A"/>
    <w:rsid w:val="001E6A50"/>
    <w:rsid w:val="001E6C23"/>
    <w:rsid w:val="001E6E17"/>
    <w:rsid w:val="001E7109"/>
    <w:rsid w:val="001E7243"/>
    <w:rsid w:val="001E7459"/>
    <w:rsid w:val="001E77B4"/>
    <w:rsid w:val="001E7829"/>
    <w:rsid w:val="001E78B4"/>
    <w:rsid w:val="001E7941"/>
    <w:rsid w:val="001E7A93"/>
    <w:rsid w:val="001E7F62"/>
    <w:rsid w:val="001F04F5"/>
    <w:rsid w:val="001F057F"/>
    <w:rsid w:val="001F09BB"/>
    <w:rsid w:val="001F1206"/>
    <w:rsid w:val="001F13C4"/>
    <w:rsid w:val="001F1435"/>
    <w:rsid w:val="001F1588"/>
    <w:rsid w:val="001F1592"/>
    <w:rsid w:val="001F15E3"/>
    <w:rsid w:val="001F1B42"/>
    <w:rsid w:val="001F1DA2"/>
    <w:rsid w:val="001F1F4C"/>
    <w:rsid w:val="001F240D"/>
    <w:rsid w:val="001F24EC"/>
    <w:rsid w:val="001F257E"/>
    <w:rsid w:val="001F2A22"/>
    <w:rsid w:val="001F2C5C"/>
    <w:rsid w:val="001F2DDE"/>
    <w:rsid w:val="001F2DEC"/>
    <w:rsid w:val="001F2E75"/>
    <w:rsid w:val="001F303F"/>
    <w:rsid w:val="001F314A"/>
    <w:rsid w:val="001F34A0"/>
    <w:rsid w:val="001F357C"/>
    <w:rsid w:val="001F36C7"/>
    <w:rsid w:val="001F3A36"/>
    <w:rsid w:val="001F3BD0"/>
    <w:rsid w:val="001F3C56"/>
    <w:rsid w:val="001F4124"/>
    <w:rsid w:val="001F41C0"/>
    <w:rsid w:val="001F43CB"/>
    <w:rsid w:val="001F44AD"/>
    <w:rsid w:val="001F45F5"/>
    <w:rsid w:val="001F4829"/>
    <w:rsid w:val="001F491E"/>
    <w:rsid w:val="001F495D"/>
    <w:rsid w:val="001F4AEB"/>
    <w:rsid w:val="001F4B08"/>
    <w:rsid w:val="001F4CD2"/>
    <w:rsid w:val="001F4D92"/>
    <w:rsid w:val="001F4E37"/>
    <w:rsid w:val="001F4E7C"/>
    <w:rsid w:val="001F56E1"/>
    <w:rsid w:val="001F584E"/>
    <w:rsid w:val="001F5973"/>
    <w:rsid w:val="001F597D"/>
    <w:rsid w:val="001F5BA7"/>
    <w:rsid w:val="001F5F52"/>
    <w:rsid w:val="001F60A8"/>
    <w:rsid w:val="001F6547"/>
    <w:rsid w:val="001F66A2"/>
    <w:rsid w:val="001F678A"/>
    <w:rsid w:val="001F6B8E"/>
    <w:rsid w:val="001F7000"/>
    <w:rsid w:val="001F7297"/>
    <w:rsid w:val="001F742E"/>
    <w:rsid w:val="001F7C86"/>
    <w:rsid w:val="001F7E6E"/>
    <w:rsid w:val="001F7FF0"/>
    <w:rsid w:val="0020017F"/>
    <w:rsid w:val="002001E1"/>
    <w:rsid w:val="002004D3"/>
    <w:rsid w:val="0020052F"/>
    <w:rsid w:val="0020055F"/>
    <w:rsid w:val="002005ED"/>
    <w:rsid w:val="00200661"/>
    <w:rsid w:val="00200745"/>
    <w:rsid w:val="00200812"/>
    <w:rsid w:val="00200A23"/>
    <w:rsid w:val="00200AB8"/>
    <w:rsid w:val="00200E5F"/>
    <w:rsid w:val="00200E7D"/>
    <w:rsid w:val="00200F1E"/>
    <w:rsid w:val="00201500"/>
    <w:rsid w:val="00201580"/>
    <w:rsid w:val="00201836"/>
    <w:rsid w:val="00201C3A"/>
    <w:rsid w:val="00201D49"/>
    <w:rsid w:val="00201EF6"/>
    <w:rsid w:val="00201F7A"/>
    <w:rsid w:val="00201FED"/>
    <w:rsid w:val="00202315"/>
    <w:rsid w:val="002023E3"/>
    <w:rsid w:val="00202472"/>
    <w:rsid w:val="00202531"/>
    <w:rsid w:val="00202BAA"/>
    <w:rsid w:val="00202C90"/>
    <w:rsid w:val="00202CD0"/>
    <w:rsid w:val="00202EB6"/>
    <w:rsid w:val="002033B9"/>
    <w:rsid w:val="002033FA"/>
    <w:rsid w:val="00203563"/>
    <w:rsid w:val="00203809"/>
    <w:rsid w:val="00203891"/>
    <w:rsid w:val="00203936"/>
    <w:rsid w:val="00203A78"/>
    <w:rsid w:val="00203BEE"/>
    <w:rsid w:val="00203E3F"/>
    <w:rsid w:val="00203EDC"/>
    <w:rsid w:val="00203F7B"/>
    <w:rsid w:val="0020439B"/>
    <w:rsid w:val="0020441E"/>
    <w:rsid w:val="002049B8"/>
    <w:rsid w:val="00204ABE"/>
    <w:rsid w:val="00204D16"/>
    <w:rsid w:val="00204E5B"/>
    <w:rsid w:val="00204E9A"/>
    <w:rsid w:val="00205096"/>
    <w:rsid w:val="00205173"/>
    <w:rsid w:val="00205184"/>
    <w:rsid w:val="002051BC"/>
    <w:rsid w:val="002051D9"/>
    <w:rsid w:val="00205336"/>
    <w:rsid w:val="00205E59"/>
    <w:rsid w:val="00206130"/>
    <w:rsid w:val="002061E3"/>
    <w:rsid w:val="0020628D"/>
    <w:rsid w:val="00206758"/>
    <w:rsid w:val="00206983"/>
    <w:rsid w:val="00206CA0"/>
    <w:rsid w:val="00206EAB"/>
    <w:rsid w:val="00206F98"/>
    <w:rsid w:val="002070FC"/>
    <w:rsid w:val="00207277"/>
    <w:rsid w:val="002073EA"/>
    <w:rsid w:val="002076A1"/>
    <w:rsid w:val="002076CF"/>
    <w:rsid w:val="0020777F"/>
    <w:rsid w:val="00207AB9"/>
    <w:rsid w:val="00207DE5"/>
    <w:rsid w:val="00207EF8"/>
    <w:rsid w:val="00207EFB"/>
    <w:rsid w:val="00207F79"/>
    <w:rsid w:val="002101EC"/>
    <w:rsid w:val="00210443"/>
    <w:rsid w:val="002109E5"/>
    <w:rsid w:val="00210A47"/>
    <w:rsid w:val="00210A53"/>
    <w:rsid w:val="00210F4A"/>
    <w:rsid w:val="00210FBB"/>
    <w:rsid w:val="00210FDF"/>
    <w:rsid w:val="00210FE9"/>
    <w:rsid w:val="002112DF"/>
    <w:rsid w:val="00211627"/>
    <w:rsid w:val="002116C1"/>
    <w:rsid w:val="002117C6"/>
    <w:rsid w:val="002117E7"/>
    <w:rsid w:val="002117F3"/>
    <w:rsid w:val="0021217E"/>
    <w:rsid w:val="0021224E"/>
    <w:rsid w:val="00212299"/>
    <w:rsid w:val="00212469"/>
    <w:rsid w:val="00212582"/>
    <w:rsid w:val="002126FD"/>
    <w:rsid w:val="002127CB"/>
    <w:rsid w:val="002129AC"/>
    <w:rsid w:val="00212C85"/>
    <w:rsid w:val="00212DA4"/>
    <w:rsid w:val="00213078"/>
    <w:rsid w:val="00213460"/>
    <w:rsid w:val="002134D0"/>
    <w:rsid w:val="002136A2"/>
    <w:rsid w:val="0021384D"/>
    <w:rsid w:val="00213D08"/>
    <w:rsid w:val="00213D38"/>
    <w:rsid w:val="00213FC5"/>
    <w:rsid w:val="00213FDA"/>
    <w:rsid w:val="002146E0"/>
    <w:rsid w:val="002147C3"/>
    <w:rsid w:val="002148B9"/>
    <w:rsid w:val="002149B7"/>
    <w:rsid w:val="00215304"/>
    <w:rsid w:val="00215621"/>
    <w:rsid w:val="0021564D"/>
    <w:rsid w:val="002156DF"/>
    <w:rsid w:val="002158B3"/>
    <w:rsid w:val="00215D5D"/>
    <w:rsid w:val="0021654A"/>
    <w:rsid w:val="002167A3"/>
    <w:rsid w:val="002167B2"/>
    <w:rsid w:val="0021694A"/>
    <w:rsid w:val="0021699D"/>
    <w:rsid w:val="002170A3"/>
    <w:rsid w:val="002171E8"/>
    <w:rsid w:val="002179F8"/>
    <w:rsid w:val="002179FB"/>
    <w:rsid w:val="00217B51"/>
    <w:rsid w:val="00217C12"/>
    <w:rsid w:val="00217C1A"/>
    <w:rsid w:val="00217C4A"/>
    <w:rsid w:val="00217F5D"/>
    <w:rsid w:val="00220184"/>
    <w:rsid w:val="0022040D"/>
    <w:rsid w:val="00220684"/>
    <w:rsid w:val="00220746"/>
    <w:rsid w:val="002208A4"/>
    <w:rsid w:val="00220995"/>
    <w:rsid w:val="00220A3C"/>
    <w:rsid w:val="00220DF6"/>
    <w:rsid w:val="00220F85"/>
    <w:rsid w:val="00221046"/>
    <w:rsid w:val="002210D5"/>
    <w:rsid w:val="0022130A"/>
    <w:rsid w:val="002215BC"/>
    <w:rsid w:val="002216A8"/>
    <w:rsid w:val="002216F3"/>
    <w:rsid w:val="00221ACD"/>
    <w:rsid w:val="00221D13"/>
    <w:rsid w:val="0022222B"/>
    <w:rsid w:val="00222281"/>
    <w:rsid w:val="00222511"/>
    <w:rsid w:val="00222547"/>
    <w:rsid w:val="0022254E"/>
    <w:rsid w:val="0022259F"/>
    <w:rsid w:val="002229E8"/>
    <w:rsid w:val="00222A5A"/>
    <w:rsid w:val="00222B03"/>
    <w:rsid w:val="00222B96"/>
    <w:rsid w:val="00222BE8"/>
    <w:rsid w:val="00222D26"/>
    <w:rsid w:val="002232A2"/>
    <w:rsid w:val="002232E1"/>
    <w:rsid w:val="002233DB"/>
    <w:rsid w:val="002233DD"/>
    <w:rsid w:val="00223469"/>
    <w:rsid w:val="00223502"/>
    <w:rsid w:val="00223554"/>
    <w:rsid w:val="002238C1"/>
    <w:rsid w:val="00223948"/>
    <w:rsid w:val="00223B8E"/>
    <w:rsid w:val="00223CE6"/>
    <w:rsid w:val="0022405C"/>
    <w:rsid w:val="00224062"/>
    <w:rsid w:val="00224247"/>
    <w:rsid w:val="00224465"/>
    <w:rsid w:val="00224530"/>
    <w:rsid w:val="00224647"/>
    <w:rsid w:val="002248E7"/>
    <w:rsid w:val="00224915"/>
    <w:rsid w:val="002249C3"/>
    <w:rsid w:val="00224E0E"/>
    <w:rsid w:val="00224F32"/>
    <w:rsid w:val="00224F6A"/>
    <w:rsid w:val="002254C0"/>
    <w:rsid w:val="00225853"/>
    <w:rsid w:val="002258A6"/>
    <w:rsid w:val="00225AF2"/>
    <w:rsid w:val="00225CCB"/>
    <w:rsid w:val="0022603D"/>
    <w:rsid w:val="0022604B"/>
    <w:rsid w:val="0022613B"/>
    <w:rsid w:val="002261B2"/>
    <w:rsid w:val="00226225"/>
    <w:rsid w:val="00226292"/>
    <w:rsid w:val="0022646B"/>
    <w:rsid w:val="002264D9"/>
    <w:rsid w:val="002265BE"/>
    <w:rsid w:val="002265D2"/>
    <w:rsid w:val="00226639"/>
    <w:rsid w:val="00226988"/>
    <w:rsid w:val="00226C69"/>
    <w:rsid w:val="00226CCD"/>
    <w:rsid w:val="00226E17"/>
    <w:rsid w:val="00226EA2"/>
    <w:rsid w:val="00226F03"/>
    <w:rsid w:val="0022704C"/>
    <w:rsid w:val="00227148"/>
    <w:rsid w:val="00227506"/>
    <w:rsid w:val="00227CFE"/>
    <w:rsid w:val="00227E72"/>
    <w:rsid w:val="002300EF"/>
    <w:rsid w:val="002301DA"/>
    <w:rsid w:val="002302A2"/>
    <w:rsid w:val="002303E9"/>
    <w:rsid w:val="00230419"/>
    <w:rsid w:val="002304A4"/>
    <w:rsid w:val="00230536"/>
    <w:rsid w:val="0023058B"/>
    <w:rsid w:val="0023076E"/>
    <w:rsid w:val="00230824"/>
    <w:rsid w:val="00230D24"/>
    <w:rsid w:val="00230D2C"/>
    <w:rsid w:val="00230E21"/>
    <w:rsid w:val="00230F22"/>
    <w:rsid w:val="00231112"/>
    <w:rsid w:val="002311C3"/>
    <w:rsid w:val="0023122A"/>
    <w:rsid w:val="002312AD"/>
    <w:rsid w:val="002312D0"/>
    <w:rsid w:val="00231912"/>
    <w:rsid w:val="0023192D"/>
    <w:rsid w:val="00231A9F"/>
    <w:rsid w:val="00231F06"/>
    <w:rsid w:val="00231F12"/>
    <w:rsid w:val="00231FE8"/>
    <w:rsid w:val="002320CE"/>
    <w:rsid w:val="002321E2"/>
    <w:rsid w:val="00232629"/>
    <w:rsid w:val="00232826"/>
    <w:rsid w:val="002328E1"/>
    <w:rsid w:val="0023298C"/>
    <w:rsid w:val="00232D74"/>
    <w:rsid w:val="00232E3A"/>
    <w:rsid w:val="00232ED3"/>
    <w:rsid w:val="002330CD"/>
    <w:rsid w:val="0023312D"/>
    <w:rsid w:val="00233287"/>
    <w:rsid w:val="00233350"/>
    <w:rsid w:val="00233424"/>
    <w:rsid w:val="00233542"/>
    <w:rsid w:val="002335DD"/>
    <w:rsid w:val="00233B01"/>
    <w:rsid w:val="00233DE1"/>
    <w:rsid w:val="00233E7B"/>
    <w:rsid w:val="00233FEF"/>
    <w:rsid w:val="0023400D"/>
    <w:rsid w:val="00234471"/>
    <w:rsid w:val="00234816"/>
    <w:rsid w:val="00234D0A"/>
    <w:rsid w:val="00234FC0"/>
    <w:rsid w:val="002353C0"/>
    <w:rsid w:val="002353F2"/>
    <w:rsid w:val="00235424"/>
    <w:rsid w:val="00235458"/>
    <w:rsid w:val="00235484"/>
    <w:rsid w:val="002355B0"/>
    <w:rsid w:val="002358FE"/>
    <w:rsid w:val="00235BA0"/>
    <w:rsid w:val="00235CBD"/>
    <w:rsid w:val="00235CF7"/>
    <w:rsid w:val="00235E55"/>
    <w:rsid w:val="00235E84"/>
    <w:rsid w:val="00235ECC"/>
    <w:rsid w:val="002362A5"/>
    <w:rsid w:val="002362F4"/>
    <w:rsid w:val="00236380"/>
    <w:rsid w:val="002366AB"/>
    <w:rsid w:val="0023680A"/>
    <w:rsid w:val="00236B7B"/>
    <w:rsid w:val="00236E04"/>
    <w:rsid w:val="00236E38"/>
    <w:rsid w:val="00236E7D"/>
    <w:rsid w:val="00236F2C"/>
    <w:rsid w:val="00236F8A"/>
    <w:rsid w:val="00237164"/>
    <w:rsid w:val="002372C1"/>
    <w:rsid w:val="002373BA"/>
    <w:rsid w:val="00237499"/>
    <w:rsid w:val="00237787"/>
    <w:rsid w:val="00237879"/>
    <w:rsid w:val="002378FD"/>
    <w:rsid w:val="00237B5F"/>
    <w:rsid w:val="00237C18"/>
    <w:rsid w:val="00237FDD"/>
    <w:rsid w:val="00240008"/>
    <w:rsid w:val="002401F8"/>
    <w:rsid w:val="0024046D"/>
    <w:rsid w:val="0024060D"/>
    <w:rsid w:val="0024088E"/>
    <w:rsid w:val="00240893"/>
    <w:rsid w:val="0024095F"/>
    <w:rsid w:val="002410FE"/>
    <w:rsid w:val="00241188"/>
    <w:rsid w:val="002413E1"/>
    <w:rsid w:val="002416AA"/>
    <w:rsid w:val="0024198C"/>
    <w:rsid w:val="002419FA"/>
    <w:rsid w:val="00241B40"/>
    <w:rsid w:val="00241D80"/>
    <w:rsid w:val="00241EF4"/>
    <w:rsid w:val="00241F8F"/>
    <w:rsid w:val="00241FCD"/>
    <w:rsid w:val="002421B2"/>
    <w:rsid w:val="00242270"/>
    <w:rsid w:val="002426A6"/>
    <w:rsid w:val="00242ACE"/>
    <w:rsid w:val="00242BC4"/>
    <w:rsid w:val="002431D2"/>
    <w:rsid w:val="002434B0"/>
    <w:rsid w:val="0024352B"/>
    <w:rsid w:val="002435CA"/>
    <w:rsid w:val="00243965"/>
    <w:rsid w:val="00243A13"/>
    <w:rsid w:val="00243CEE"/>
    <w:rsid w:val="00243FCB"/>
    <w:rsid w:val="0024407D"/>
    <w:rsid w:val="0024428D"/>
    <w:rsid w:val="0024434F"/>
    <w:rsid w:val="00244401"/>
    <w:rsid w:val="0024462C"/>
    <w:rsid w:val="002447B8"/>
    <w:rsid w:val="00244A1F"/>
    <w:rsid w:val="00244A5A"/>
    <w:rsid w:val="00244B8C"/>
    <w:rsid w:val="00244CB7"/>
    <w:rsid w:val="00245244"/>
    <w:rsid w:val="0024537F"/>
    <w:rsid w:val="0024567A"/>
    <w:rsid w:val="002459BD"/>
    <w:rsid w:val="00245B5E"/>
    <w:rsid w:val="00245C75"/>
    <w:rsid w:val="00245DAF"/>
    <w:rsid w:val="0024612F"/>
    <w:rsid w:val="002464B1"/>
    <w:rsid w:val="002465FC"/>
    <w:rsid w:val="0024660E"/>
    <w:rsid w:val="0024694D"/>
    <w:rsid w:val="002469BE"/>
    <w:rsid w:val="00246B5C"/>
    <w:rsid w:val="0024735C"/>
    <w:rsid w:val="002473C8"/>
    <w:rsid w:val="002475AD"/>
    <w:rsid w:val="0024760F"/>
    <w:rsid w:val="00247B31"/>
    <w:rsid w:val="00250079"/>
    <w:rsid w:val="002503B4"/>
    <w:rsid w:val="0025050F"/>
    <w:rsid w:val="002505D6"/>
    <w:rsid w:val="00250800"/>
    <w:rsid w:val="002509B3"/>
    <w:rsid w:val="00250D05"/>
    <w:rsid w:val="00250F0D"/>
    <w:rsid w:val="00251039"/>
    <w:rsid w:val="0025124F"/>
    <w:rsid w:val="00251727"/>
    <w:rsid w:val="002517D6"/>
    <w:rsid w:val="00251988"/>
    <w:rsid w:val="00251A82"/>
    <w:rsid w:val="00251AEF"/>
    <w:rsid w:val="00251B20"/>
    <w:rsid w:val="00251CD4"/>
    <w:rsid w:val="00251D01"/>
    <w:rsid w:val="00251D42"/>
    <w:rsid w:val="00251DDE"/>
    <w:rsid w:val="00251EBE"/>
    <w:rsid w:val="002522A4"/>
    <w:rsid w:val="00252396"/>
    <w:rsid w:val="00252880"/>
    <w:rsid w:val="00252AEA"/>
    <w:rsid w:val="00252B3C"/>
    <w:rsid w:val="00252D4C"/>
    <w:rsid w:val="00252D54"/>
    <w:rsid w:val="00252D90"/>
    <w:rsid w:val="00252DAE"/>
    <w:rsid w:val="002535F8"/>
    <w:rsid w:val="00253869"/>
    <w:rsid w:val="002538D3"/>
    <w:rsid w:val="00253991"/>
    <w:rsid w:val="00253B30"/>
    <w:rsid w:val="00253BD6"/>
    <w:rsid w:val="00253E87"/>
    <w:rsid w:val="00254318"/>
    <w:rsid w:val="002548C9"/>
    <w:rsid w:val="00254D88"/>
    <w:rsid w:val="00254DA4"/>
    <w:rsid w:val="00254F7C"/>
    <w:rsid w:val="0025543D"/>
    <w:rsid w:val="0025559A"/>
    <w:rsid w:val="00255DDB"/>
    <w:rsid w:val="0025645E"/>
    <w:rsid w:val="0025649A"/>
    <w:rsid w:val="00256719"/>
    <w:rsid w:val="00256B9F"/>
    <w:rsid w:val="00256BC2"/>
    <w:rsid w:val="00256C13"/>
    <w:rsid w:val="00257848"/>
    <w:rsid w:val="00257993"/>
    <w:rsid w:val="00257A78"/>
    <w:rsid w:val="00257ADF"/>
    <w:rsid w:val="00257B4D"/>
    <w:rsid w:val="00257CBC"/>
    <w:rsid w:val="00257E41"/>
    <w:rsid w:val="00260109"/>
    <w:rsid w:val="00260189"/>
    <w:rsid w:val="002601B5"/>
    <w:rsid w:val="00260312"/>
    <w:rsid w:val="002604FF"/>
    <w:rsid w:val="00260626"/>
    <w:rsid w:val="002608FF"/>
    <w:rsid w:val="00260A39"/>
    <w:rsid w:val="00260AD8"/>
    <w:rsid w:val="00260BF9"/>
    <w:rsid w:val="00260D52"/>
    <w:rsid w:val="0026109F"/>
    <w:rsid w:val="00261121"/>
    <w:rsid w:val="0026129A"/>
    <w:rsid w:val="0026129D"/>
    <w:rsid w:val="00261472"/>
    <w:rsid w:val="002614B7"/>
    <w:rsid w:val="002616C3"/>
    <w:rsid w:val="002617BF"/>
    <w:rsid w:val="00261949"/>
    <w:rsid w:val="00261A04"/>
    <w:rsid w:val="00261A8E"/>
    <w:rsid w:val="00261BF0"/>
    <w:rsid w:val="00261C13"/>
    <w:rsid w:val="00261E4D"/>
    <w:rsid w:val="002622F0"/>
    <w:rsid w:val="002623D2"/>
    <w:rsid w:val="0026246E"/>
    <w:rsid w:val="00262575"/>
    <w:rsid w:val="002625C9"/>
    <w:rsid w:val="0026274B"/>
    <w:rsid w:val="002627F2"/>
    <w:rsid w:val="00262887"/>
    <w:rsid w:val="002628BB"/>
    <w:rsid w:val="00262940"/>
    <w:rsid w:val="00262B42"/>
    <w:rsid w:val="00262D59"/>
    <w:rsid w:val="00262E1D"/>
    <w:rsid w:val="00262F6B"/>
    <w:rsid w:val="00263434"/>
    <w:rsid w:val="00263C30"/>
    <w:rsid w:val="0026404F"/>
    <w:rsid w:val="002644F3"/>
    <w:rsid w:val="002645B1"/>
    <w:rsid w:val="00264A7F"/>
    <w:rsid w:val="00264BD3"/>
    <w:rsid w:val="00264C11"/>
    <w:rsid w:val="00264DB7"/>
    <w:rsid w:val="00264E71"/>
    <w:rsid w:val="002650DA"/>
    <w:rsid w:val="002654DA"/>
    <w:rsid w:val="00265589"/>
    <w:rsid w:val="0026568C"/>
    <w:rsid w:val="0026581D"/>
    <w:rsid w:val="00265B83"/>
    <w:rsid w:val="00265E62"/>
    <w:rsid w:val="00265E6D"/>
    <w:rsid w:val="00265FBD"/>
    <w:rsid w:val="00266084"/>
    <w:rsid w:val="00266B68"/>
    <w:rsid w:val="00266CE6"/>
    <w:rsid w:val="00266CFD"/>
    <w:rsid w:val="00266F6D"/>
    <w:rsid w:val="00266F87"/>
    <w:rsid w:val="002672C3"/>
    <w:rsid w:val="0026734C"/>
    <w:rsid w:val="0026781C"/>
    <w:rsid w:val="00267960"/>
    <w:rsid w:val="00267F5A"/>
    <w:rsid w:val="002700D7"/>
    <w:rsid w:val="002701AA"/>
    <w:rsid w:val="00270385"/>
    <w:rsid w:val="0027072C"/>
    <w:rsid w:val="00270AA3"/>
    <w:rsid w:val="00270DED"/>
    <w:rsid w:val="0027145D"/>
    <w:rsid w:val="002715E1"/>
    <w:rsid w:val="00271780"/>
    <w:rsid w:val="00271942"/>
    <w:rsid w:val="002719FD"/>
    <w:rsid w:val="00271C4A"/>
    <w:rsid w:val="00271C72"/>
    <w:rsid w:val="00271D96"/>
    <w:rsid w:val="0027229D"/>
    <w:rsid w:val="002722B9"/>
    <w:rsid w:val="00272D9A"/>
    <w:rsid w:val="00272FD5"/>
    <w:rsid w:val="002730FB"/>
    <w:rsid w:val="00273240"/>
    <w:rsid w:val="0027358A"/>
    <w:rsid w:val="002736DA"/>
    <w:rsid w:val="002736EF"/>
    <w:rsid w:val="002737CF"/>
    <w:rsid w:val="00273888"/>
    <w:rsid w:val="00273929"/>
    <w:rsid w:val="00273974"/>
    <w:rsid w:val="00273A64"/>
    <w:rsid w:val="00273A68"/>
    <w:rsid w:val="00273D2F"/>
    <w:rsid w:val="00274005"/>
    <w:rsid w:val="002740E1"/>
    <w:rsid w:val="002740F0"/>
    <w:rsid w:val="00274460"/>
    <w:rsid w:val="00274549"/>
    <w:rsid w:val="00274958"/>
    <w:rsid w:val="00274AAB"/>
    <w:rsid w:val="00274B2D"/>
    <w:rsid w:val="00274C60"/>
    <w:rsid w:val="00274CCB"/>
    <w:rsid w:val="00274FC4"/>
    <w:rsid w:val="00274FD3"/>
    <w:rsid w:val="00274FF8"/>
    <w:rsid w:val="0027509C"/>
    <w:rsid w:val="002750EE"/>
    <w:rsid w:val="00275248"/>
    <w:rsid w:val="00275249"/>
    <w:rsid w:val="00275261"/>
    <w:rsid w:val="002752A7"/>
    <w:rsid w:val="0027530F"/>
    <w:rsid w:val="0027536B"/>
    <w:rsid w:val="002753F2"/>
    <w:rsid w:val="002754D9"/>
    <w:rsid w:val="00275757"/>
    <w:rsid w:val="002757E9"/>
    <w:rsid w:val="00275A4E"/>
    <w:rsid w:val="00275B04"/>
    <w:rsid w:val="00275BB8"/>
    <w:rsid w:val="002760CE"/>
    <w:rsid w:val="00276117"/>
    <w:rsid w:val="00276410"/>
    <w:rsid w:val="00276578"/>
    <w:rsid w:val="00276603"/>
    <w:rsid w:val="0027685F"/>
    <w:rsid w:val="00276913"/>
    <w:rsid w:val="002769E8"/>
    <w:rsid w:val="00276BA9"/>
    <w:rsid w:val="00276E26"/>
    <w:rsid w:val="00276EFA"/>
    <w:rsid w:val="0027708F"/>
    <w:rsid w:val="002771FA"/>
    <w:rsid w:val="002773DC"/>
    <w:rsid w:val="00277564"/>
    <w:rsid w:val="00277737"/>
    <w:rsid w:val="00277B4E"/>
    <w:rsid w:val="00277CF0"/>
    <w:rsid w:val="00280166"/>
    <w:rsid w:val="0028019D"/>
    <w:rsid w:val="00280343"/>
    <w:rsid w:val="00280486"/>
    <w:rsid w:val="00280743"/>
    <w:rsid w:val="0028149F"/>
    <w:rsid w:val="002814BB"/>
    <w:rsid w:val="00281538"/>
    <w:rsid w:val="002817C1"/>
    <w:rsid w:val="00281A71"/>
    <w:rsid w:val="00281AC0"/>
    <w:rsid w:val="00281D64"/>
    <w:rsid w:val="00281D69"/>
    <w:rsid w:val="00281E58"/>
    <w:rsid w:val="0028214F"/>
    <w:rsid w:val="002821A9"/>
    <w:rsid w:val="00282562"/>
    <w:rsid w:val="00282ADB"/>
    <w:rsid w:val="00282ADF"/>
    <w:rsid w:val="00282C2D"/>
    <w:rsid w:val="002830FE"/>
    <w:rsid w:val="002831DF"/>
    <w:rsid w:val="00283277"/>
    <w:rsid w:val="002833B3"/>
    <w:rsid w:val="002834DB"/>
    <w:rsid w:val="0028365B"/>
    <w:rsid w:val="00283BB3"/>
    <w:rsid w:val="00283CAE"/>
    <w:rsid w:val="00283CE5"/>
    <w:rsid w:val="00284171"/>
    <w:rsid w:val="0028422C"/>
    <w:rsid w:val="002846A1"/>
    <w:rsid w:val="00284746"/>
    <w:rsid w:val="002848A8"/>
    <w:rsid w:val="0028496C"/>
    <w:rsid w:val="00284FCE"/>
    <w:rsid w:val="00285492"/>
    <w:rsid w:val="00285C62"/>
    <w:rsid w:val="00286471"/>
    <w:rsid w:val="00286676"/>
    <w:rsid w:val="002867FD"/>
    <w:rsid w:val="0028687C"/>
    <w:rsid w:val="00287050"/>
    <w:rsid w:val="002870F2"/>
    <w:rsid w:val="00287118"/>
    <w:rsid w:val="002876B1"/>
    <w:rsid w:val="00287847"/>
    <w:rsid w:val="00287BF3"/>
    <w:rsid w:val="00287DC2"/>
    <w:rsid w:val="00290265"/>
    <w:rsid w:val="002902A4"/>
    <w:rsid w:val="0029035F"/>
    <w:rsid w:val="0029062F"/>
    <w:rsid w:val="002907C7"/>
    <w:rsid w:val="00290B73"/>
    <w:rsid w:val="00290EF7"/>
    <w:rsid w:val="00290F2F"/>
    <w:rsid w:val="0029153A"/>
    <w:rsid w:val="002918C3"/>
    <w:rsid w:val="00291A6A"/>
    <w:rsid w:val="002922C2"/>
    <w:rsid w:val="002922E3"/>
    <w:rsid w:val="00292342"/>
    <w:rsid w:val="00292435"/>
    <w:rsid w:val="00292968"/>
    <w:rsid w:val="0029298D"/>
    <w:rsid w:val="00292BBD"/>
    <w:rsid w:val="00292BC1"/>
    <w:rsid w:val="00292BD9"/>
    <w:rsid w:val="00292C0A"/>
    <w:rsid w:val="0029333C"/>
    <w:rsid w:val="00293539"/>
    <w:rsid w:val="00293556"/>
    <w:rsid w:val="00293AC8"/>
    <w:rsid w:val="00293D23"/>
    <w:rsid w:val="00293F11"/>
    <w:rsid w:val="002942F3"/>
    <w:rsid w:val="002944E9"/>
    <w:rsid w:val="002945F2"/>
    <w:rsid w:val="0029477C"/>
    <w:rsid w:val="002948E2"/>
    <w:rsid w:val="00294D5C"/>
    <w:rsid w:val="00294FD3"/>
    <w:rsid w:val="0029507F"/>
    <w:rsid w:val="0029514F"/>
    <w:rsid w:val="00295222"/>
    <w:rsid w:val="002953C5"/>
    <w:rsid w:val="00295576"/>
    <w:rsid w:val="002957F1"/>
    <w:rsid w:val="002959CA"/>
    <w:rsid w:val="002959E3"/>
    <w:rsid w:val="002959E8"/>
    <w:rsid w:val="00295A3A"/>
    <w:rsid w:val="00295EC4"/>
    <w:rsid w:val="00295FF2"/>
    <w:rsid w:val="0029653F"/>
    <w:rsid w:val="002965CE"/>
    <w:rsid w:val="00296626"/>
    <w:rsid w:val="00296D5D"/>
    <w:rsid w:val="00296E0C"/>
    <w:rsid w:val="00296F8F"/>
    <w:rsid w:val="00297032"/>
    <w:rsid w:val="00297307"/>
    <w:rsid w:val="002974B2"/>
    <w:rsid w:val="00297546"/>
    <w:rsid w:val="00297646"/>
    <w:rsid w:val="00297993"/>
    <w:rsid w:val="00297A06"/>
    <w:rsid w:val="00297A40"/>
    <w:rsid w:val="00297F65"/>
    <w:rsid w:val="00297FBC"/>
    <w:rsid w:val="002A00CE"/>
    <w:rsid w:val="002A04E2"/>
    <w:rsid w:val="002A04EA"/>
    <w:rsid w:val="002A05A8"/>
    <w:rsid w:val="002A06B6"/>
    <w:rsid w:val="002A093F"/>
    <w:rsid w:val="002A09C2"/>
    <w:rsid w:val="002A0A26"/>
    <w:rsid w:val="002A0B6F"/>
    <w:rsid w:val="002A0C76"/>
    <w:rsid w:val="002A0ECA"/>
    <w:rsid w:val="002A0EFA"/>
    <w:rsid w:val="002A1062"/>
    <w:rsid w:val="002A1335"/>
    <w:rsid w:val="002A1B94"/>
    <w:rsid w:val="002A1C3D"/>
    <w:rsid w:val="002A2052"/>
    <w:rsid w:val="002A2109"/>
    <w:rsid w:val="002A2150"/>
    <w:rsid w:val="002A22EF"/>
    <w:rsid w:val="002A2534"/>
    <w:rsid w:val="002A2573"/>
    <w:rsid w:val="002A258E"/>
    <w:rsid w:val="002A2A8B"/>
    <w:rsid w:val="002A2B98"/>
    <w:rsid w:val="002A2C18"/>
    <w:rsid w:val="002A2D82"/>
    <w:rsid w:val="002A39B6"/>
    <w:rsid w:val="002A39C1"/>
    <w:rsid w:val="002A3A03"/>
    <w:rsid w:val="002A3AA7"/>
    <w:rsid w:val="002A3BC9"/>
    <w:rsid w:val="002A3CB7"/>
    <w:rsid w:val="002A3E17"/>
    <w:rsid w:val="002A3FED"/>
    <w:rsid w:val="002A4183"/>
    <w:rsid w:val="002A425B"/>
    <w:rsid w:val="002A428B"/>
    <w:rsid w:val="002A42B0"/>
    <w:rsid w:val="002A4450"/>
    <w:rsid w:val="002A44EB"/>
    <w:rsid w:val="002A4FEE"/>
    <w:rsid w:val="002A500D"/>
    <w:rsid w:val="002A5077"/>
    <w:rsid w:val="002A507C"/>
    <w:rsid w:val="002A521C"/>
    <w:rsid w:val="002A5243"/>
    <w:rsid w:val="002A52DE"/>
    <w:rsid w:val="002A52EE"/>
    <w:rsid w:val="002A5473"/>
    <w:rsid w:val="002A57E0"/>
    <w:rsid w:val="002A5824"/>
    <w:rsid w:val="002A5970"/>
    <w:rsid w:val="002A5C0A"/>
    <w:rsid w:val="002A60E4"/>
    <w:rsid w:val="002A6285"/>
    <w:rsid w:val="002A654B"/>
    <w:rsid w:val="002A65D9"/>
    <w:rsid w:val="002A669A"/>
    <w:rsid w:val="002A66EC"/>
    <w:rsid w:val="002A6825"/>
    <w:rsid w:val="002A6924"/>
    <w:rsid w:val="002A6AAA"/>
    <w:rsid w:val="002A6F86"/>
    <w:rsid w:val="002A6F8E"/>
    <w:rsid w:val="002A6FFE"/>
    <w:rsid w:val="002A726F"/>
    <w:rsid w:val="002A761D"/>
    <w:rsid w:val="002A7879"/>
    <w:rsid w:val="002A7B7A"/>
    <w:rsid w:val="002B0022"/>
    <w:rsid w:val="002B027E"/>
    <w:rsid w:val="002B0345"/>
    <w:rsid w:val="002B036B"/>
    <w:rsid w:val="002B03A4"/>
    <w:rsid w:val="002B04AF"/>
    <w:rsid w:val="002B04F1"/>
    <w:rsid w:val="002B0860"/>
    <w:rsid w:val="002B089A"/>
    <w:rsid w:val="002B08C2"/>
    <w:rsid w:val="002B09F9"/>
    <w:rsid w:val="002B0AC4"/>
    <w:rsid w:val="002B0ADB"/>
    <w:rsid w:val="002B1028"/>
    <w:rsid w:val="002B12E0"/>
    <w:rsid w:val="002B13E4"/>
    <w:rsid w:val="002B166D"/>
    <w:rsid w:val="002B1BAE"/>
    <w:rsid w:val="002B1E44"/>
    <w:rsid w:val="002B20C7"/>
    <w:rsid w:val="002B2387"/>
    <w:rsid w:val="002B244D"/>
    <w:rsid w:val="002B24EC"/>
    <w:rsid w:val="002B2507"/>
    <w:rsid w:val="002B25E0"/>
    <w:rsid w:val="002B27D0"/>
    <w:rsid w:val="002B2A93"/>
    <w:rsid w:val="002B2B81"/>
    <w:rsid w:val="002B2C53"/>
    <w:rsid w:val="002B2E47"/>
    <w:rsid w:val="002B300D"/>
    <w:rsid w:val="002B30A0"/>
    <w:rsid w:val="002B313B"/>
    <w:rsid w:val="002B31C3"/>
    <w:rsid w:val="002B3305"/>
    <w:rsid w:val="002B3315"/>
    <w:rsid w:val="002B3413"/>
    <w:rsid w:val="002B3547"/>
    <w:rsid w:val="002B3602"/>
    <w:rsid w:val="002B3717"/>
    <w:rsid w:val="002B39FD"/>
    <w:rsid w:val="002B3ECD"/>
    <w:rsid w:val="002B40D3"/>
    <w:rsid w:val="002B41B5"/>
    <w:rsid w:val="002B4243"/>
    <w:rsid w:val="002B4290"/>
    <w:rsid w:val="002B48FC"/>
    <w:rsid w:val="002B4F23"/>
    <w:rsid w:val="002B50FB"/>
    <w:rsid w:val="002B51AB"/>
    <w:rsid w:val="002B539F"/>
    <w:rsid w:val="002B53D1"/>
    <w:rsid w:val="002B57B6"/>
    <w:rsid w:val="002B5B04"/>
    <w:rsid w:val="002B5D7C"/>
    <w:rsid w:val="002B5DD1"/>
    <w:rsid w:val="002B5E24"/>
    <w:rsid w:val="002B5E68"/>
    <w:rsid w:val="002B5E71"/>
    <w:rsid w:val="002B6151"/>
    <w:rsid w:val="002B61E8"/>
    <w:rsid w:val="002B6312"/>
    <w:rsid w:val="002B6374"/>
    <w:rsid w:val="002B6651"/>
    <w:rsid w:val="002B6794"/>
    <w:rsid w:val="002B6A16"/>
    <w:rsid w:val="002B6A98"/>
    <w:rsid w:val="002B6BB4"/>
    <w:rsid w:val="002B6CA7"/>
    <w:rsid w:val="002B6F77"/>
    <w:rsid w:val="002B6F99"/>
    <w:rsid w:val="002B72EE"/>
    <w:rsid w:val="002B732E"/>
    <w:rsid w:val="002B74C4"/>
    <w:rsid w:val="002B7749"/>
    <w:rsid w:val="002B77E4"/>
    <w:rsid w:val="002B794F"/>
    <w:rsid w:val="002B7998"/>
    <w:rsid w:val="002B7A98"/>
    <w:rsid w:val="002B7B12"/>
    <w:rsid w:val="002B7DF3"/>
    <w:rsid w:val="002C067F"/>
    <w:rsid w:val="002C0712"/>
    <w:rsid w:val="002C0755"/>
    <w:rsid w:val="002C0C3F"/>
    <w:rsid w:val="002C1635"/>
    <w:rsid w:val="002C16BB"/>
    <w:rsid w:val="002C1761"/>
    <w:rsid w:val="002C1961"/>
    <w:rsid w:val="002C1C01"/>
    <w:rsid w:val="002C1EB4"/>
    <w:rsid w:val="002C1ED0"/>
    <w:rsid w:val="002C1F96"/>
    <w:rsid w:val="002C1FC7"/>
    <w:rsid w:val="002C25BD"/>
    <w:rsid w:val="002C25FF"/>
    <w:rsid w:val="002C2817"/>
    <w:rsid w:val="002C2A30"/>
    <w:rsid w:val="002C2B08"/>
    <w:rsid w:val="002C2F6F"/>
    <w:rsid w:val="002C2FA3"/>
    <w:rsid w:val="002C3095"/>
    <w:rsid w:val="002C35C9"/>
    <w:rsid w:val="002C38BA"/>
    <w:rsid w:val="002C38DF"/>
    <w:rsid w:val="002C3A62"/>
    <w:rsid w:val="002C3C5C"/>
    <w:rsid w:val="002C3DCE"/>
    <w:rsid w:val="002C3E41"/>
    <w:rsid w:val="002C3EFD"/>
    <w:rsid w:val="002C3FA0"/>
    <w:rsid w:val="002C4006"/>
    <w:rsid w:val="002C446A"/>
    <w:rsid w:val="002C44B6"/>
    <w:rsid w:val="002C4A06"/>
    <w:rsid w:val="002C4ACC"/>
    <w:rsid w:val="002C4B2F"/>
    <w:rsid w:val="002C4BAD"/>
    <w:rsid w:val="002C4C07"/>
    <w:rsid w:val="002C4C5A"/>
    <w:rsid w:val="002C4D4F"/>
    <w:rsid w:val="002C55C3"/>
    <w:rsid w:val="002C5678"/>
    <w:rsid w:val="002C5762"/>
    <w:rsid w:val="002C58D6"/>
    <w:rsid w:val="002C5C19"/>
    <w:rsid w:val="002C607F"/>
    <w:rsid w:val="002C613C"/>
    <w:rsid w:val="002C61DF"/>
    <w:rsid w:val="002C62AA"/>
    <w:rsid w:val="002C6385"/>
    <w:rsid w:val="002C648D"/>
    <w:rsid w:val="002C662F"/>
    <w:rsid w:val="002C6ECA"/>
    <w:rsid w:val="002C6ED9"/>
    <w:rsid w:val="002C6EFA"/>
    <w:rsid w:val="002C72F5"/>
    <w:rsid w:val="002C7348"/>
    <w:rsid w:val="002C74C3"/>
    <w:rsid w:val="002C7F85"/>
    <w:rsid w:val="002D01AD"/>
    <w:rsid w:val="002D01BB"/>
    <w:rsid w:val="002D0469"/>
    <w:rsid w:val="002D07F8"/>
    <w:rsid w:val="002D0850"/>
    <w:rsid w:val="002D0880"/>
    <w:rsid w:val="002D0BDB"/>
    <w:rsid w:val="002D0E69"/>
    <w:rsid w:val="002D1029"/>
    <w:rsid w:val="002D125B"/>
    <w:rsid w:val="002D15E9"/>
    <w:rsid w:val="002D167B"/>
    <w:rsid w:val="002D194C"/>
    <w:rsid w:val="002D1E41"/>
    <w:rsid w:val="002D1F6E"/>
    <w:rsid w:val="002D1F7D"/>
    <w:rsid w:val="002D1FA0"/>
    <w:rsid w:val="002D2141"/>
    <w:rsid w:val="002D23FC"/>
    <w:rsid w:val="002D253B"/>
    <w:rsid w:val="002D25FE"/>
    <w:rsid w:val="002D2891"/>
    <w:rsid w:val="002D2C30"/>
    <w:rsid w:val="002D2F68"/>
    <w:rsid w:val="002D3195"/>
    <w:rsid w:val="002D3347"/>
    <w:rsid w:val="002D3370"/>
    <w:rsid w:val="002D3C6A"/>
    <w:rsid w:val="002D3CF7"/>
    <w:rsid w:val="002D3DBD"/>
    <w:rsid w:val="002D43AC"/>
    <w:rsid w:val="002D448C"/>
    <w:rsid w:val="002D4671"/>
    <w:rsid w:val="002D4D66"/>
    <w:rsid w:val="002D4F1C"/>
    <w:rsid w:val="002D4F4E"/>
    <w:rsid w:val="002D4F72"/>
    <w:rsid w:val="002D5399"/>
    <w:rsid w:val="002D5884"/>
    <w:rsid w:val="002D5AAD"/>
    <w:rsid w:val="002D5CBF"/>
    <w:rsid w:val="002D66B2"/>
    <w:rsid w:val="002D6BAB"/>
    <w:rsid w:val="002D7084"/>
    <w:rsid w:val="002D7241"/>
    <w:rsid w:val="002D7485"/>
    <w:rsid w:val="002D76DE"/>
    <w:rsid w:val="002D79B2"/>
    <w:rsid w:val="002D7C9D"/>
    <w:rsid w:val="002D7D5F"/>
    <w:rsid w:val="002D7DEC"/>
    <w:rsid w:val="002D7E0A"/>
    <w:rsid w:val="002E004A"/>
    <w:rsid w:val="002E0641"/>
    <w:rsid w:val="002E0650"/>
    <w:rsid w:val="002E081C"/>
    <w:rsid w:val="002E0AF5"/>
    <w:rsid w:val="002E0BFE"/>
    <w:rsid w:val="002E0E40"/>
    <w:rsid w:val="002E110A"/>
    <w:rsid w:val="002E15B5"/>
    <w:rsid w:val="002E18F1"/>
    <w:rsid w:val="002E192D"/>
    <w:rsid w:val="002E1FEE"/>
    <w:rsid w:val="002E207E"/>
    <w:rsid w:val="002E211F"/>
    <w:rsid w:val="002E23E0"/>
    <w:rsid w:val="002E26FC"/>
    <w:rsid w:val="002E27AE"/>
    <w:rsid w:val="002E29A3"/>
    <w:rsid w:val="002E2C16"/>
    <w:rsid w:val="002E2E0F"/>
    <w:rsid w:val="002E2F28"/>
    <w:rsid w:val="002E3108"/>
    <w:rsid w:val="002E339B"/>
    <w:rsid w:val="002E3866"/>
    <w:rsid w:val="002E38EF"/>
    <w:rsid w:val="002E3978"/>
    <w:rsid w:val="002E3E60"/>
    <w:rsid w:val="002E405D"/>
    <w:rsid w:val="002E40B4"/>
    <w:rsid w:val="002E40C9"/>
    <w:rsid w:val="002E4227"/>
    <w:rsid w:val="002E4257"/>
    <w:rsid w:val="002E46AE"/>
    <w:rsid w:val="002E4759"/>
    <w:rsid w:val="002E4C7E"/>
    <w:rsid w:val="002E4CB5"/>
    <w:rsid w:val="002E4ECC"/>
    <w:rsid w:val="002E5055"/>
    <w:rsid w:val="002E5267"/>
    <w:rsid w:val="002E5601"/>
    <w:rsid w:val="002E5965"/>
    <w:rsid w:val="002E5CF8"/>
    <w:rsid w:val="002E5FEA"/>
    <w:rsid w:val="002E65A6"/>
    <w:rsid w:val="002E65F0"/>
    <w:rsid w:val="002E6630"/>
    <w:rsid w:val="002E6AB1"/>
    <w:rsid w:val="002E6D60"/>
    <w:rsid w:val="002E6FBE"/>
    <w:rsid w:val="002E708B"/>
    <w:rsid w:val="002E7093"/>
    <w:rsid w:val="002E7351"/>
    <w:rsid w:val="002E73A7"/>
    <w:rsid w:val="002E744B"/>
    <w:rsid w:val="002E76D6"/>
    <w:rsid w:val="002E77A8"/>
    <w:rsid w:val="002E77D1"/>
    <w:rsid w:val="002E78F1"/>
    <w:rsid w:val="002E7CD3"/>
    <w:rsid w:val="002E7DC1"/>
    <w:rsid w:val="002E7E14"/>
    <w:rsid w:val="002F007D"/>
    <w:rsid w:val="002F0143"/>
    <w:rsid w:val="002F08CB"/>
    <w:rsid w:val="002F09FA"/>
    <w:rsid w:val="002F0A11"/>
    <w:rsid w:val="002F0D33"/>
    <w:rsid w:val="002F0E14"/>
    <w:rsid w:val="002F102D"/>
    <w:rsid w:val="002F13F1"/>
    <w:rsid w:val="002F1648"/>
    <w:rsid w:val="002F1905"/>
    <w:rsid w:val="002F1A2E"/>
    <w:rsid w:val="002F1E08"/>
    <w:rsid w:val="002F1EF9"/>
    <w:rsid w:val="002F2000"/>
    <w:rsid w:val="002F2038"/>
    <w:rsid w:val="002F208D"/>
    <w:rsid w:val="002F21C8"/>
    <w:rsid w:val="002F2253"/>
    <w:rsid w:val="002F2312"/>
    <w:rsid w:val="002F242F"/>
    <w:rsid w:val="002F2B1D"/>
    <w:rsid w:val="002F2DED"/>
    <w:rsid w:val="002F2FCE"/>
    <w:rsid w:val="002F3158"/>
    <w:rsid w:val="002F31B0"/>
    <w:rsid w:val="002F38C4"/>
    <w:rsid w:val="002F3A00"/>
    <w:rsid w:val="002F3ED7"/>
    <w:rsid w:val="002F3F52"/>
    <w:rsid w:val="002F41F6"/>
    <w:rsid w:val="002F422A"/>
    <w:rsid w:val="002F4447"/>
    <w:rsid w:val="002F4515"/>
    <w:rsid w:val="002F47E4"/>
    <w:rsid w:val="002F4B31"/>
    <w:rsid w:val="002F54F8"/>
    <w:rsid w:val="002F585B"/>
    <w:rsid w:val="002F591B"/>
    <w:rsid w:val="002F5B5E"/>
    <w:rsid w:val="002F6222"/>
    <w:rsid w:val="002F64D4"/>
    <w:rsid w:val="002F6536"/>
    <w:rsid w:val="002F65BF"/>
    <w:rsid w:val="002F6649"/>
    <w:rsid w:val="002F6833"/>
    <w:rsid w:val="002F6917"/>
    <w:rsid w:val="002F69CB"/>
    <w:rsid w:val="002F6FE1"/>
    <w:rsid w:val="002F7441"/>
    <w:rsid w:val="002F756E"/>
    <w:rsid w:val="002F7617"/>
    <w:rsid w:val="002F7740"/>
    <w:rsid w:val="002F7834"/>
    <w:rsid w:val="002F7885"/>
    <w:rsid w:val="002F7903"/>
    <w:rsid w:val="002F7932"/>
    <w:rsid w:val="002F794E"/>
    <w:rsid w:val="002F7A73"/>
    <w:rsid w:val="002F7B58"/>
    <w:rsid w:val="002F7BE7"/>
    <w:rsid w:val="002F7E82"/>
    <w:rsid w:val="0030021F"/>
    <w:rsid w:val="003003D7"/>
    <w:rsid w:val="00300506"/>
    <w:rsid w:val="00300591"/>
    <w:rsid w:val="003005CB"/>
    <w:rsid w:val="00300B71"/>
    <w:rsid w:val="003014E8"/>
    <w:rsid w:val="003015FA"/>
    <w:rsid w:val="00301A70"/>
    <w:rsid w:val="00301BA8"/>
    <w:rsid w:val="00301DA5"/>
    <w:rsid w:val="00302139"/>
    <w:rsid w:val="003022DC"/>
    <w:rsid w:val="003022E2"/>
    <w:rsid w:val="0030236E"/>
    <w:rsid w:val="003023DD"/>
    <w:rsid w:val="0030257D"/>
    <w:rsid w:val="00302B86"/>
    <w:rsid w:val="003030DE"/>
    <w:rsid w:val="00303497"/>
    <w:rsid w:val="003034BB"/>
    <w:rsid w:val="00303604"/>
    <w:rsid w:val="0030381B"/>
    <w:rsid w:val="00303A8C"/>
    <w:rsid w:val="00303BD0"/>
    <w:rsid w:val="00303E68"/>
    <w:rsid w:val="0030421F"/>
    <w:rsid w:val="00304335"/>
    <w:rsid w:val="0030461B"/>
    <w:rsid w:val="003047FB"/>
    <w:rsid w:val="00304C55"/>
    <w:rsid w:val="00304D9A"/>
    <w:rsid w:val="00304FF5"/>
    <w:rsid w:val="00305448"/>
    <w:rsid w:val="00305471"/>
    <w:rsid w:val="00305DDA"/>
    <w:rsid w:val="00305F08"/>
    <w:rsid w:val="00305FD5"/>
    <w:rsid w:val="003062AE"/>
    <w:rsid w:val="0030630D"/>
    <w:rsid w:val="00306382"/>
    <w:rsid w:val="003065DF"/>
    <w:rsid w:val="00306620"/>
    <w:rsid w:val="003067EF"/>
    <w:rsid w:val="0030680B"/>
    <w:rsid w:val="00306A73"/>
    <w:rsid w:val="00307153"/>
    <w:rsid w:val="00307555"/>
    <w:rsid w:val="00307736"/>
    <w:rsid w:val="0030793E"/>
    <w:rsid w:val="00307C60"/>
    <w:rsid w:val="00307C9E"/>
    <w:rsid w:val="00307DAA"/>
    <w:rsid w:val="003101E0"/>
    <w:rsid w:val="0031025D"/>
    <w:rsid w:val="00310266"/>
    <w:rsid w:val="00310383"/>
    <w:rsid w:val="003104E4"/>
    <w:rsid w:val="0031071D"/>
    <w:rsid w:val="00310760"/>
    <w:rsid w:val="003109D0"/>
    <w:rsid w:val="00310A14"/>
    <w:rsid w:val="00310C9C"/>
    <w:rsid w:val="00310E36"/>
    <w:rsid w:val="00310F9A"/>
    <w:rsid w:val="003112B0"/>
    <w:rsid w:val="00311315"/>
    <w:rsid w:val="00311812"/>
    <w:rsid w:val="00311A48"/>
    <w:rsid w:val="00311CCC"/>
    <w:rsid w:val="00311DD8"/>
    <w:rsid w:val="00311FFC"/>
    <w:rsid w:val="0031209C"/>
    <w:rsid w:val="0031231F"/>
    <w:rsid w:val="00312437"/>
    <w:rsid w:val="0031278A"/>
    <w:rsid w:val="00312841"/>
    <w:rsid w:val="00312A92"/>
    <w:rsid w:val="00312D8E"/>
    <w:rsid w:val="00312DA0"/>
    <w:rsid w:val="0031309F"/>
    <w:rsid w:val="00313328"/>
    <w:rsid w:val="00313570"/>
    <w:rsid w:val="0031392E"/>
    <w:rsid w:val="00313B00"/>
    <w:rsid w:val="00313D9A"/>
    <w:rsid w:val="0031450E"/>
    <w:rsid w:val="00314538"/>
    <w:rsid w:val="00314696"/>
    <w:rsid w:val="0031473B"/>
    <w:rsid w:val="003149D5"/>
    <w:rsid w:val="00314B10"/>
    <w:rsid w:val="00314B97"/>
    <w:rsid w:val="00314CFE"/>
    <w:rsid w:val="00314D1D"/>
    <w:rsid w:val="00314E13"/>
    <w:rsid w:val="00314F06"/>
    <w:rsid w:val="00315807"/>
    <w:rsid w:val="003158DA"/>
    <w:rsid w:val="0031595F"/>
    <w:rsid w:val="00315965"/>
    <w:rsid w:val="00315C06"/>
    <w:rsid w:val="00315DF2"/>
    <w:rsid w:val="00315E51"/>
    <w:rsid w:val="00315E9E"/>
    <w:rsid w:val="00315F17"/>
    <w:rsid w:val="00315F81"/>
    <w:rsid w:val="003160CE"/>
    <w:rsid w:val="003163BF"/>
    <w:rsid w:val="0031640A"/>
    <w:rsid w:val="003164EA"/>
    <w:rsid w:val="00316558"/>
    <w:rsid w:val="003168D4"/>
    <w:rsid w:val="00316AF6"/>
    <w:rsid w:val="00316E82"/>
    <w:rsid w:val="00317209"/>
    <w:rsid w:val="003172BA"/>
    <w:rsid w:val="003175B9"/>
    <w:rsid w:val="00317961"/>
    <w:rsid w:val="003179B0"/>
    <w:rsid w:val="00317CF4"/>
    <w:rsid w:val="003201BF"/>
    <w:rsid w:val="0032037C"/>
    <w:rsid w:val="00320398"/>
    <w:rsid w:val="00320430"/>
    <w:rsid w:val="003206DA"/>
    <w:rsid w:val="00320847"/>
    <w:rsid w:val="003209E8"/>
    <w:rsid w:val="00320EAD"/>
    <w:rsid w:val="00320F8D"/>
    <w:rsid w:val="003210FF"/>
    <w:rsid w:val="003213A1"/>
    <w:rsid w:val="003213C3"/>
    <w:rsid w:val="00321671"/>
    <w:rsid w:val="0032171F"/>
    <w:rsid w:val="003217FA"/>
    <w:rsid w:val="0032191E"/>
    <w:rsid w:val="00321A26"/>
    <w:rsid w:val="00321DED"/>
    <w:rsid w:val="003221A4"/>
    <w:rsid w:val="0032242F"/>
    <w:rsid w:val="003224B9"/>
    <w:rsid w:val="0032255F"/>
    <w:rsid w:val="00322778"/>
    <w:rsid w:val="00322894"/>
    <w:rsid w:val="003228B3"/>
    <w:rsid w:val="00322C7E"/>
    <w:rsid w:val="00322F75"/>
    <w:rsid w:val="0032312F"/>
    <w:rsid w:val="0032341F"/>
    <w:rsid w:val="00323883"/>
    <w:rsid w:val="00323986"/>
    <w:rsid w:val="00323A96"/>
    <w:rsid w:val="00323CC3"/>
    <w:rsid w:val="00323FF9"/>
    <w:rsid w:val="00324125"/>
    <w:rsid w:val="0032465C"/>
    <w:rsid w:val="00324681"/>
    <w:rsid w:val="00324727"/>
    <w:rsid w:val="0032484E"/>
    <w:rsid w:val="00324906"/>
    <w:rsid w:val="003249B1"/>
    <w:rsid w:val="00324ED0"/>
    <w:rsid w:val="00325279"/>
    <w:rsid w:val="003255A8"/>
    <w:rsid w:val="003259FE"/>
    <w:rsid w:val="00325B79"/>
    <w:rsid w:val="003265F6"/>
    <w:rsid w:val="00326743"/>
    <w:rsid w:val="00326A74"/>
    <w:rsid w:val="00326DF1"/>
    <w:rsid w:val="00326EBD"/>
    <w:rsid w:val="00326F2A"/>
    <w:rsid w:val="00327661"/>
    <w:rsid w:val="00327803"/>
    <w:rsid w:val="003304E0"/>
    <w:rsid w:val="003306AA"/>
    <w:rsid w:val="00330733"/>
    <w:rsid w:val="00330A4B"/>
    <w:rsid w:val="00330CEC"/>
    <w:rsid w:val="00330D18"/>
    <w:rsid w:val="00330EA1"/>
    <w:rsid w:val="00330F18"/>
    <w:rsid w:val="003311B6"/>
    <w:rsid w:val="003312A4"/>
    <w:rsid w:val="00331314"/>
    <w:rsid w:val="003315E4"/>
    <w:rsid w:val="003317C5"/>
    <w:rsid w:val="00331B20"/>
    <w:rsid w:val="00331B5E"/>
    <w:rsid w:val="00331D0D"/>
    <w:rsid w:val="00331D0E"/>
    <w:rsid w:val="00332063"/>
    <w:rsid w:val="00332389"/>
    <w:rsid w:val="003325FF"/>
    <w:rsid w:val="003326C6"/>
    <w:rsid w:val="00332800"/>
    <w:rsid w:val="0033288F"/>
    <w:rsid w:val="003332BC"/>
    <w:rsid w:val="003333C7"/>
    <w:rsid w:val="003334D1"/>
    <w:rsid w:val="00333772"/>
    <w:rsid w:val="003338A7"/>
    <w:rsid w:val="00333C2B"/>
    <w:rsid w:val="00333E69"/>
    <w:rsid w:val="003345FD"/>
    <w:rsid w:val="003346FB"/>
    <w:rsid w:val="0033495D"/>
    <w:rsid w:val="003349BA"/>
    <w:rsid w:val="00334B3A"/>
    <w:rsid w:val="00334C0B"/>
    <w:rsid w:val="003350CB"/>
    <w:rsid w:val="003350F3"/>
    <w:rsid w:val="003357B5"/>
    <w:rsid w:val="003357BA"/>
    <w:rsid w:val="00335857"/>
    <w:rsid w:val="00335A2F"/>
    <w:rsid w:val="00335C7C"/>
    <w:rsid w:val="00335D5C"/>
    <w:rsid w:val="00336094"/>
    <w:rsid w:val="0033630B"/>
    <w:rsid w:val="0033637E"/>
    <w:rsid w:val="00336406"/>
    <w:rsid w:val="003364AD"/>
    <w:rsid w:val="00336661"/>
    <w:rsid w:val="003367A3"/>
    <w:rsid w:val="003368C7"/>
    <w:rsid w:val="00336B68"/>
    <w:rsid w:val="00336BC3"/>
    <w:rsid w:val="00336E4A"/>
    <w:rsid w:val="00336EC1"/>
    <w:rsid w:val="00336F7B"/>
    <w:rsid w:val="003371BC"/>
    <w:rsid w:val="00337291"/>
    <w:rsid w:val="0033745E"/>
    <w:rsid w:val="00337BAF"/>
    <w:rsid w:val="00337E2B"/>
    <w:rsid w:val="003400E9"/>
    <w:rsid w:val="0034015E"/>
    <w:rsid w:val="00340466"/>
    <w:rsid w:val="0034086A"/>
    <w:rsid w:val="00340B49"/>
    <w:rsid w:val="00340C43"/>
    <w:rsid w:val="00341075"/>
    <w:rsid w:val="00341CCA"/>
    <w:rsid w:val="00341F5A"/>
    <w:rsid w:val="00341F71"/>
    <w:rsid w:val="00341F85"/>
    <w:rsid w:val="003420D4"/>
    <w:rsid w:val="003420D8"/>
    <w:rsid w:val="00342134"/>
    <w:rsid w:val="0034249E"/>
    <w:rsid w:val="00342509"/>
    <w:rsid w:val="003429F2"/>
    <w:rsid w:val="00342A89"/>
    <w:rsid w:val="00342CBE"/>
    <w:rsid w:val="00342E57"/>
    <w:rsid w:val="00342E8B"/>
    <w:rsid w:val="00342F50"/>
    <w:rsid w:val="00343092"/>
    <w:rsid w:val="00343218"/>
    <w:rsid w:val="00343278"/>
    <w:rsid w:val="00343536"/>
    <w:rsid w:val="0034374D"/>
    <w:rsid w:val="003437EF"/>
    <w:rsid w:val="003437F5"/>
    <w:rsid w:val="0034385A"/>
    <w:rsid w:val="00343A14"/>
    <w:rsid w:val="00343ADB"/>
    <w:rsid w:val="00343F57"/>
    <w:rsid w:val="00344141"/>
    <w:rsid w:val="0034419C"/>
    <w:rsid w:val="00344344"/>
    <w:rsid w:val="0034435E"/>
    <w:rsid w:val="003443A6"/>
    <w:rsid w:val="00344606"/>
    <w:rsid w:val="0034497E"/>
    <w:rsid w:val="00344A4C"/>
    <w:rsid w:val="00344B48"/>
    <w:rsid w:val="00344C1E"/>
    <w:rsid w:val="003450B8"/>
    <w:rsid w:val="003451C6"/>
    <w:rsid w:val="00345215"/>
    <w:rsid w:val="003453B3"/>
    <w:rsid w:val="003456DC"/>
    <w:rsid w:val="00345737"/>
    <w:rsid w:val="003459DD"/>
    <w:rsid w:val="00345E56"/>
    <w:rsid w:val="0034638E"/>
    <w:rsid w:val="0034663F"/>
    <w:rsid w:val="003467DE"/>
    <w:rsid w:val="003468A1"/>
    <w:rsid w:val="00346BB2"/>
    <w:rsid w:val="00346BC5"/>
    <w:rsid w:val="00346C85"/>
    <w:rsid w:val="00346E19"/>
    <w:rsid w:val="00347090"/>
    <w:rsid w:val="00347159"/>
    <w:rsid w:val="003472E2"/>
    <w:rsid w:val="00347534"/>
    <w:rsid w:val="003475EE"/>
    <w:rsid w:val="00347778"/>
    <w:rsid w:val="00347796"/>
    <w:rsid w:val="00347826"/>
    <w:rsid w:val="0034789C"/>
    <w:rsid w:val="003478AB"/>
    <w:rsid w:val="0034799C"/>
    <w:rsid w:val="00347B17"/>
    <w:rsid w:val="00347D98"/>
    <w:rsid w:val="00347E49"/>
    <w:rsid w:val="003500E0"/>
    <w:rsid w:val="003500FA"/>
    <w:rsid w:val="0035043A"/>
    <w:rsid w:val="00350B27"/>
    <w:rsid w:val="00350CA7"/>
    <w:rsid w:val="00350E35"/>
    <w:rsid w:val="00350FF8"/>
    <w:rsid w:val="00351241"/>
    <w:rsid w:val="003512FC"/>
    <w:rsid w:val="003513B4"/>
    <w:rsid w:val="003513DB"/>
    <w:rsid w:val="00351855"/>
    <w:rsid w:val="003518EC"/>
    <w:rsid w:val="0035196B"/>
    <w:rsid w:val="00351A17"/>
    <w:rsid w:val="00351AE4"/>
    <w:rsid w:val="00351BB6"/>
    <w:rsid w:val="00351CE4"/>
    <w:rsid w:val="00351F31"/>
    <w:rsid w:val="003520D0"/>
    <w:rsid w:val="003521FE"/>
    <w:rsid w:val="003522EF"/>
    <w:rsid w:val="00352375"/>
    <w:rsid w:val="00352515"/>
    <w:rsid w:val="00352577"/>
    <w:rsid w:val="003525D8"/>
    <w:rsid w:val="003526A8"/>
    <w:rsid w:val="003526B2"/>
    <w:rsid w:val="00352710"/>
    <w:rsid w:val="003528D4"/>
    <w:rsid w:val="00352A34"/>
    <w:rsid w:val="00352A3B"/>
    <w:rsid w:val="00352A49"/>
    <w:rsid w:val="00352D60"/>
    <w:rsid w:val="003533C3"/>
    <w:rsid w:val="00353574"/>
    <w:rsid w:val="003536E4"/>
    <w:rsid w:val="00353833"/>
    <w:rsid w:val="00353875"/>
    <w:rsid w:val="003539EB"/>
    <w:rsid w:val="00353A37"/>
    <w:rsid w:val="00353AE1"/>
    <w:rsid w:val="00353CA1"/>
    <w:rsid w:val="00353D13"/>
    <w:rsid w:val="00353D51"/>
    <w:rsid w:val="00353D9C"/>
    <w:rsid w:val="00354253"/>
    <w:rsid w:val="00354C8F"/>
    <w:rsid w:val="00354EDD"/>
    <w:rsid w:val="00355289"/>
    <w:rsid w:val="0035528A"/>
    <w:rsid w:val="00355444"/>
    <w:rsid w:val="0035577E"/>
    <w:rsid w:val="00355AC9"/>
    <w:rsid w:val="00355E14"/>
    <w:rsid w:val="00355E6B"/>
    <w:rsid w:val="0035605A"/>
    <w:rsid w:val="0035609F"/>
    <w:rsid w:val="003561C2"/>
    <w:rsid w:val="00356321"/>
    <w:rsid w:val="00356415"/>
    <w:rsid w:val="00356447"/>
    <w:rsid w:val="0035645B"/>
    <w:rsid w:val="00356464"/>
    <w:rsid w:val="003566A8"/>
    <w:rsid w:val="00356E54"/>
    <w:rsid w:val="00356F04"/>
    <w:rsid w:val="00356FA4"/>
    <w:rsid w:val="003570B9"/>
    <w:rsid w:val="00357389"/>
    <w:rsid w:val="003574B6"/>
    <w:rsid w:val="003576EE"/>
    <w:rsid w:val="0035775F"/>
    <w:rsid w:val="003578EB"/>
    <w:rsid w:val="00357ACD"/>
    <w:rsid w:val="00357AE3"/>
    <w:rsid w:val="00357C48"/>
    <w:rsid w:val="00357E3F"/>
    <w:rsid w:val="00357F9D"/>
    <w:rsid w:val="0036017A"/>
    <w:rsid w:val="00360481"/>
    <w:rsid w:val="00360556"/>
    <w:rsid w:val="00360A54"/>
    <w:rsid w:val="00360BE7"/>
    <w:rsid w:val="00360C7F"/>
    <w:rsid w:val="003610A2"/>
    <w:rsid w:val="00361384"/>
    <w:rsid w:val="00361803"/>
    <w:rsid w:val="003618B5"/>
    <w:rsid w:val="00361908"/>
    <w:rsid w:val="003619A6"/>
    <w:rsid w:val="00361E52"/>
    <w:rsid w:val="0036212D"/>
    <w:rsid w:val="00362635"/>
    <w:rsid w:val="00362681"/>
    <w:rsid w:val="00362A26"/>
    <w:rsid w:val="00362A68"/>
    <w:rsid w:val="00362F17"/>
    <w:rsid w:val="0036300C"/>
    <w:rsid w:val="00363225"/>
    <w:rsid w:val="00363423"/>
    <w:rsid w:val="00363502"/>
    <w:rsid w:val="003637E9"/>
    <w:rsid w:val="00363ADC"/>
    <w:rsid w:val="00363AF3"/>
    <w:rsid w:val="00363AFD"/>
    <w:rsid w:val="00363CCA"/>
    <w:rsid w:val="00363D82"/>
    <w:rsid w:val="00363DAA"/>
    <w:rsid w:val="00364009"/>
    <w:rsid w:val="0036415F"/>
    <w:rsid w:val="003643A0"/>
    <w:rsid w:val="0036442D"/>
    <w:rsid w:val="00364569"/>
    <w:rsid w:val="00364592"/>
    <w:rsid w:val="0036479B"/>
    <w:rsid w:val="00364CDD"/>
    <w:rsid w:val="00364CF4"/>
    <w:rsid w:val="00364D41"/>
    <w:rsid w:val="00364F4F"/>
    <w:rsid w:val="00364F79"/>
    <w:rsid w:val="003650F8"/>
    <w:rsid w:val="0036515F"/>
    <w:rsid w:val="0036554A"/>
    <w:rsid w:val="0036564F"/>
    <w:rsid w:val="0036574F"/>
    <w:rsid w:val="003658D5"/>
    <w:rsid w:val="00365CE1"/>
    <w:rsid w:val="00365D4B"/>
    <w:rsid w:val="00365EAF"/>
    <w:rsid w:val="003660C3"/>
    <w:rsid w:val="003662A0"/>
    <w:rsid w:val="0036630D"/>
    <w:rsid w:val="00366762"/>
    <w:rsid w:val="00366E9C"/>
    <w:rsid w:val="00366F1E"/>
    <w:rsid w:val="00367053"/>
    <w:rsid w:val="0036720D"/>
    <w:rsid w:val="003673AB"/>
    <w:rsid w:val="00367684"/>
    <w:rsid w:val="003676E0"/>
    <w:rsid w:val="003678C8"/>
    <w:rsid w:val="0036796C"/>
    <w:rsid w:val="003701AC"/>
    <w:rsid w:val="00370250"/>
    <w:rsid w:val="003704B5"/>
    <w:rsid w:val="003706F0"/>
    <w:rsid w:val="00370964"/>
    <w:rsid w:val="003709FC"/>
    <w:rsid w:val="00370B10"/>
    <w:rsid w:val="00370C3A"/>
    <w:rsid w:val="00370E26"/>
    <w:rsid w:val="00370F55"/>
    <w:rsid w:val="003710F8"/>
    <w:rsid w:val="00371207"/>
    <w:rsid w:val="00371297"/>
    <w:rsid w:val="00371330"/>
    <w:rsid w:val="003714CE"/>
    <w:rsid w:val="003714DD"/>
    <w:rsid w:val="00371554"/>
    <w:rsid w:val="00371925"/>
    <w:rsid w:val="00371CEC"/>
    <w:rsid w:val="00371DA8"/>
    <w:rsid w:val="00371DCD"/>
    <w:rsid w:val="00371E07"/>
    <w:rsid w:val="00372013"/>
    <w:rsid w:val="0037241B"/>
    <w:rsid w:val="00372468"/>
    <w:rsid w:val="00372706"/>
    <w:rsid w:val="00372792"/>
    <w:rsid w:val="00372800"/>
    <w:rsid w:val="00372F64"/>
    <w:rsid w:val="003733BC"/>
    <w:rsid w:val="00373430"/>
    <w:rsid w:val="00373677"/>
    <w:rsid w:val="003738DA"/>
    <w:rsid w:val="00373A52"/>
    <w:rsid w:val="00373C2A"/>
    <w:rsid w:val="00374166"/>
    <w:rsid w:val="003746A7"/>
    <w:rsid w:val="00374747"/>
    <w:rsid w:val="0037491E"/>
    <w:rsid w:val="00374958"/>
    <w:rsid w:val="003749D7"/>
    <w:rsid w:val="00374B81"/>
    <w:rsid w:val="00374B9A"/>
    <w:rsid w:val="003751FA"/>
    <w:rsid w:val="00375439"/>
    <w:rsid w:val="0037543C"/>
    <w:rsid w:val="00375642"/>
    <w:rsid w:val="003756C4"/>
    <w:rsid w:val="00375A01"/>
    <w:rsid w:val="00375A6E"/>
    <w:rsid w:val="00375B49"/>
    <w:rsid w:val="00375E34"/>
    <w:rsid w:val="00375ED2"/>
    <w:rsid w:val="00375F66"/>
    <w:rsid w:val="003762DF"/>
    <w:rsid w:val="00376421"/>
    <w:rsid w:val="003766FC"/>
    <w:rsid w:val="003768FA"/>
    <w:rsid w:val="00376BAB"/>
    <w:rsid w:val="00376BAC"/>
    <w:rsid w:val="00376E05"/>
    <w:rsid w:val="00376FC9"/>
    <w:rsid w:val="003771C8"/>
    <w:rsid w:val="0037747C"/>
    <w:rsid w:val="0037747E"/>
    <w:rsid w:val="003775FA"/>
    <w:rsid w:val="0037778A"/>
    <w:rsid w:val="00377C97"/>
    <w:rsid w:val="00377D17"/>
    <w:rsid w:val="00377E9B"/>
    <w:rsid w:val="003803F1"/>
    <w:rsid w:val="003805A5"/>
    <w:rsid w:val="003806F9"/>
    <w:rsid w:val="00380702"/>
    <w:rsid w:val="0038077F"/>
    <w:rsid w:val="003808A4"/>
    <w:rsid w:val="00380AD4"/>
    <w:rsid w:val="00380B29"/>
    <w:rsid w:val="00380B9E"/>
    <w:rsid w:val="00380D0A"/>
    <w:rsid w:val="00380E7C"/>
    <w:rsid w:val="00381134"/>
    <w:rsid w:val="0038113E"/>
    <w:rsid w:val="003811ED"/>
    <w:rsid w:val="003813AD"/>
    <w:rsid w:val="003813E2"/>
    <w:rsid w:val="0038187D"/>
    <w:rsid w:val="003818D4"/>
    <w:rsid w:val="00381B5C"/>
    <w:rsid w:val="00381C1C"/>
    <w:rsid w:val="00381CEA"/>
    <w:rsid w:val="00381DDC"/>
    <w:rsid w:val="003820F0"/>
    <w:rsid w:val="003821E7"/>
    <w:rsid w:val="0038227A"/>
    <w:rsid w:val="00382375"/>
    <w:rsid w:val="00382762"/>
    <w:rsid w:val="00382888"/>
    <w:rsid w:val="00382ACA"/>
    <w:rsid w:val="00382C11"/>
    <w:rsid w:val="00383001"/>
    <w:rsid w:val="003839E2"/>
    <w:rsid w:val="00383BE0"/>
    <w:rsid w:val="00383E62"/>
    <w:rsid w:val="00383F97"/>
    <w:rsid w:val="00384000"/>
    <w:rsid w:val="003842D7"/>
    <w:rsid w:val="003843D5"/>
    <w:rsid w:val="0038463D"/>
    <w:rsid w:val="0038488B"/>
    <w:rsid w:val="00384891"/>
    <w:rsid w:val="00384949"/>
    <w:rsid w:val="00384990"/>
    <w:rsid w:val="00384D54"/>
    <w:rsid w:val="00385094"/>
    <w:rsid w:val="0038516B"/>
    <w:rsid w:val="00385493"/>
    <w:rsid w:val="00385AF6"/>
    <w:rsid w:val="00385B76"/>
    <w:rsid w:val="00385D42"/>
    <w:rsid w:val="003860CC"/>
    <w:rsid w:val="003862D4"/>
    <w:rsid w:val="003865A3"/>
    <w:rsid w:val="003865BE"/>
    <w:rsid w:val="003865C3"/>
    <w:rsid w:val="0038679E"/>
    <w:rsid w:val="003867F1"/>
    <w:rsid w:val="00386A15"/>
    <w:rsid w:val="00386AB5"/>
    <w:rsid w:val="00386B40"/>
    <w:rsid w:val="00386C7C"/>
    <w:rsid w:val="00387041"/>
    <w:rsid w:val="0038708D"/>
    <w:rsid w:val="0038711F"/>
    <w:rsid w:val="00387151"/>
    <w:rsid w:val="003875A1"/>
    <w:rsid w:val="003877FF"/>
    <w:rsid w:val="00387C12"/>
    <w:rsid w:val="00387E94"/>
    <w:rsid w:val="003900D8"/>
    <w:rsid w:val="003900EF"/>
    <w:rsid w:val="003904FD"/>
    <w:rsid w:val="003905D7"/>
    <w:rsid w:val="00390A63"/>
    <w:rsid w:val="00390AD1"/>
    <w:rsid w:val="00390D48"/>
    <w:rsid w:val="00391104"/>
    <w:rsid w:val="00391193"/>
    <w:rsid w:val="003913FE"/>
    <w:rsid w:val="003914C1"/>
    <w:rsid w:val="003916C1"/>
    <w:rsid w:val="0039173F"/>
    <w:rsid w:val="00391984"/>
    <w:rsid w:val="003919B2"/>
    <w:rsid w:val="00391CA8"/>
    <w:rsid w:val="00391ED6"/>
    <w:rsid w:val="00391F3E"/>
    <w:rsid w:val="00392236"/>
    <w:rsid w:val="00392258"/>
    <w:rsid w:val="003923F0"/>
    <w:rsid w:val="00392486"/>
    <w:rsid w:val="003924B8"/>
    <w:rsid w:val="00392908"/>
    <w:rsid w:val="00392AD4"/>
    <w:rsid w:val="00392ADA"/>
    <w:rsid w:val="00392B4C"/>
    <w:rsid w:val="003931F2"/>
    <w:rsid w:val="003932C2"/>
    <w:rsid w:val="00393696"/>
    <w:rsid w:val="00393A57"/>
    <w:rsid w:val="00394101"/>
    <w:rsid w:val="0039410A"/>
    <w:rsid w:val="00394354"/>
    <w:rsid w:val="00394440"/>
    <w:rsid w:val="003944F0"/>
    <w:rsid w:val="00394611"/>
    <w:rsid w:val="00394681"/>
    <w:rsid w:val="00394755"/>
    <w:rsid w:val="003947DE"/>
    <w:rsid w:val="003949B6"/>
    <w:rsid w:val="00394B40"/>
    <w:rsid w:val="00394EDE"/>
    <w:rsid w:val="00394F8B"/>
    <w:rsid w:val="00395430"/>
    <w:rsid w:val="003955E6"/>
    <w:rsid w:val="00395785"/>
    <w:rsid w:val="00395803"/>
    <w:rsid w:val="00395D86"/>
    <w:rsid w:val="00395F4A"/>
    <w:rsid w:val="0039602D"/>
    <w:rsid w:val="00396165"/>
    <w:rsid w:val="00396432"/>
    <w:rsid w:val="0039675F"/>
    <w:rsid w:val="003969D8"/>
    <w:rsid w:val="00396AD4"/>
    <w:rsid w:val="00396DDB"/>
    <w:rsid w:val="003972BE"/>
    <w:rsid w:val="00397325"/>
    <w:rsid w:val="0039765B"/>
    <w:rsid w:val="00397B17"/>
    <w:rsid w:val="00397DC0"/>
    <w:rsid w:val="00397F5D"/>
    <w:rsid w:val="00397F96"/>
    <w:rsid w:val="003A0172"/>
    <w:rsid w:val="003A02AC"/>
    <w:rsid w:val="003A09A2"/>
    <w:rsid w:val="003A0B5F"/>
    <w:rsid w:val="003A0D01"/>
    <w:rsid w:val="003A0DB2"/>
    <w:rsid w:val="003A0FEA"/>
    <w:rsid w:val="003A0FF1"/>
    <w:rsid w:val="003A1527"/>
    <w:rsid w:val="003A175F"/>
    <w:rsid w:val="003A1D5C"/>
    <w:rsid w:val="003A208F"/>
    <w:rsid w:val="003A20AA"/>
    <w:rsid w:val="003A2413"/>
    <w:rsid w:val="003A242A"/>
    <w:rsid w:val="003A2762"/>
    <w:rsid w:val="003A2862"/>
    <w:rsid w:val="003A2C4A"/>
    <w:rsid w:val="003A2C87"/>
    <w:rsid w:val="003A31CF"/>
    <w:rsid w:val="003A3634"/>
    <w:rsid w:val="003A36C8"/>
    <w:rsid w:val="003A3797"/>
    <w:rsid w:val="003A380A"/>
    <w:rsid w:val="003A3851"/>
    <w:rsid w:val="003A3A05"/>
    <w:rsid w:val="003A3B28"/>
    <w:rsid w:val="003A3DE9"/>
    <w:rsid w:val="003A416A"/>
    <w:rsid w:val="003A43E9"/>
    <w:rsid w:val="003A46BC"/>
    <w:rsid w:val="003A478E"/>
    <w:rsid w:val="003A48DE"/>
    <w:rsid w:val="003A4A33"/>
    <w:rsid w:val="003A4A4B"/>
    <w:rsid w:val="003A4B10"/>
    <w:rsid w:val="003A4C24"/>
    <w:rsid w:val="003A4C5D"/>
    <w:rsid w:val="003A4D58"/>
    <w:rsid w:val="003A4D98"/>
    <w:rsid w:val="003A4F9F"/>
    <w:rsid w:val="003A50A2"/>
    <w:rsid w:val="003A50FE"/>
    <w:rsid w:val="003A5565"/>
    <w:rsid w:val="003A5A7D"/>
    <w:rsid w:val="003A5CE8"/>
    <w:rsid w:val="003A5E1C"/>
    <w:rsid w:val="003A617B"/>
    <w:rsid w:val="003A622B"/>
    <w:rsid w:val="003A6B4A"/>
    <w:rsid w:val="003A6BC8"/>
    <w:rsid w:val="003A6CCB"/>
    <w:rsid w:val="003A7234"/>
    <w:rsid w:val="003A737E"/>
    <w:rsid w:val="003A7AEE"/>
    <w:rsid w:val="003B01D1"/>
    <w:rsid w:val="003B0645"/>
    <w:rsid w:val="003B071B"/>
    <w:rsid w:val="003B074D"/>
    <w:rsid w:val="003B0751"/>
    <w:rsid w:val="003B07B5"/>
    <w:rsid w:val="003B0844"/>
    <w:rsid w:val="003B08DF"/>
    <w:rsid w:val="003B0A90"/>
    <w:rsid w:val="003B0B7B"/>
    <w:rsid w:val="003B0CB6"/>
    <w:rsid w:val="003B0F60"/>
    <w:rsid w:val="003B116B"/>
    <w:rsid w:val="003B129D"/>
    <w:rsid w:val="003B156D"/>
    <w:rsid w:val="003B168D"/>
    <w:rsid w:val="003B16F1"/>
    <w:rsid w:val="003B1C12"/>
    <w:rsid w:val="003B1CCD"/>
    <w:rsid w:val="003B226C"/>
    <w:rsid w:val="003B2387"/>
    <w:rsid w:val="003B2412"/>
    <w:rsid w:val="003B2579"/>
    <w:rsid w:val="003B2772"/>
    <w:rsid w:val="003B27A4"/>
    <w:rsid w:val="003B28DE"/>
    <w:rsid w:val="003B2DCA"/>
    <w:rsid w:val="003B3402"/>
    <w:rsid w:val="003B341F"/>
    <w:rsid w:val="003B3628"/>
    <w:rsid w:val="003B3748"/>
    <w:rsid w:val="003B3862"/>
    <w:rsid w:val="003B3A37"/>
    <w:rsid w:val="003B3C0B"/>
    <w:rsid w:val="003B3D2F"/>
    <w:rsid w:val="003B3D6F"/>
    <w:rsid w:val="003B3EC0"/>
    <w:rsid w:val="003B3FAA"/>
    <w:rsid w:val="003B43C0"/>
    <w:rsid w:val="003B4443"/>
    <w:rsid w:val="003B452E"/>
    <w:rsid w:val="003B4686"/>
    <w:rsid w:val="003B472F"/>
    <w:rsid w:val="003B4BCD"/>
    <w:rsid w:val="003B4CAB"/>
    <w:rsid w:val="003B4E96"/>
    <w:rsid w:val="003B4FA0"/>
    <w:rsid w:val="003B533F"/>
    <w:rsid w:val="003B53D9"/>
    <w:rsid w:val="003B54DB"/>
    <w:rsid w:val="003B55F3"/>
    <w:rsid w:val="003B5A07"/>
    <w:rsid w:val="003B5E12"/>
    <w:rsid w:val="003B61FA"/>
    <w:rsid w:val="003B6414"/>
    <w:rsid w:val="003B64A3"/>
    <w:rsid w:val="003B66A6"/>
    <w:rsid w:val="003B6997"/>
    <w:rsid w:val="003B69D2"/>
    <w:rsid w:val="003B6BD7"/>
    <w:rsid w:val="003B6DC5"/>
    <w:rsid w:val="003B707A"/>
    <w:rsid w:val="003B724E"/>
    <w:rsid w:val="003B7887"/>
    <w:rsid w:val="003B7B3D"/>
    <w:rsid w:val="003B7B63"/>
    <w:rsid w:val="003C01BA"/>
    <w:rsid w:val="003C03FD"/>
    <w:rsid w:val="003C0442"/>
    <w:rsid w:val="003C07F1"/>
    <w:rsid w:val="003C0CD2"/>
    <w:rsid w:val="003C0D05"/>
    <w:rsid w:val="003C137C"/>
    <w:rsid w:val="003C13DA"/>
    <w:rsid w:val="003C19A0"/>
    <w:rsid w:val="003C1B43"/>
    <w:rsid w:val="003C1D6C"/>
    <w:rsid w:val="003C21B3"/>
    <w:rsid w:val="003C21F1"/>
    <w:rsid w:val="003C2304"/>
    <w:rsid w:val="003C27B3"/>
    <w:rsid w:val="003C2AB7"/>
    <w:rsid w:val="003C2E65"/>
    <w:rsid w:val="003C2F8F"/>
    <w:rsid w:val="003C3145"/>
    <w:rsid w:val="003C31EE"/>
    <w:rsid w:val="003C3488"/>
    <w:rsid w:val="003C37D0"/>
    <w:rsid w:val="003C3B77"/>
    <w:rsid w:val="003C3BA1"/>
    <w:rsid w:val="003C3BA8"/>
    <w:rsid w:val="003C3CF4"/>
    <w:rsid w:val="003C3E49"/>
    <w:rsid w:val="003C40AE"/>
    <w:rsid w:val="003C4124"/>
    <w:rsid w:val="003C46BC"/>
    <w:rsid w:val="003C47DA"/>
    <w:rsid w:val="003C47F4"/>
    <w:rsid w:val="003C501A"/>
    <w:rsid w:val="003C53F3"/>
    <w:rsid w:val="003C540A"/>
    <w:rsid w:val="003C543F"/>
    <w:rsid w:val="003C549E"/>
    <w:rsid w:val="003C57CF"/>
    <w:rsid w:val="003C589E"/>
    <w:rsid w:val="003C5B6A"/>
    <w:rsid w:val="003C5DD1"/>
    <w:rsid w:val="003C608F"/>
    <w:rsid w:val="003C6260"/>
    <w:rsid w:val="003C6383"/>
    <w:rsid w:val="003C63A1"/>
    <w:rsid w:val="003C654C"/>
    <w:rsid w:val="003C6716"/>
    <w:rsid w:val="003C6860"/>
    <w:rsid w:val="003C69CD"/>
    <w:rsid w:val="003C6A5C"/>
    <w:rsid w:val="003C6B83"/>
    <w:rsid w:val="003C7005"/>
    <w:rsid w:val="003C7016"/>
    <w:rsid w:val="003C78CA"/>
    <w:rsid w:val="003C7915"/>
    <w:rsid w:val="003C7E28"/>
    <w:rsid w:val="003C7F07"/>
    <w:rsid w:val="003C7FB6"/>
    <w:rsid w:val="003D0254"/>
    <w:rsid w:val="003D059A"/>
    <w:rsid w:val="003D0668"/>
    <w:rsid w:val="003D0830"/>
    <w:rsid w:val="003D0A33"/>
    <w:rsid w:val="003D0D1C"/>
    <w:rsid w:val="003D0E94"/>
    <w:rsid w:val="003D0FDF"/>
    <w:rsid w:val="003D13BC"/>
    <w:rsid w:val="003D1493"/>
    <w:rsid w:val="003D14B3"/>
    <w:rsid w:val="003D1BCF"/>
    <w:rsid w:val="003D1CE7"/>
    <w:rsid w:val="003D1DD2"/>
    <w:rsid w:val="003D22CB"/>
    <w:rsid w:val="003D2401"/>
    <w:rsid w:val="003D2431"/>
    <w:rsid w:val="003D2614"/>
    <w:rsid w:val="003D270F"/>
    <w:rsid w:val="003D28EC"/>
    <w:rsid w:val="003D2A7A"/>
    <w:rsid w:val="003D2A94"/>
    <w:rsid w:val="003D2C69"/>
    <w:rsid w:val="003D2D2E"/>
    <w:rsid w:val="003D2EB1"/>
    <w:rsid w:val="003D2ED0"/>
    <w:rsid w:val="003D34A3"/>
    <w:rsid w:val="003D3A64"/>
    <w:rsid w:val="003D3CA2"/>
    <w:rsid w:val="003D3DE4"/>
    <w:rsid w:val="003D3E5D"/>
    <w:rsid w:val="003D402A"/>
    <w:rsid w:val="003D403E"/>
    <w:rsid w:val="003D411E"/>
    <w:rsid w:val="003D43A3"/>
    <w:rsid w:val="003D46FA"/>
    <w:rsid w:val="003D4715"/>
    <w:rsid w:val="003D4A18"/>
    <w:rsid w:val="003D536B"/>
    <w:rsid w:val="003D604A"/>
    <w:rsid w:val="003D6179"/>
    <w:rsid w:val="003D6367"/>
    <w:rsid w:val="003D6981"/>
    <w:rsid w:val="003D6988"/>
    <w:rsid w:val="003D6A6A"/>
    <w:rsid w:val="003D6BCD"/>
    <w:rsid w:val="003D6D0B"/>
    <w:rsid w:val="003D6D1D"/>
    <w:rsid w:val="003D6D75"/>
    <w:rsid w:val="003D6F2C"/>
    <w:rsid w:val="003D7119"/>
    <w:rsid w:val="003D74CA"/>
    <w:rsid w:val="003D7630"/>
    <w:rsid w:val="003D7834"/>
    <w:rsid w:val="003D7933"/>
    <w:rsid w:val="003D7A58"/>
    <w:rsid w:val="003E0092"/>
    <w:rsid w:val="003E00BC"/>
    <w:rsid w:val="003E019F"/>
    <w:rsid w:val="003E0980"/>
    <w:rsid w:val="003E0EEA"/>
    <w:rsid w:val="003E0F09"/>
    <w:rsid w:val="003E123E"/>
    <w:rsid w:val="003E127E"/>
    <w:rsid w:val="003E14EA"/>
    <w:rsid w:val="003E17B7"/>
    <w:rsid w:val="003E1BFF"/>
    <w:rsid w:val="003E1E60"/>
    <w:rsid w:val="003E1F26"/>
    <w:rsid w:val="003E2309"/>
    <w:rsid w:val="003E2374"/>
    <w:rsid w:val="003E2476"/>
    <w:rsid w:val="003E2B79"/>
    <w:rsid w:val="003E30E4"/>
    <w:rsid w:val="003E331B"/>
    <w:rsid w:val="003E33FF"/>
    <w:rsid w:val="003E371B"/>
    <w:rsid w:val="003E3B70"/>
    <w:rsid w:val="003E3D09"/>
    <w:rsid w:val="003E3D54"/>
    <w:rsid w:val="003E3E71"/>
    <w:rsid w:val="003E3EE5"/>
    <w:rsid w:val="003E3FB6"/>
    <w:rsid w:val="003E416D"/>
    <w:rsid w:val="003E41E9"/>
    <w:rsid w:val="003E4329"/>
    <w:rsid w:val="003E433A"/>
    <w:rsid w:val="003E4346"/>
    <w:rsid w:val="003E46BC"/>
    <w:rsid w:val="003E487B"/>
    <w:rsid w:val="003E4884"/>
    <w:rsid w:val="003E489A"/>
    <w:rsid w:val="003E4F47"/>
    <w:rsid w:val="003E5323"/>
    <w:rsid w:val="003E5338"/>
    <w:rsid w:val="003E56D0"/>
    <w:rsid w:val="003E57AA"/>
    <w:rsid w:val="003E59B1"/>
    <w:rsid w:val="003E5BC1"/>
    <w:rsid w:val="003E6133"/>
    <w:rsid w:val="003E615E"/>
    <w:rsid w:val="003E618C"/>
    <w:rsid w:val="003E6205"/>
    <w:rsid w:val="003E62B4"/>
    <w:rsid w:val="003E635B"/>
    <w:rsid w:val="003E63A7"/>
    <w:rsid w:val="003E646A"/>
    <w:rsid w:val="003E65A4"/>
    <w:rsid w:val="003E67AA"/>
    <w:rsid w:val="003E69D8"/>
    <w:rsid w:val="003E6A2F"/>
    <w:rsid w:val="003E6B26"/>
    <w:rsid w:val="003E6D12"/>
    <w:rsid w:val="003E6E63"/>
    <w:rsid w:val="003E709B"/>
    <w:rsid w:val="003E748C"/>
    <w:rsid w:val="003E7A5D"/>
    <w:rsid w:val="003E7BA8"/>
    <w:rsid w:val="003E7CB9"/>
    <w:rsid w:val="003E7E1F"/>
    <w:rsid w:val="003E7E38"/>
    <w:rsid w:val="003E7E5E"/>
    <w:rsid w:val="003F00D1"/>
    <w:rsid w:val="003F01BA"/>
    <w:rsid w:val="003F081F"/>
    <w:rsid w:val="003F0CED"/>
    <w:rsid w:val="003F1092"/>
    <w:rsid w:val="003F1123"/>
    <w:rsid w:val="003F151C"/>
    <w:rsid w:val="003F156F"/>
    <w:rsid w:val="003F15B2"/>
    <w:rsid w:val="003F1626"/>
    <w:rsid w:val="003F16BE"/>
    <w:rsid w:val="003F199E"/>
    <w:rsid w:val="003F1ABC"/>
    <w:rsid w:val="003F1AE5"/>
    <w:rsid w:val="003F1E27"/>
    <w:rsid w:val="003F1E4D"/>
    <w:rsid w:val="003F1E6A"/>
    <w:rsid w:val="003F1F7C"/>
    <w:rsid w:val="003F1F9D"/>
    <w:rsid w:val="003F1FAF"/>
    <w:rsid w:val="003F2029"/>
    <w:rsid w:val="003F21E7"/>
    <w:rsid w:val="003F22C8"/>
    <w:rsid w:val="003F22FE"/>
    <w:rsid w:val="003F2609"/>
    <w:rsid w:val="003F2625"/>
    <w:rsid w:val="003F2648"/>
    <w:rsid w:val="003F2652"/>
    <w:rsid w:val="003F26EA"/>
    <w:rsid w:val="003F2A30"/>
    <w:rsid w:val="003F2ADC"/>
    <w:rsid w:val="003F2DE6"/>
    <w:rsid w:val="003F2EAD"/>
    <w:rsid w:val="003F2FF3"/>
    <w:rsid w:val="003F3400"/>
    <w:rsid w:val="003F3425"/>
    <w:rsid w:val="003F3689"/>
    <w:rsid w:val="003F3872"/>
    <w:rsid w:val="003F398A"/>
    <w:rsid w:val="003F39E9"/>
    <w:rsid w:val="003F3FB4"/>
    <w:rsid w:val="003F4458"/>
    <w:rsid w:val="003F4663"/>
    <w:rsid w:val="003F46CC"/>
    <w:rsid w:val="003F47B6"/>
    <w:rsid w:val="003F47C7"/>
    <w:rsid w:val="003F47E8"/>
    <w:rsid w:val="003F4BDF"/>
    <w:rsid w:val="003F4CC6"/>
    <w:rsid w:val="003F4EF6"/>
    <w:rsid w:val="003F4F4E"/>
    <w:rsid w:val="003F54F2"/>
    <w:rsid w:val="003F5555"/>
    <w:rsid w:val="003F560D"/>
    <w:rsid w:val="003F563A"/>
    <w:rsid w:val="003F5675"/>
    <w:rsid w:val="003F570E"/>
    <w:rsid w:val="003F5714"/>
    <w:rsid w:val="003F57F0"/>
    <w:rsid w:val="003F5B0A"/>
    <w:rsid w:val="003F5CC9"/>
    <w:rsid w:val="003F601B"/>
    <w:rsid w:val="003F619C"/>
    <w:rsid w:val="003F6481"/>
    <w:rsid w:val="003F6490"/>
    <w:rsid w:val="003F68EC"/>
    <w:rsid w:val="003F6931"/>
    <w:rsid w:val="003F6B5D"/>
    <w:rsid w:val="003F6BB4"/>
    <w:rsid w:val="003F6C77"/>
    <w:rsid w:val="003F6D5E"/>
    <w:rsid w:val="003F702C"/>
    <w:rsid w:val="003F7054"/>
    <w:rsid w:val="003F7174"/>
    <w:rsid w:val="003F7246"/>
    <w:rsid w:val="003F78D8"/>
    <w:rsid w:val="003F79DE"/>
    <w:rsid w:val="00400018"/>
    <w:rsid w:val="00400396"/>
    <w:rsid w:val="004007BE"/>
    <w:rsid w:val="00400BA3"/>
    <w:rsid w:val="00400C14"/>
    <w:rsid w:val="00400F53"/>
    <w:rsid w:val="00400F8F"/>
    <w:rsid w:val="00401331"/>
    <w:rsid w:val="004014B6"/>
    <w:rsid w:val="0040151D"/>
    <w:rsid w:val="00401782"/>
    <w:rsid w:val="004017D5"/>
    <w:rsid w:val="00401B5D"/>
    <w:rsid w:val="00401CC2"/>
    <w:rsid w:val="00401DF7"/>
    <w:rsid w:val="00402055"/>
    <w:rsid w:val="004022C2"/>
    <w:rsid w:val="004022F5"/>
    <w:rsid w:val="0040240F"/>
    <w:rsid w:val="0040250E"/>
    <w:rsid w:val="00402594"/>
    <w:rsid w:val="00402AEC"/>
    <w:rsid w:val="00402BC9"/>
    <w:rsid w:val="00402DAB"/>
    <w:rsid w:val="00402DAF"/>
    <w:rsid w:val="00402FA5"/>
    <w:rsid w:val="0040322F"/>
    <w:rsid w:val="00403325"/>
    <w:rsid w:val="00403423"/>
    <w:rsid w:val="00403625"/>
    <w:rsid w:val="00403769"/>
    <w:rsid w:val="00403841"/>
    <w:rsid w:val="00403CBC"/>
    <w:rsid w:val="00403D54"/>
    <w:rsid w:val="00403E7E"/>
    <w:rsid w:val="00403E96"/>
    <w:rsid w:val="0040420C"/>
    <w:rsid w:val="0040430A"/>
    <w:rsid w:val="004045E7"/>
    <w:rsid w:val="004045EB"/>
    <w:rsid w:val="0040487B"/>
    <w:rsid w:val="00404C58"/>
    <w:rsid w:val="00404F65"/>
    <w:rsid w:val="00405250"/>
    <w:rsid w:val="00405693"/>
    <w:rsid w:val="0040594A"/>
    <w:rsid w:val="00405A0B"/>
    <w:rsid w:val="00405AF6"/>
    <w:rsid w:val="00405B49"/>
    <w:rsid w:val="00405EE0"/>
    <w:rsid w:val="0040604F"/>
    <w:rsid w:val="00406284"/>
    <w:rsid w:val="0040644C"/>
    <w:rsid w:val="00406626"/>
    <w:rsid w:val="00406784"/>
    <w:rsid w:val="00406941"/>
    <w:rsid w:val="00406CAC"/>
    <w:rsid w:val="00406D8E"/>
    <w:rsid w:val="00406F30"/>
    <w:rsid w:val="00406FB0"/>
    <w:rsid w:val="0040720F"/>
    <w:rsid w:val="0040747F"/>
    <w:rsid w:val="004075BC"/>
    <w:rsid w:val="00407696"/>
    <w:rsid w:val="004076BF"/>
    <w:rsid w:val="00407709"/>
    <w:rsid w:val="00407810"/>
    <w:rsid w:val="0040782C"/>
    <w:rsid w:val="004078A7"/>
    <w:rsid w:val="004078E5"/>
    <w:rsid w:val="00407C98"/>
    <w:rsid w:val="00407EA4"/>
    <w:rsid w:val="00407F04"/>
    <w:rsid w:val="00410422"/>
    <w:rsid w:val="004104D4"/>
    <w:rsid w:val="00410532"/>
    <w:rsid w:val="004108DD"/>
    <w:rsid w:val="00410972"/>
    <w:rsid w:val="004109D8"/>
    <w:rsid w:val="00410A34"/>
    <w:rsid w:val="00410F60"/>
    <w:rsid w:val="00410F85"/>
    <w:rsid w:val="00411416"/>
    <w:rsid w:val="00411488"/>
    <w:rsid w:val="004114DE"/>
    <w:rsid w:val="004116C8"/>
    <w:rsid w:val="0041189A"/>
    <w:rsid w:val="00412099"/>
    <w:rsid w:val="00412140"/>
    <w:rsid w:val="00412196"/>
    <w:rsid w:val="004123DA"/>
    <w:rsid w:val="004123F1"/>
    <w:rsid w:val="0041267D"/>
    <w:rsid w:val="0041287F"/>
    <w:rsid w:val="004128D9"/>
    <w:rsid w:val="00412B06"/>
    <w:rsid w:val="00412B23"/>
    <w:rsid w:val="00412BD8"/>
    <w:rsid w:val="00413020"/>
    <w:rsid w:val="00413502"/>
    <w:rsid w:val="00413521"/>
    <w:rsid w:val="004135BE"/>
    <w:rsid w:val="00413632"/>
    <w:rsid w:val="004136ED"/>
    <w:rsid w:val="00413922"/>
    <w:rsid w:val="00413A1F"/>
    <w:rsid w:val="004140CC"/>
    <w:rsid w:val="004141AA"/>
    <w:rsid w:val="004146E6"/>
    <w:rsid w:val="00414A00"/>
    <w:rsid w:val="00414BCE"/>
    <w:rsid w:val="00414DE1"/>
    <w:rsid w:val="00415430"/>
    <w:rsid w:val="004154ED"/>
    <w:rsid w:val="00415606"/>
    <w:rsid w:val="004157EF"/>
    <w:rsid w:val="00415859"/>
    <w:rsid w:val="004158C3"/>
    <w:rsid w:val="00415AA1"/>
    <w:rsid w:val="00415E82"/>
    <w:rsid w:val="004160AF"/>
    <w:rsid w:val="0041618E"/>
    <w:rsid w:val="004163EA"/>
    <w:rsid w:val="00416582"/>
    <w:rsid w:val="004167C4"/>
    <w:rsid w:val="0041686E"/>
    <w:rsid w:val="00417221"/>
    <w:rsid w:val="00417322"/>
    <w:rsid w:val="004174CF"/>
    <w:rsid w:val="0041750C"/>
    <w:rsid w:val="00417523"/>
    <w:rsid w:val="00417751"/>
    <w:rsid w:val="00417C67"/>
    <w:rsid w:val="00417CF4"/>
    <w:rsid w:val="00417E0B"/>
    <w:rsid w:val="00417E90"/>
    <w:rsid w:val="0042024A"/>
    <w:rsid w:val="004202B3"/>
    <w:rsid w:val="00420494"/>
    <w:rsid w:val="004204E5"/>
    <w:rsid w:val="00420995"/>
    <w:rsid w:val="004209C5"/>
    <w:rsid w:val="00420ABF"/>
    <w:rsid w:val="00420EC8"/>
    <w:rsid w:val="00420ED5"/>
    <w:rsid w:val="004211A3"/>
    <w:rsid w:val="004212BD"/>
    <w:rsid w:val="004219C3"/>
    <w:rsid w:val="00421B56"/>
    <w:rsid w:val="00421B72"/>
    <w:rsid w:val="00421D28"/>
    <w:rsid w:val="00421E95"/>
    <w:rsid w:val="00421ECF"/>
    <w:rsid w:val="00421FDA"/>
    <w:rsid w:val="00422076"/>
    <w:rsid w:val="004220D5"/>
    <w:rsid w:val="004221D1"/>
    <w:rsid w:val="004222DE"/>
    <w:rsid w:val="00422400"/>
    <w:rsid w:val="00422B44"/>
    <w:rsid w:val="00422CAD"/>
    <w:rsid w:val="00422EEE"/>
    <w:rsid w:val="00422FE7"/>
    <w:rsid w:val="004232C6"/>
    <w:rsid w:val="00423503"/>
    <w:rsid w:val="004241EF"/>
    <w:rsid w:val="00424633"/>
    <w:rsid w:val="00424708"/>
    <w:rsid w:val="0042472E"/>
    <w:rsid w:val="0042498F"/>
    <w:rsid w:val="00424AE2"/>
    <w:rsid w:val="00424FAF"/>
    <w:rsid w:val="00424FB6"/>
    <w:rsid w:val="00425273"/>
    <w:rsid w:val="004253CC"/>
    <w:rsid w:val="0042547D"/>
    <w:rsid w:val="00425894"/>
    <w:rsid w:val="00425985"/>
    <w:rsid w:val="00425AC0"/>
    <w:rsid w:val="00425BB7"/>
    <w:rsid w:val="00425F05"/>
    <w:rsid w:val="00426337"/>
    <w:rsid w:val="004265B6"/>
    <w:rsid w:val="00426E10"/>
    <w:rsid w:val="00426F3D"/>
    <w:rsid w:val="00426F4F"/>
    <w:rsid w:val="004270ED"/>
    <w:rsid w:val="00427175"/>
    <w:rsid w:val="00427488"/>
    <w:rsid w:val="00427623"/>
    <w:rsid w:val="0042766A"/>
    <w:rsid w:val="00427A27"/>
    <w:rsid w:val="00427B6B"/>
    <w:rsid w:val="00427CF6"/>
    <w:rsid w:val="00427D20"/>
    <w:rsid w:val="00427D23"/>
    <w:rsid w:val="00427EC9"/>
    <w:rsid w:val="00427F2D"/>
    <w:rsid w:val="00427F43"/>
    <w:rsid w:val="0043041E"/>
    <w:rsid w:val="004304E9"/>
    <w:rsid w:val="004306CC"/>
    <w:rsid w:val="00430D3E"/>
    <w:rsid w:val="00430E25"/>
    <w:rsid w:val="00430F25"/>
    <w:rsid w:val="004311CF"/>
    <w:rsid w:val="0043130D"/>
    <w:rsid w:val="004314E9"/>
    <w:rsid w:val="00431664"/>
    <w:rsid w:val="00431693"/>
    <w:rsid w:val="00431C53"/>
    <w:rsid w:val="00431C86"/>
    <w:rsid w:val="00431EE7"/>
    <w:rsid w:val="00431F80"/>
    <w:rsid w:val="00432317"/>
    <w:rsid w:val="00432597"/>
    <w:rsid w:val="0043293B"/>
    <w:rsid w:val="00432A60"/>
    <w:rsid w:val="00432B71"/>
    <w:rsid w:val="00432C68"/>
    <w:rsid w:val="00432DED"/>
    <w:rsid w:val="00432E4D"/>
    <w:rsid w:val="004330F2"/>
    <w:rsid w:val="004333E8"/>
    <w:rsid w:val="0043340B"/>
    <w:rsid w:val="0043350C"/>
    <w:rsid w:val="0043378F"/>
    <w:rsid w:val="004338D4"/>
    <w:rsid w:val="004338F7"/>
    <w:rsid w:val="0043394E"/>
    <w:rsid w:val="00433ACC"/>
    <w:rsid w:val="00433C94"/>
    <w:rsid w:val="00433CC5"/>
    <w:rsid w:val="00433F27"/>
    <w:rsid w:val="00433F6C"/>
    <w:rsid w:val="004340C7"/>
    <w:rsid w:val="004343E4"/>
    <w:rsid w:val="00434681"/>
    <w:rsid w:val="00434991"/>
    <w:rsid w:val="00434A99"/>
    <w:rsid w:val="00434B1C"/>
    <w:rsid w:val="00434B36"/>
    <w:rsid w:val="00434C6A"/>
    <w:rsid w:val="00434D3E"/>
    <w:rsid w:val="00434EAC"/>
    <w:rsid w:val="00434F03"/>
    <w:rsid w:val="00434FE5"/>
    <w:rsid w:val="00434FEA"/>
    <w:rsid w:val="0043512D"/>
    <w:rsid w:val="004353A1"/>
    <w:rsid w:val="004355DE"/>
    <w:rsid w:val="0043577C"/>
    <w:rsid w:val="00435887"/>
    <w:rsid w:val="00435930"/>
    <w:rsid w:val="00435DE2"/>
    <w:rsid w:val="00435F7F"/>
    <w:rsid w:val="0043611D"/>
    <w:rsid w:val="004361EC"/>
    <w:rsid w:val="00436484"/>
    <w:rsid w:val="004364DB"/>
    <w:rsid w:val="0043661F"/>
    <w:rsid w:val="00436768"/>
    <w:rsid w:val="00436BBC"/>
    <w:rsid w:val="00436CE4"/>
    <w:rsid w:val="00436EB5"/>
    <w:rsid w:val="0043700F"/>
    <w:rsid w:val="00437161"/>
    <w:rsid w:val="00437349"/>
    <w:rsid w:val="00437480"/>
    <w:rsid w:val="00437509"/>
    <w:rsid w:val="00437707"/>
    <w:rsid w:val="00437747"/>
    <w:rsid w:val="00437AE0"/>
    <w:rsid w:val="00437B67"/>
    <w:rsid w:val="0044004F"/>
    <w:rsid w:val="004401A3"/>
    <w:rsid w:val="00440502"/>
    <w:rsid w:val="004407BF"/>
    <w:rsid w:val="004409EB"/>
    <w:rsid w:val="00440A62"/>
    <w:rsid w:val="00440B06"/>
    <w:rsid w:val="00440B8F"/>
    <w:rsid w:val="00440C0A"/>
    <w:rsid w:val="0044122A"/>
    <w:rsid w:val="004414A3"/>
    <w:rsid w:val="004416F1"/>
    <w:rsid w:val="0044171C"/>
    <w:rsid w:val="00441A1C"/>
    <w:rsid w:val="00441A59"/>
    <w:rsid w:val="00441A90"/>
    <w:rsid w:val="00441C50"/>
    <w:rsid w:val="00441C8F"/>
    <w:rsid w:val="00441DA3"/>
    <w:rsid w:val="00441F19"/>
    <w:rsid w:val="00441FD1"/>
    <w:rsid w:val="00442215"/>
    <w:rsid w:val="00442299"/>
    <w:rsid w:val="004423BE"/>
    <w:rsid w:val="0044240B"/>
    <w:rsid w:val="00442434"/>
    <w:rsid w:val="004424E7"/>
    <w:rsid w:val="00442507"/>
    <w:rsid w:val="00442520"/>
    <w:rsid w:val="0044252B"/>
    <w:rsid w:val="00442991"/>
    <w:rsid w:val="00442AE1"/>
    <w:rsid w:val="00442EBE"/>
    <w:rsid w:val="00442F43"/>
    <w:rsid w:val="004430E2"/>
    <w:rsid w:val="00443482"/>
    <w:rsid w:val="00443534"/>
    <w:rsid w:val="00443576"/>
    <w:rsid w:val="00443584"/>
    <w:rsid w:val="00443618"/>
    <w:rsid w:val="00443860"/>
    <w:rsid w:val="00443967"/>
    <w:rsid w:val="00443CAC"/>
    <w:rsid w:val="00444188"/>
    <w:rsid w:val="004441DD"/>
    <w:rsid w:val="00444222"/>
    <w:rsid w:val="0044434C"/>
    <w:rsid w:val="0044448F"/>
    <w:rsid w:val="00444631"/>
    <w:rsid w:val="0044485E"/>
    <w:rsid w:val="00444BD4"/>
    <w:rsid w:val="00444C12"/>
    <w:rsid w:val="00444CCF"/>
    <w:rsid w:val="00444DF0"/>
    <w:rsid w:val="00444F23"/>
    <w:rsid w:val="004450CF"/>
    <w:rsid w:val="004450EC"/>
    <w:rsid w:val="0044522A"/>
    <w:rsid w:val="00445341"/>
    <w:rsid w:val="0044540A"/>
    <w:rsid w:val="004458FD"/>
    <w:rsid w:val="0044592F"/>
    <w:rsid w:val="00445937"/>
    <w:rsid w:val="004459CD"/>
    <w:rsid w:val="00445B53"/>
    <w:rsid w:val="00445D68"/>
    <w:rsid w:val="00445EC3"/>
    <w:rsid w:val="00446105"/>
    <w:rsid w:val="00446110"/>
    <w:rsid w:val="00446366"/>
    <w:rsid w:val="0044656C"/>
    <w:rsid w:val="004466A0"/>
    <w:rsid w:val="004466AA"/>
    <w:rsid w:val="004466B9"/>
    <w:rsid w:val="00446888"/>
    <w:rsid w:val="00446A5B"/>
    <w:rsid w:val="00446DCB"/>
    <w:rsid w:val="004473D3"/>
    <w:rsid w:val="0044754D"/>
    <w:rsid w:val="004475F7"/>
    <w:rsid w:val="0044765A"/>
    <w:rsid w:val="00447859"/>
    <w:rsid w:val="00447AE6"/>
    <w:rsid w:val="00447C9A"/>
    <w:rsid w:val="004501C9"/>
    <w:rsid w:val="004502F4"/>
    <w:rsid w:val="00450349"/>
    <w:rsid w:val="0045092F"/>
    <w:rsid w:val="00450AF6"/>
    <w:rsid w:val="00450B80"/>
    <w:rsid w:val="00450E10"/>
    <w:rsid w:val="00450E3A"/>
    <w:rsid w:val="00450F9F"/>
    <w:rsid w:val="0045122E"/>
    <w:rsid w:val="0045124C"/>
    <w:rsid w:val="00451559"/>
    <w:rsid w:val="00451A43"/>
    <w:rsid w:val="00451D17"/>
    <w:rsid w:val="00451FDE"/>
    <w:rsid w:val="0045203C"/>
    <w:rsid w:val="004520F7"/>
    <w:rsid w:val="00452501"/>
    <w:rsid w:val="00452729"/>
    <w:rsid w:val="00452743"/>
    <w:rsid w:val="00452D15"/>
    <w:rsid w:val="00452ED3"/>
    <w:rsid w:val="0045310F"/>
    <w:rsid w:val="00453384"/>
    <w:rsid w:val="004533D4"/>
    <w:rsid w:val="0045356D"/>
    <w:rsid w:val="0045371E"/>
    <w:rsid w:val="00453B7B"/>
    <w:rsid w:val="00453DD2"/>
    <w:rsid w:val="00453E28"/>
    <w:rsid w:val="004540D3"/>
    <w:rsid w:val="004542EB"/>
    <w:rsid w:val="004545D6"/>
    <w:rsid w:val="004547AA"/>
    <w:rsid w:val="004548E0"/>
    <w:rsid w:val="0045492E"/>
    <w:rsid w:val="00454A37"/>
    <w:rsid w:val="00454BF2"/>
    <w:rsid w:val="00454CAA"/>
    <w:rsid w:val="00454D2D"/>
    <w:rsid w:val="00454DFE"/>
    <w:rsid w:val="00454F56"/>
    <w:rsid w:val="0045534A"/>
    <w:rsid w:val="0045561A"/>
    <w:rsid w:val="004557BA"/>
    <w:rsid w:val="0045590A"/>
    <w:rsid w:val="004559D6"/>
    <w:rsid w:val="00455B40"/>
    <w:rsid w:val="00455BFA"/>
    <w:rsid w:val="00455C05"/>
    <w:rsid w:val="00455EC4"/>
    <w:rsid w:val="004561EC"/>
    <w:rsid w:val="004565D6"/>
    <w:rsid w:val="004566D6"/>
    <w:rsid w:val="004569F3"/>
    <w:rsid w:val="00456A22"/>
    <w:rsid w:val="00456A39"/>
    <w:rsid w:val="00456B27"/>
    <w:rsid w:val="00456DA5"/>
    <w:rsid w:val="004570B0"/>
    <w:rsid w:val="0045711C"/>
    <w:rsid w:val="0045713E"/>
    <w:rsid w:val="00457177"/>
    <w:rsid w:val="004572EC"/>
    <w:rsid w:val="004574E8"/>
    <w:rsid w:val="004576D1"/>
    <w:rsid w:val="0045775D"/>
    <w:rsid w:val="004578A9"/>
    <w:rsid w:val="00457C62"/>
    <w:rsid w:val="00457E9D"/>
    <w:rsid w:val="00457FB7"/>
    <w:rsid w:val="00460158"/>
    <w:rsid w:val="0046015C"/>
    <w:rsid w:val="004601DA"/>
    <w:rsid w:val="00460251"/>
    <w:rsid w:val="00460387"/>
    <w:rsid w:val="004604AC"/>
    <w:rsid w:val="00460528"/>
    <w:rsid w:val="0046062C"/>
    <w:rsid w:val="00460C0E"/>
    <w:rsid w:val="00461063"/>
    <w:rsid w:val="004611D2"/>
    <w:rsid w:val="004613D9"/>
    <w:rsid w:val="004617F4"/>
    <w:rsid w:val="00461B0F"/>
    <w:rsid w:val="00461CA4"/>
    <w:rsid w:val="00461CB7"/>
    <w:rsid w:val="00461CC5"/>
    <w:rsid w:val="00461E14"/>
    <w:rsid w:val="0046203C"/>
    <w:rsid w:val="00462050"/>
    <w:rsid w:val="004621D4"/>
    <w:rsid w:val="0046233F"/>
    <w:rsid w:val="004626D6"/>
    <w:rsid w:val="00462DD4"/>
    <w:rsid w:val="00462E96"/>
    <w:rsid w:val="004630A8"/>
    <w:rsid w:val="004632D0"/>
    <w:rsid w:val="0046346C"/>
    <w:rsid w:val="0046377B"/>
    <w:rsid w:val="0046393B"/>
    <w:rsid w:val="004639EB"/>
    <w:rsid w:val="00463B1E"/>
    <w:rsid w:val="00463BB1"/>
    <w:rsid w:val="00463C38"/>
    <w:rsid w:val="00464023"/>
    <w:rsid w:val="00464201"/>
    <w:rsid w:val="004645FD"/>
    <w:rsid w:val="00464E53"/>
    <w:rsid w:val="00464EDE"/>
    <w:rsid w:val="00465297"/>
    <w:rsid w:val="004654AB"/>
    <w:rsid w:val="004654C1"/>
    <w:rsid w:val="00465819"/>
    <w:rsid w:val="0046584F"/>
    <w:rsid w:val="00465B67"/>
    <w:rsid w:val="00466013"/>
    <w:rsid w:val="004663A5"/>
    <w:rsid w:val="00466434"/>
    <w:rsid w:val="004664D9"/>
    <w:rsid w:val="00466743"/>
    <w:rsid w:val="00466C3A"/>
    <w:rsid w:val="00467220"/>
    <w:rsid w:val="004672F5"/>
    <w:rsid w:val="0046734A"/>
    <w:rsid w:val="004675C7"/>
    <w:rsid w:val="00467676"/>
    <w:rsid w:val="00467679"/>
    <w:rsid w:val="00467BE8"/>
    <w:rsid w:val="00467E40"/>
    <w:rsid w:val="00470086"/>
    <w:rsid w:val="00470090"/>
    <w:rsid w:val="0047072A"/>
    <w:rsid w:val="00470A0D"/>
    <w:rsid w:val="00470A99"/>
    <w:rsid w:val="00470F3B"/>
    <w:rsid w:val="0047118A"/>
    <w:rsid w:val="004713FA"/>
    <w:rsid w:val="00471418"/>
    <w:rsid w:val="0047167F"/>
    <w:rsid w:val="00471867"/>
    <w:rsid w:val="004719D9"/>
    <w:rsid w:val="00471BDB"/>
    <w:rsid w:val="00471D58"/>
    <w:rsid w:val="00471EDF"/>
    <w:rsid w:val="00472598"/>
    <w:rsid w:val="004727DD"/>
    <w:rsid w:val="00472A4F"/>
    <w:rsid w:val="00472A9C"/>
    <w:rsid w:val="00472CF6"/>
    <w:rsid w:val="00472E6F"/>
    <w:rsid w:val="00472F16"/>
    <w:rsid w:val="004731B1"/>
    <w:rsid w:val="004731EB"/>
    <w:rsid w:val="004732ED"/>
    <w:rsid w:val="00473401"/>
    <w:rsid w:val="00473553"/>
    <w:rsid w:val="004735CD"/>
    <w:rsid w:val="004737DF"/>
    <w:rsid w:val="00473C0A"/>
    <w:rsid w:val="004744E6"/>
    <w:rsid w:val="0047480F"/>
    <w:rsid w:val="00474CAD"/>
    <w:rsid w:val="00474EB9"/>
    <w:rsid w:val="00474F16"/>
    <w:rsid w:val="004753CC"/>
    <w:rsid w:val="004753DA"/>
    <w:rsid w:val="0047553A"/>
    <w:rsid w:val="0047578E"/>
    <w:rsid w:val="004757EA"/>
    <w:rsid w:val="0047584C"/>
    <w:rsid w:val="00475870"/>
    <w:rsid w:val="00475BDB"/>
    <w:rsid w:val="00475EA3"/>
    <w:rsid w:val="00476580"/>
    <w:rsid w:val="00476593"/>
    <w:rsid w:val="00476715"/>
    <w:rsid w:val="00476A8B"/>
    <w:rsid w:val="00476AEC"/>
    <w:rsid w:val="00476B40"/>
    <w:rsid w:val="00476B65"/>
    <w:rsid w:val="00476BBD"/>
    <w:rsid w:val="00476F39"/>
    <w:rsid w:val="004772B9"/>
    <w:rsid w:val="00477330"/>
    <w:rsid w:val="00477339"/>
    <w:rsid w:val="0047734F"/>
    <w:rsid w:val="004775FC"/>
    <w:rsid w:val="004776B5"/>
    <w:rsid w:val="0047771E"/>
    <w:rsid w:val="00477A7A"/>
    <w:rsid w:val="00477AC1"/>
    <w:rsid w:val="00477F5A"/>
    <w:rsid w:val="004800D6"/>
    <w:rsid w:val="004801B6"/>
    <w:rsid w:val="00480370"/>
    <w:rsid w:val="00480712"/>
    <w:rsid w:val="00480960"/>
    <w:rsid w:val="00480CBC"/>
    <w:rsid w:val="00480D82"/>
    <w:rsid w:val="00480EEC"/>
    <w:rsid w:val="00480F7F"/>
    <w:rsid w:val="00481156"/>
    <w:rsid w:val="004811A3"/>
    <w:rsid w:val="00481741"/>
    <w:rsid w:val="00481A3A"/>
    <w:rsid w:val="00481BC1"/>
    <w:rsid w:val="004820C5"/>
    <w:rsid w:val="00482390"/>
    <w:rsid w:val="004823C3"/>
    <w:rsid w:val="004823F3"/>
    <w:rsid w:val="0048257B"/>
    <w:rsid w:val="00482940"/>
    <w:rsid w:val="00482A50"/>
    <w:rsid w:val="00483095"/>
    <w:rsid w:val="004831FB"/>
    <w:rsid w:val="00483256"/>
    <w:rsid w:val="004839CE"/>
    <w:rsid w:val="00483B16"/>
    <w:rsid w:val="00483B3D"/>
    <w:rsid w:val="00483B8E"/>
    <w:rsid w:val="00483F46"/>
    <w:rsid w:val="004840E3"/>
    <w:rsid w:val="00484642"/>
    <w:rsid w:val="004847B0"/>
    <w:rsid w:val="00484845"/>
    <w:rsid w:val="0048487E"/>
    <w:rsid w:val="00484932"/>
    <w:rsid w:val="004849B0"/>
    <w:rsid w:val="00484D0B"/>
    <w:rsid w:val="00484D65"/>
    <w:rsid w:val="00484E06"/>
    <w:rsid w:val="00484F60"/>
    <w:rsid w:val="0048554D"/>
    <w:rsid w:val="004856E0"/>
    <w:rsid w:val="00485749"/>
    <w:rsid w:val="00485774"/>
    <w:rsid w:val="00485A9A"/>
    <w:rsid w:val="00485B37"/>
    <w:rsid w:val="00485B8D"/>
    <w:rsid w:val="00485F68"/>
    <w:rsid w:val="0048600E"/>
    <w:rsid w:val="0048629F"/>
    <w:rsid w:val="0048647D"/>
    <w:rsid w:val="0048660B"/>
    <w:rsid w:val="0048660D"/>
    <w:rsid w:val="00486955"/>
    <w:rsid w:val="004869D6"/>
    <w:rsid w:val="00486F38"/>
    <w:rsid w:val="004870CF"/>
    <w:rsid w:val="00487251"/>
    <w:rsid w:val="004872CD"/>
    <w:rsid w:val="00487488"/>
    <w:rsid w:val="00487644"/>
    <w:rsid w:val="00487BCA"/>
    <w:rsid w:val="00487ED1"/>
    <w:rsid w:val="00487FDA"/>
    <w:rsid w:val="00490065"/>
    <w:rsid w:val="004900AD"/>
    <w:rsid w:val="00490490"/>
    <w:rsid w:val="004904B0"/>
    <w:rsid w:val="004904EC"/>
    <w:rsid w:val="0049064C"/>
    <w:rsid w:val="00490752"/>
    <w:rsid w:val="00490806"/>
    <w:rsid w:val="00490850"/>
    <w:rsid w:val="00490AF5"/>
    <w:rsid w:val="00490B14"/>
    <w:rsid w:val="00490B93"/>
    <w:rsid w:val="00490D96"/>
    <w:rsid w:val="00491020"/>
    <w:rsid w:val="004910A9"/>
    <w:rsid w:val="004910CA"/>
    <w:rsid w:val="004910F9"/>
    <w:rsid w:val="00491296"/>
    <w:rsid w:val="0049192B"/>
    <w:rsid w:val="00491C0A"/>
    <w:rsid w:val="00491F7E"/>
    <w:rsid w:val="00491FCF"/>
    <w:rsid w:val="00492511"/>
    <w:rsid w:val="004926ED"/>
    <w:rsid w:val="0049276E"/>
    <w:rsid w:val="00492961"/>
    <w:rsid w:val="00492B9E"/>
    <w:rsid w:val="00493253"/>
    <w:rsid w:val="00493344"/>
    <w:rsid w:val="00493559"/>
    <w:rsid w:val="00493580"/>
    <w:rsid w:val="00493637"/>
    <w:rsid w:val="00493916"/>
    <w:rsid w:val="00493990"/>
    <w:rsid w:val="00493B8E"/>
    <w:rsid w:val="00493BE7"/>
    <w:rsid w:val="00493C61"/>
    <w:rsid w:val="00493DE1"/>
    <w:rsid w:val="00493EA2"/>
    <w:rsid w:val="00493ED5"/>
    <w:rsid w:val="00493EF7"/>
    <w:rsid w:val="00493F14"/>
    <w:rsid w:val="004940C6"/>
    <w:rsid w:val="004940D2"/>
    <w:rsid w:val="004942D3"/>
    <w:rsid w:val="004942DC"/>
    <w:rsid w:val="004946FD"/>
    <w:rsid w:val="004947E6"/>
    <w:rsid w:val="00494994"/>
    <w:rsid w:val="00494B1D"/>
    <w:rsid w:val="00494C51"/>
    <w:rsid w:val="00494D1F"/>
    <w:rsid w:val="00494E87"/>
    <w:rsid w:val="004954C2"/>
    <w:rsid w:val="00495922"/>
    <w:rsid w:val="00495A3D"/>
    <w:rsid w:val="00495A62"/>
    <w:rsid w:val="00495A71"/>
    <w:rsid w:val="00495A89"/>
    <w:rsid w:val="00495B0C"/>
    <w:rsid w:val="00495B82"/>
    <w:rsid w:val="00495F09"/>
    <w:rsid w:val="00496206"/>
    <w:rsid w:val="00496260"/>
    <w:rsid w:val="00496293"/>
    <w:rsid w:val="00496381"/>
    <w:rsid w:val="00496C1F"/>
    <w:rsid w:val="0049713C"/>
    <w:rsid w:val="004972AD"/>
    <w:rsid w:val="00497308"/>
    <w:rsid w:val="004974AD"/>
    <w:rsid w:val="004975A7"/>
    <w:rsid w:val="004977B4"/>
    <w:rsid w:val="00497AB6"/>
    <w:rsid w:val="00497D63"/>
    <w:rsid w:val="00497EAD"/>
    <w:rsid w:val="004A009D"/>
    <w:rsid w:val="004A01D3"/>
    <w:rsid w:val="004A0326"/>
    <w:rsid w:val="004A07D9"/>
    <w:rsid w:val="004A0AC0"/>
    <w:rsid w:val="004A0D39"/>
    <w:rsid w:val="004A0DA8"/>
    <w:rsid w:val="004A0E2C"/>
    <w:rsid w:val="004A0ED7"/>
    <w:rsid w:val="004A1062"/>
    <w:rsid w:val="004A12FF"/>
    <w:rsid w:val="004A13B8"/>
    <w:rsid w:val="004A14DD"/>
    <w:rsid w:val="004A16FE"/>
    <w:rsid w:val="004A1703"/>
    <w:rsid w:val="004A17F3"/>
    <w:rsid w:val="004A195B"/>
    <w:rsid w:val="004A1DB5"/>
    <w:rsid w:val="004A23C2"/>
    <w:rsid w:val="004A272D"/>
    <w:rsid w:val="004A27E2"/>
    <w:rsid w:val="004A28FC"/>
    <w:rsid w:val="004A2A9C"/>
    <w:rsid w:val="004A3046"/>
    <w:rsid w:val="004A32B4"/>
    <w:rsid w:val="004A33EA"/>
    <w:rsid w:val="004A3586"/>
    <w:rsid w:val="004A37B9"/>
    <w:rsid w:val="004A3D9E"/>
    <w:rsid w:val="004A3EAD"/>
    <w:rsid w:val="004A4299"/>
    <w:rsid w:val="004A42BE"/>
    <w:rsid w:val="004A4354"/>
    <w:rsid w:val="004A44C5"/>
    <w:rsid w:val="004A4697"/>
    <w:rsid w:val="004A487B"/>
    <w:rsid w:val="004A48BD"/>
    <w:rsid w:val="004A4911"/>
    <w:rsid w:val="004A4C3C"/>
    <w:rsid w:val="004A4DA9"/>
    <w:rsid w:val="004A5044"/>
    <w:rsid w:val="004A5400"/>
    <w:rsid w:val="004A54F1"/>
    <w:rsid w:val="004A57D6"/>
    <w:rsid w:val="004A5DF2"/>
    <w:rsid w:val="004A5E80"/>
    <w:rsid w:val="004A5E8F"/>
    <w:rsid w:val="004A613D"/>
    <w:rsid w:val="004A62B9"/>
    <w:rsid w:val="004A631E"/>
    <w:rsid w:val="004A661D"/>
    <w:rsid w:val="004A67BF"/>
    <w:rsid w:val="004A6908"/>
    <w:rsid w:val="004A6B27"/>
    <w:rsid w:val="004A6F38"/>
    <w:rsid w:val="004A7090"/>
    <w:rsid w:val="004A7188"/>
    <w:rsid w:val="004A7279"/>
    <w:rsid w:val="004A7310"/>
    <w:rsid w:val="004A74B7"/>
    <w:rsid w:val="004A7509"/>
    <w:rsid w:val="004A7655"/>
    <w:rsid w:val="004A7749"/>
    <w:rsid w:val="004A7A55"/>
    <w:rsid w:val="004A7BEE"/>
    <w:rsid w:val="004A7C34"/>
    <w:rsid w:val="004A7C5B"/>
    <w:rsid w:val="004B0237"/>
    <w:rsid w:val="004B02F7"/>
    <w:rsid w:val="004B09B6"/>
    <w:rsid w:val="004B0A14"/>
    <w:rsid w:val="004B0BED"/>
    <w:rsid w:val="004B0DD7"/>
    <w:rsid w:val="004B1512"/>
    <w:rsid w:val="004B1658"/>
    <w:rsid w:val="004B1993"/>
    <w:rsid w:val="004B1A61"/>
    <w:rsid w:val="004B1B29"/>
    <w:rsid w:val="004B1B51"/>
    <w:rsid w:val="004B1C3F"/>
    <w:rsid w:val="004B1C6D"/>
    <w:rsid w:val="004B1D85"/>
    <w:rsid w:val="004B1DB2"/>
    <w:rsid w:val="004B2277"/>
    <w:rsid w:val="004B24B2"/>
    <w:rsid w:val="004B26AE"/>
    <w:rsid w:val="004B28E0"/>
    <w:rsid w:val="004B2A51"/>
    <w:rsid w:val="004B2A7F"/>
    <w:rsid w:val="004B2DD6"/>
    <w:rsid w:val="004B34D5"/>
    <w:rsid w:val="004B3591"/>
    <w:rsid w:val="004B394E"/>
    <w:rsid w:val="004B39FA"/>
    <w:rsid w:val="004B3BE6"/>
    <w:rsid w:val="004B3C3E"/>
    <w:rsid w:val="004B3F9D"/>
    <w:rsid w:val="004B4045"/>
    <w:rsid w:val="004B41D1"/>
    <w:rsid w:val="004B4453"/>
    <w:rsid w:val="004B456A"/>
    <w:rsid w:val="004B45F3"/>
    <w:rsid w:val="004B46F6"/>
    <w:rsid w:val="004B4839"/>
    <w:rsid w:val="004B4A6B"/>
    <w:rsid w:val="004B4C89"/>
    <w:rsid w:val="004B4CBB"/>
    <w:rsid w:val="004B4EF2"/>
    <w:rsid w:val="004B52AD"/>
    <w:rsid w:val="004B5347"/>
    <w:rsid w:val="004B55C4"/>
    <w:rsid w:val="004B5669"/>
    <w:rsid w:val="004B56CE"/>
    <w:rsid w:val="004B5843"/>
    <w:rsid w:val="004B584A"/>
    <w:rsid w:val="004B5A42"/>
    <w:rsid w:val="004B5F80"/>
    <w:rsid w:val="004B6166"/>
    <w:rsid w:val="004B616F"/>
    <w:rsid w:val="004B6214"/>
    <w:rsid w:val="004B63CF"/>
    <w:rsid w:val="004B64CD"/>
    <w:rsid w:val="004B6C39"/>
    <w:rsid w:val="004B6D4D"/>
    <w:rsid w:val="004B6D52"/>
    <w:rsid w:val="004B6E62"/>
    <w:rsid w:val="004B6F1A"/>
    <w:rsid w:val="004B7046"/>
    <w:rsid w:val="004B7428"/>
    <w:rsid w:val="004B7584"/>
    <w:rsid w:val="004B75F8"/>
    <w:rsid w:val="004B7E2B"/>
    <w:rsid w:val="004B7FF1"/>
    <w:rsid w:val="004C028D"/>
    <w:rsid w:val="004C0569"/>
    <w:rsid w:val="004C0574"/>
    <w:rsid w:val="004C0A44"/>
    <w:rsid w:val="004C0B34"/>
    <w:rsid w:val="004C0B4E"/>
    <w:rsid w:val="004C0E3F"/>
    <w:rsid w:val="004C16E5"/>
    <w:rsid w:val="004C1A44"/>
    <w:rsid w:val="004C1CB8"/>
    <w:rsid w:val="004C1D07"/>
    <w:rsid w:val="004C2044"/>
    <w:rsid w:val="004C2133"/>
    <w:rsid w:val="004C2275"/>
    <w:rsid w:val="004C24F9"/>
    <w:rsid w:val="004C2507"/>
    <w:rsid w:val="004C253A"/>
    <w:rsid w:val="004C2975"/>
    <w:rsid w:val="004C29C8"/>
    <w:rsid w:val="004C29CC"/>
    <w:rsid w:val="004C2C00"/>
    <w:rsid w:val="004C2C7B"/>
    <w:rsid w:val="004C2D6F"/>
    <w:rsid w:val="004C2E57"/>
    <w:rsid w:val="004C2EA1"/>
    <w:rsid w:val="004C2F28"/>
    <w:rsid w:val="004C3000"/>
    <w:rsid w:val="004C31DC"/>
    <w:rsid w:val="004C3334"/>
    <w:rsid w:val="004C3467"/>
    <w:rsid w:val="004C377D"/>
    <w:rsid w:val="004C3FDD"/>
    <w:rsid w:val="004C40C8"/>
    <w:rsid w:val="004C415B"/>
    <w:rsid w:val="004C44DA"/>
    <w:rsid w:val="004C45D5"/>
    <w:rsid w:val="004C46D0"/>
    <w:rsid w:val="004C4B6F"/>
    <w:rsid w:val="004C5239"/>
    <w:rsid w:val="004C5565"/>
    <w:rsid w:val="004C59D1"/>
    <w:rsid w:val="004C5ED8"/>
    <w:rsid w:val="004C5EF6"/>
    <w:rsid w:val="004C5F47"/>
    <w:rsid w:val="004C6158"/>
    <w:rsid w:val="004C6265"/>
    <w:rsid w:val="004C6311"/>
    <w:rsid w:val="004C6495"/>
    <w:rsid w:val="004C6624"/>
    <w:rsid w:val="004C666D"/>
    <w:rsid w:val="004C66ED"/>
    <w:rsid w:val="004C67F3"/>
    <w:rsid w:val="004C6803"/>
    <w:rsid w:val="004C6B75"/>
    <w:rsid w:val="004C6BB2"/>
    <w:rsid w:val="004C6D29"/>
    <w:rsid w:val="004C75DB"/>
    <w:rsid w:val="004C77D6"/>
    <w:rsid w:val="004C78E4"/>
    <w:rsid w:val="004C7940"/>
    <w:rsid w:val="004C79CD"/>
    <w:rsid w:val="004C7A5C"/>
    <w:rsid w:val="004C7AF0"/>
    <w:rsid w:val="004C7B3F"/>
    <w:rsid w:val="004C7C41"/>
    <w:rsid w:val="004C7CCF"/>
    <w:rsid w:val="004C7CF1"/>
    <w:rsid w:val="004C7EA8"/>
    <w:rsid w:val="004D019A"/>
    <w:rsid w:val="004D05A4"/>
    <w:rsid w:val="004D05FF"/>
    <w:rsid w:val="004D0688"/>
    <w:rsid w:val="004D1106"/>
    <w:rsid w:val="004D1159"/>
    <w:rsid w:val="004D11A1"/>
    <w:rsid w:val="004D1299"/>
    <w:rsid w:val="004D1338"/>
    <w:rsid w:val="004D1372"/>
    <w:rsid w:val="004D1A15"/>
    <w:rsid w:val="004D1A82"/>
    <w:rsid w:val="004D1B5E"/>
    <w:rsid w:val="004D1C55"/>
    <w:rsid w:val="004D1D2B"/>
    <w:rsid w:val="004D1E8B"/>
    <w:rsid w:val="004D1EC5"/>
    <w:rsid w:val="004D1F22"/>
    <w:rsid w:val="004D212D"/>
    <w:rsid w:val="004D24D3"/>
    <w:rsid w:val="004D252E"/>
    <w:rsid w:val="004D27B2"/>
    <w:rsid w:val="004D2C58"/>
    <w:rsid w:val="004D2CDE"/>
    <w:rsid w:val="004D2D70"/>
    <w:rsid w:val="004D31BA"/>
    <w:rsid w:val="004D32E3"/>
    <w:rsid w:val="004D3AEC"/>
    <w:rsid w:val="004D4099"/>
    <w:rsid w:val="004D4210"/>
    <w:rsid w:val="004D42E1"/>
    <w:rsid w:val="004D4449"/>
    <w:rsid w:val="004D44DA"/>
    <w:rsid w:val="004D4837"/>
    <w:rsid w:val="004D48BF"/>
    <w:rsid w:val="004D48DC"/>
    <w:rsid w:val="004D48E6"/>
    <w:rsid w:val="004D4A26"/>
    <w:rsid w:val="004D4E6F"/>
    <w:rsid w:val="004D5164"/>
    <w:rsid w:val="004D5189"/>
    <w:rsid w:val="004D51DB"/>
    <w:rsid w:val="004D51ED"/>
    <w:rsid w:val="004D56DE"/>
    <w:rsid w:val="004D5739"/>
    <w:rsid w:val="004D579D"/>
    <w:rsid w:val="004D5993"/>
    <w:rsid w:val="004D5D01"/>
    <w:rsid w:val="004D5F8C"/>
    <w:rsid w:val="004D5FFA"/>
    <w:rsid w:val="004D6759"/>
    <w:rsid w:val="004D67CB"/>
    <w:rsid w:val="004D69B7"/>
    <w:rsid w:val="004D6BFC"/>
    <w:rsid w:val="004D6D09"/>
    <w:rsid w:val="004D6EE9"/>
    <w:rsid w:val="004D7069"/>
    <w:rsid w:val="004D73CA"/>
    <w:rsid w:val="004D7435"/>
    <w:rsid w:val="004D7525"/>
    <w:rsid w:val="004D759C"/>
    <w:rsid w:val="004D75D7"/>
    <w:rsid w:val="004D7666"/>
    <w:rsid w:val="004D76CD"/>
    <w:rsid w:val="004D77C4"/>
    <w:rsid w:val="004D78EF"/>
    <w:rsid w:val="004D792E"/>
    <w:rsid w:val="004D7D4C"/>
    <w:rsid w:val="004D7EAA"/>
    <w:rsid w:val="004D7FDD"/>
    <w:rsid w:val="004E0180"/>
    <w:rsid w:val="004E02CF"/>
    <w:rsid w:val="004E03AD"/>
    <w:rsid w:val="004E04A7"/>
    <w:rsid w:val="004E04D9"/>
    <w:rsid w:val="004E066C"/>
    <w:rsid w:val="004E0BDE"/>
    <w:rsid w:val="004E0CCF"/>
    <w:rsid w:val="004E0CDF"/>
    <w:rsid w:val="004E10FB"/>
    <w:rsid w:val="004E130F"/>
    <w:rsid w:val="004E1359"/>
    <w:rsid w:val="004E13B0"/>
    <w:rsid w:val="004E1595"/>
    <w:rsid w:val="004E167E"/>
    <w:rsid w:val="004E16AF"/>
    <w:rsid w:val="004E1776"/>
    <w:rsid w:val="004E189C"/>
    <w:rsid w:val="004E1E8A"/>
    <w:rsid w:val="004E2237"/>
    <w:rsid w:val="004E24D4"/>
    <w:rsid w:val="004E253A"/>
    <w:rsid w:val="004E2595"/>
    <w:rsid w:val="004E2DAE"/>
    <w:rsid w:val="004E3039"/>
    <w:rsid w:val="004E347A"/>
    <w:rsid w:val="004E36EC"/>
    <w:rsid w:val="004E3AD0"/>
    <w:rsid w:val="004E3C91"/>
    <w:rsid w:val="004E3E23"/>
    <w:rsid w:val="004E423D"/>
    <w:rsid w:val="004E4461"/>
    <w:rsid w:val="004E448F"/>
    <w:rsid w:val="004E45B5"/>
    <w:rsid w:val="004E462A"/>
    <w:rsid w:val="004E4713"/>
    <w:rsid w:val="004E472F"/>
    <w:rsid w:val="004E4876"/>
    <w:rsid w:val="004E48CC"/>
    <w:rsid w:val="004E48FB"/>
    <w:rsid w:val="004E4DBE"/>
    <w:rsid w:val="004E5035"/>
    <w:rsid w:val="004E5037"/>
    <w:rsid w:val="004E5268"/>
    <w:rsid w:val="004E58C7"/>
    <w:rsid w:val="004E5ADC"/>
    <w:rsid w:val="004E5D53"/>
    <w:rsid w:val="004E5ECA"/>
    <w:rsid w:val="004E6054"/>
    <w:rsid w:val="004E61EB"/>
    <w:rsid w:val="004E61F6"/>
    <w:rsid w:val="004E6421"/>
    <w:rsid w:val="004E6427"/>
    <w:rsid w:val="004E670B"/>
    <w:rsid w:val="004E692F"/>
    <w:rsid w:val="004E6A9A"/>
    <w:rsid w:val="004E6E21"/>
    <w:rsid w:val="004E7061"/>
    <w:rsid w:val="004E74A1"/>
    <w:rsid w:val="004E75EC"/>
    <w:rsid w:val="004E76B8"/>
    <w:rsid w:val="004E7AEB"/>
    <w:rsid w:val="004E7C53"/>
    <w:rsid w:val="004E7F75"/>
    <w:rsid w:val="004F0034"/>
    <w:rsid w:val="004F00AA"/>
    <w:rsid w:val="004F027F"/>
    <w:rsid w:val="004F048F"/>
    <w:rsid w:val="004F04F2"/>
    <w:rsid w:val="004F0517"/>
    <w:rsid w:val="004F0886"/>
    <w:rsid w:val="004F09E3"/>
    <w:rsid w:val="004F0D9F"/>
    <w:rsid w:val="004F103E"/>
    <w:rsid w:val="004F13C8"/>
    <w:rsid w:val="004F157F"/>
    <w:rsid w:val="004F19E3"/>
    <w:rsid w:val="004F1C22"/>
    <w:rsid w:val="004F1EFE"/>
    <w:rsid w:val="004F1FA9"/>
    <w:rsid w:val="004F25CF"/>
    <w:rsid w:val="004F29B2"/>
    <w:rsid w:val="004F2BB6"/>
    <w:rsid w:val="004F2D27"/>
    <w:rsid w:val="004F2D9D"/>
    <w:rsid w:val="004F2E27"/>
    <w:rsid w:val="004F2E52"/>
    <w:rsid w:val="004F2F6A"/>
    <w:rsid w:val="004F35D7"/>
    <w:rsid w:val="004F3629"/>
    <w:rsid w:val="004F3986"/>
    <w:rsid w:val="004F3BE8"/>
    <w:rsid w:val="004F4011"/>
    <w:rsid w:val="004F440A"/>
    <w:rsid w:val="004F4578"/>
    <w:rsid w:val="004F45EC"/>
    <w:rsid w:val="004F46BF"/>
    <w:rsid w:val="004F47DF"/>
    <w:rsid w:val="004F494F"/>
    <w:rsid w:val="004F49AD"/>
    <w:rsid w:val="004F5016"/>
    <w:rsid w:val="004F58AB"/>
    <w:rsid w:val="004F5CC9"/>
    <w:rsid w:val="004F5CE6"/>
    <w:rsid w:val="004F61B8"/>
    <w:rsid w:val="004F6226"/>
    <w:rsid w:val="004F6454"/>
    <w:rsid w:val="004F6457"/>
    <w:rsid w:val="004F67C0"/>
    <w:rsid w:val="004F683B"/>
    <w:rsid w:val="004F6998"/>
    <w:rsid w:val="004F6B22"/>
    <w:rsid w:val="004F6BB0"/>
    <w:rsid w:val="004F6DD8"/>
    <w:rsid w:val="004F7057"/>
    <w:rsid w:val="004F70FF"/>
    <w:rsid w:val="004F73B2"/>
    <w:rsid w:val="004F7467"/>
    <w:rsid w:val="004F763B"/>
    <w:rsid w:val="004F7761"/>
    <w:rsid w:val="004F7D0D"/>
    <w:rsid w:val="004F7F23"/>
    <w:rsid w:val="0050002F"/>
    <w:rsid w:val="00500067"/>
    <w:rsid w:val="005002FC"/>
    <w:rsid w:val="00500366"/>
    <w:rsid w:val="0050048E"/>
    <w:rsid w:val="00500860"/>
    <w:rsid w:val="00500D0C"/>
    <w:rsid w:val="00500F49"/>
    <w:rsid w:val="00500FA0"/>
    <w:rsid w:val="005012AE"/>
    <w:rsid w:val="00501335"/>
    <w:rsid w:val="0050157A"/>
    <w:rsid w:val="00501668"/>
    <w:rsid w:val="00501683"/>
    <w:rsid w:val="005016A3"/>
    <w:rsid w:val="00501CEE"/>
    <w:rsid w:val="0050223E"/>
    <w:rsid w:val="00502266"/>
    <w:rsid w:val="005023E7"/>
    <w:rsid w:val="00502570"/>
    <w:rsid w:val="00502AFB"/>
    <w:rsid w:val="00502B9F"/>
    <w:rsid w:val="00502D7F"/>
    <w:rsid w:val="005030AC"/>
    <w:rsid w:val="00503867"/>
    <w:rsid w:val="0050391A"/>
    <w:rsid w:val="005039F7"/>
    <w:rsid w:val="00503AA8"/>
    <w:rsid w:val="00503CA5"/>
    <w:rsid w:val="00503D20"/>
    <w:rsid w:val="00503EE6"/>
    <w:rsid w:val="0050412E"/>
    <w:rsid w:val="00504500"/>
    <w:rsid w:val="005046B0"/>
    <w:rsid w:val="00504A1B"/>
    <w:rsid w:val="00504B16"/>
    <w:rsid w:val="00504BA5"/>
    <w:rsid w:val="00504BF5"/>
    <w:rsid w:val="00504CC3"/>
    <w:rsid w:val="00504D6A"/>
    <w:rsid w:val="00504E0F"/>
    <w:rsid w:val="00505D5D"/>
    <w:rsid w:val="00505E45"/>
    <w:rsid w:val="00506374"/>
    <w:rsid w:val="005065D4"/>
    <w:rsid w:val="005066B1"/>
    <w:rsid w:val="005067FE"/>
    <w:rsid w:val="00506BC2"/>
    <w:rsid w:val="00506F0F"/>
    <w:rsid w:val="00506F30"/>
    <w:rsid w:val="00507007"/>
    <w:rsid w:val="005071EE"/>
    <w:rsid w:val="00507255"/>
    <w:rsid w:val="00507349"/>
    <w:rsid w:val="00507574"/>
    <w:rsid w:val="00507739"/>
    <w:rsid w:val="00507A07"/>
    <w:rsid w:val="00507DD4"/>
    <w:rsid w:val="00507FFC"/>
    <w:rsid w:val="00510130"/>
    <w:rsid w:val="005101FD"/>
    <w:rsid w:val="00510273"/>
    <w:rsid w:val="00510304"/>
    <w:rsid w:val="0051058F"/>
    <w:rsid w:val="005108E2"/>
    <w:rsid w:val="00510936"/>
    <w:rsid w:val="00510C36"/>
    <w:rsid w:val="00510FA5"/>
    <w:rsid w:val="005110D5"/>
    <w:rsid w:val="00511122"/>
    <w:rsid w:val="00511157"/>
    <w:rsid w:val="0051137B"/>
    <w:rsid w:val="00511413"/>
    <w:rsid w:val="00511510"/>
    <w:rsid w:val="0051159B"/>
    <w:rsid w:val="00511639"/>
    <w:rsid w:val="00511665"/>
    <w:rsid w:val="00511676"/>
    <w:rsid w:val="0051182F"/>
    <w:rsid w:val="00511C36"/>
    <w:rsid w:val="00512191"/>
    <w:rsid w:val="005122C8"/>
    <w:rsid w:val="005123AE"/>
    <w:rsid w:val="005124F4"/>
    <w:rsid w:val="00512694"/>
    <w:rsid w:val="005129CE"/>
    <w:rsid w:val="00512F6C"/>
    <w:rsid w:val="00513390"/>
    <w:rsid w:val="00513573"/>
    <w:rsid w:val="0051360E"/>
    <w:rsid w:val="00513821"/>
    <w:rsid w:val="00513A78"/>
    <w:rsid w:val="00513CCF"/>
    <w:rsid w:val="00513E17"/>
    <w:rsid w:val="00513E4A"/>
    <w:rsid w:val="00513EB8"/>
    <w:rsid w:val="00513F1C"/>
    <w:rsid w:val="00513F82"/>
    <w:rsid w:val="00514071"/>
    <w:rsid w:val="00514498"/>
    <w:rsid w:val="00514923"/>
    <w:rsid w:val="00514999"/>
    <w:rsid w:val="00514A77"/>
    <w:rsid w:val="00514E35"/>
    <w:rsid w:val="00514E77"/>
    <w:rsid w:val="0051503D"/>
    <w:rsid w:val="005150FC"/>
    <w:rsid w:val="00515722"/>
    <w:rsid w:val="00515902"/>
    <w:rsid w:val="00515B80"/>
    <w:rsid w:val="00515E14"/>
    <w:rsid w:val="005163FF"/>
    <w:rsid w:val="005166C1"/>
    <w:rsid w:val="00516741"/>
    <w:rsid w:val="00516D60"/>
    <w:rsid w:val="00516EBD"/>
    <w:rsid w:val="00516F87"/>
    <w:rsid w:val="00517199"/>
    <w:rsid w:val="005172B0"/>
    <w:rsid w:val="005174E8"/>
    <w:rsid w:val="005174EB"/>
    <w:rsid w:val="005175B3"/>
    <w:rsid w:val="005175E8"/>
    <w:rsid w:val="005175ED"/>
    <w:rsid w:val="0051765B"/>
    <w:rsid w:val="005177B6"/>
    <w:rsid w:val="00517886"/>
    <w:rsid w:val="005178BF"/>
    <w:rsid w:val="00517931"/>
    <w:rsid w:val="005179F9"/>
    <w:rsid w:val="00517AE5"/>
    <w:rsid w:val="00517B87"/>
    <w:rsid w:val="00517DB4"/>
    <w:rsid w:val="00517DE9"/>
    <w:rsid w:val="00517E8C"/>
    <w:rsid w:val="00520042"/>
    <w:rsid w:val="00520230"/>
    <w:rsid w:val="0052025C"/>
    <w:rsid w:val="00520568"/>
    <w:rsid w:val="005205BA"/>
    <w:rsid w:val="00520863"/>
    <w:rsid w:val="00520BB3"/>
    <w:rsid w:val="00520BFB"/>
    <w:rsid w:val="00520C7A"/>
    <w:rsid w:val="00520E47"/>
    <w:rsid w:val="00520F72"/>
    <w:rsid w:val="005210FA"/>
    <w:rsid w:val="005210FF"/>
    <w:rsid w:val="0052114F"/>
    <w:rsid w:val="0052125B"/>
    <w:rsid w:val="005213C5"/>
    <w:rsid w:val="00521489"/>
    <w:rsid w:val="005215A2"/>
    <w:rsid w:val="005215F6"/>
    <w:rsid w:val="005216DB"/>
    <w:rsid w:val="00521873"/>
    <w:rsid w:val="005219A7"/>
    <w:rsid w:val="00521A92"/>
    <w:rsid w:val="00521B98"/>
    <w:rsid w:val="00521E6B"/>
    <w:rsid w:val="00522204"/>
    <w:rsid w:val="00522345"/>
    <w:rsid w:val="00522967"/>
    <w:rsid w:val="00522C4F"/>
    <w:rsid w:val="0052313B"/>
    <w:rsid w:val="0052323A"/>
    <w:rsid w:val="00523429"/>
    <w:rsid w:val="00523588"/>
    <w:rsid w:val="0052363F"/>
    <w:rsid w:val="00523822"/>
    <w:rsid w:val="00523A1E"/>
    <w:rsid w:val="00523B80"/>
    <w:rsid w:val="00523DFD"/>
    <w:rsid w:val="00523E29"/>
    <w:rsid w:val="00523E6C"/>
    <w:rsid w:val="005242E2"/>
    <w:rsid w:val="00524478"/>
    <w:rsid w:val="005244E1"/>
    <w:rsid w:val="0052499A"/>
    <w:rsid w:val="00524A4D"/>
    <w:rsid w:val="00524A5D"/>
    <w:rsid w:val="00524C3F"/>
    <w:rsid w:val="00524D5F"/>
    <w:rsid w:val="00524DA0"/>
    <w:rsid w:val="00525018"/>
    <w:rsid w:val="00525121"/>
    <w:rsid w:val="00525249"/>
    <w:rsid w:val="005254A6"/>
    <w:rsid w:val="005254BC"/>
    <w:rsid w:val="00525B48"/>
    <w:rsid w:val="00525F70"/>
    <w:rsid w:val="005261DC"/>
    <w:rsid w:val="00526219"/>
    <w:rsid w:val="005262E6"/>
    <w:rsid w:val="0052656F"/>
    <w:rsid w:val="0052658F"/>
    <w:rsid w:val="00526626"/>
    <w:rsid w:val="0052665C"/>
    <w:rsid w:val="005269CA"/>
    <w:rsid w:val="00526D05"/>
    <w:rsid w:val="00526F47"/>
    <w:rsid w:val="00527003"/>
    <w:rsid w:val="00527080"/>
    <w:rsid w:val="0052737B"/>
    <w:rsid w:val="00527598"/>
    <w:rsid w:val="00527632"/>
    <w:rsid w:val="0052772B"/>
    <w:rsid w:val="00527B87"/>
    <w:rsid w:val="00527C78"/>
    <w:rsid w:val="00527EA2"/>
    <w:rsid w:val="00527EAA"/>
    <w:rsid w:val="0053013A"/>
    <w:rsid w:val="0053037A"/>
    <w:rsid w:val="0053061F"/>
    <w:rsid w:val="0053092C"/>
    <w:rsid w:val="00530B0B"/>
    <w:rsid w:val="00530B3C"/>
    <w:rsid w:val="00530C16"/>
    <w:rsid w:val="00530DD6"/>
    <w:rsid w:val="00530DEE"/>
    <w:rsid w:val="00530F1B"/>
    <w:rsid w:val="00531359"/>
    <w:rsid w:val="005313AA"/>
    <w:rsid w:val="005313C7"/>
    <w:rsid w:val="00531574"/>
    <w:rsid w:val="005315A7"/>
    <w:rsid w:val="00531895"/>
    <w:rsid w:val="00531B7A"/>
    <w:rsid w:val="0053203C"/>
    <w:rsid w:val="005328D0"/>
    <w:rsid w:val="005332DE"/>
    <w:rsid w:val="00533826"/>
    <w:rsid w:val="00533BCA"/>
    <w:rsid w:val="00533D5D"/>
    <w:rsid w:val="0053408C"/>
    <w:rsid w:val="005340F0"/>
    <w:rsid w:val="005342AD"/>
    <w:rsid w:val="00534421"/>
    <w:rsid w:val="005347E8"/>
    <w:rsid w:val="00534B9B"/>
    <w:rsid w:val="00534C1C"/>
    <w:rsid w:val="00534C5A"/>
    <w:rsid w:val="00534D2B"/>
    <w:rsid w:val="00534EB7"/>
    <w:rsid w:val="00534F74"/>
    <w:rsid w:val="00535207"/>
    <w:rsid w:val="0053550D"/>
    <w:rsid w:val="00535627"/>
    <w:rsid w:val="00535870"/>
    <w:rsid w:val="00535B50"/>
    <w:rsid w:val="00535FA5"/>
    <w:rsid w:val="00536198"/>
    <w:rsid w:val="00536751"/>
    <w:rsid w:val="005369D4"/>
    <w:rsid w:val="00536A90"/>
    <w:rsid w:val="00536D39"/>
    <w:rsid w:val="00536D6A"/>
    <w:rsid w:val="00536F7E"/>
    <w:rsid w:val="00536FF8"/>
    <w:rsid w:val="00537093"/>
    <w:rsid w:val="00537B28"/>
    <w:rsid w:val="00537D1D"/>
    <w:rsid w:val="00540471"/>
    <w:rsid w:val="00540499"/>
    <w:rsid w:val="0054089E"/>
    <w:rsid w:val="00540913"/>
    <w:rsid w:val="00540925"/>
    <w:rsid w:val="005411C5"/>
    <w:rsid w:val="00541445"/>
    <w:rsid w:val="00541782"/>
    <w:rsid w:val="00541BE8"/>
    <w:rsid w:val="00541D55"/>
    <w:rsid w:val="00541D68"/>
    <w:rsid w:val="005421D8"/>
    <w:rsid w:val="005424F7"/>
    <w:rsid w:val="00542549"/>
    <w:rsid w:val="005425C4"/>
    <w:rsid w:val="0054266E"/>
    <w:rsid w:val="005426A1"/>
    <w:rsid w:val="00542714"/>
    <w:rsid w:val="005429E5"/>
    <w:rsid w:val="00542B9F"/>
    <w:rsid w:val="00542CE0"/>
    <w:rsid w:val="00542D3F"/>
    <w:rsid w:val="00543501"/>
    <w:rsid w:val="005438D7"/>
    <w:rsid w:val="00543922"/>
    <w:rsid w:val="0054396B"/>
    <w:rsid w:val="00543A26"/>
    <w:rsid w:val="00543B1A"/>
    <w:rsid w:val="00543BF9"/>
    <w:rsid w:val="00543DCD"/>
    <w:rsid w:val="00543FFF"/>
    <w:rsid w:val="005444D0"/>
    <w:rsid w:val="005446EC"/>
    <w:rsid w:val="00544928"/>
    <w:rsid w:val="00544946"/>
    <w:rsid w:val="00544D2D"/>
    <w:rsid w:val="00544DE3"/>
    <w:rsid w:val="00544EC4"/>
    <w:rsid w:val="00545006"/>
    <w:rsid w:val="00545183"/>
    <w:rsid w:val="00545285"/>
    <w:rsid w:val="00545619"/>
    <w:rsid w:val="0054572F"/>
    <w:rsid w:val="005457D9"/>
    <w:rsid w:val="005458EC"/>
    <w:rsid w:val="0054593E"/>
    <w:rsid w:val="00545ADC"/>
    <w:rsid w:val="00545CFE"/>
    <w:rsid w:val="00545D59"/>
    <w:rsid w:val="0054608A"/>
    <w:rsid w:val="005462D2"/>
    <w:rsid w:val="00546805"/>
    <w:rsid w:val="00546B84"/>
    <w:rsid w:val="00547099"/>
    <w:rsid w:val="00547188"/>
    <w:rsid w:val="00547449"/>
    <w:rsid w:val="00547511"/>
    <w:rsid w:val="0054759B"/>
    <w:rsid w:val="005476E5"/>
    <w:rsid w:val="005479F2"/>
    <w:rsid w:val="00547F65"/>
    <w:rsid w:val="00547F78"/>
    <w:rsid w:val="00550389"/>
    <w:rsid w:val="0055049B"/>
    <w:rsid w:val="00550618"/>
    <w:rsid w:val="005506FE"/>
    <w:rsid w:val="0055072C"/>
    <w:rsid w:val="00550738"/>
    <w:rsid w:val="00550BE6"/>
    <w:rsid w:val="00550C9F"/>
    <w:rsid w:val="00551259"/>
    <w:rsid w:val="005513B6"/>
    <w:rsid w:val="005513E4"/>
    <w:rsid w:val="005514C6"/>
    <w:rsid w:val="00551555"/>
    <w:rsid w:val="005515C6"/>
    <w:rsid w:val="00551655"/>
    <w:rsid w:val="00551795"/>
    <w:rsid w:val="005517EF"/>
    <w:rsid w:val="00551D8A"/>
    <w:rsid w:val="00551DAF"/>
    <w:rsid w:val="00551F61"/>
    <w:rsid w:val="005520F0"/>
    <w:rsid w:val="00552184"/>
    <w:rsid w:val="00552393"/>
    <w:rsid w:val="00552577"/>
    <w:rsid w:val="005527D7"/>
    <w:rsid w:val="005527F6"/>
    <w:rsid w:val="0055285C"/>
    <w:rsid w:val="00552879"/>
    <w:rsid w:val="00552B65"/>
    <w:rsid w:val="00552B6F"/>
    <w:rsid w:val="005530B0"/>
    <w:rsid w:val="005538B7"/>
    <w:rsid w:val="00553915"/>
    <w:rsid w:val="005539AF"/>
    <w:rsid w:val="00553BD7"/>
    <w:rsid w:val="00553FDE"/>
    <w:rsid w:val="00553FEB"/>
    <w:rsid w:val="0055410F"/>
    <w:rsid w:val="005544B1"/>
    <w:rsid w:val="005544EC"/>
    <w:rsid w:val="00554765"/>
    <w:rsid w:val="0055489A"/>
    <w:rsid w:val="0055489E"/>
    <w:rsid w:val="00555027"/>
    <w:rsid w:val="00555043"/>
    <w:rsid w:val="0055538E"/>
    <w:rsid w:val="00555399"/>
    <w:rsid w:val="005553CD"/>
    <w:rsid w:val="00555569"/>
    <w:rsid w:val="005555C3"/>
    <w:rsid w:val="00555AA5"/>
    <w:rsid w:val="00555E3C"/>
    <w:rsid w:val="00555FBB"/>
    <w:rsid w:val="00556236"/>
    <w:rsid w:val="00556389"/>
    <w:rsid w:val="0055640A"/>
    <w:rsid w:val="00556544"/>
    <w:rsid w:val="005566E8"/>
    <w:rsid w:val="005566EF"/>
    <w:rsid w:val="0055682C"/>
    <w:rsid w:val="0055689C"/>
    <w:rsid w:val="00556AB4"/>
    <w:rsid w:val="00556AF4"/>
    <w:rsid w:val="00556C0F"/>
    <w:rsid w:val="00556DBE"/>
    <w:rsid w:val="00557144"/>
    <w:rsid w:val="00557493"/>
    <w:rsid w:val="0055768D"/>
    <w:rsid w:val="005576EC"/>
    <w:rsid w:val="00557B1D"/>
    <w:rsid w:val="00557D82"/>
    <w:rsid w:val="00557E59"/>
    <w:rsid w:val="0056013B"/>
    <w:rsid w:val="005601CA"/>
    <w:rsid w:val="0056028B"/>
    <w:rsid w:val="0056034A"/>
    <w:rsid w:val="005604B4"/>
    <w:rsid w:val="0056055A"/>
    <w:rsid w:val="0056057C"/>
    <w:rsid w:val="005607A3"/>
    <w:rsid w:val="0056089A"/>
    <w:rsid w:val="00560D23"/>
    <w:rsid w:val="00560D34"/>
    <w:rsid w:val="0056111A"/>
    <w:rsid w:val="005616B6"/>
    <w:rsid w:val="00561733"/>
    <w:rsid w:val="00561800"/>
    <w:rsid w:val="00561882"/>
    <w:rsid w:val="00561972"/>
    <w:rsid w:val="005619C6"/>
    <w:rsid w:val="00561AEE"/>
    <w:rsid w:val="00561B4A"/>
    <w:rsid w:val="00561B64"/>
    <w:rsid w:val="00561FDC"/>
    <w:rsid w:val="0056230B"/>
    <w:rsid w:val="00562468"/>
    <w:rsid w:val="00562549"/>
    <w:rsid w:val="005629AF"/>
    <w:rsid w:val="00562B5B"/>
    <w:rsid w:val="00562DE7"/>
    <w:rsid w:val="00562E08"/>
    <w:rsid w:val="00562E68"/>
    <w:rsid w:val="00562E73"/>
    <w:rsid w:val="00562E99"/>
    <w:rsid w:val="00562FB8"/>
    <w:rsid w:val="00562FEC"/>
    <w:rsid w:val="00563085"/>
    <w:rsid w:val="0056308F"/>
    <w:rsid w:val="0056311B"/>
    <w:rsid w:val="00563196"/>
    <w:rsid w:val="0056332D"/>
    <w:rsid w:val="005635A5"/>
    <w:rsid w:val="00563659"/>
    <w:rsid w:val="0056393A"/>
    <w:rsid w:val="00563AE5"/>
    <w:rsid w:val="00564151"/>
    <w:rsid w:val="005644AF"/>
    <w:rsid w:val="00564648"/>
    <w:rsid w:val="005646F6"/>
    <w:rsid w:val="005648F9"/>
    <w:rsid w:val="00564A0E"/>
    <w:rsid w:val="00564E83"/>
    <w:rsid w:val="005650E1"/>
    <w:rsid w:val="00565107"/>
    <w:rsid w:val="0056568D"/>
    <w:rsid w:val="005657B1"/>
    <w:rsid w:val="00565820"/>
    <w:rsid w:val="00565BDC"/>
    <w:rsid w:val="00565C7D"/>
    <w:rsid w:val="00565D42"/>
    <w:rsid w:val="00565E88"/>
    <w:rsid w:val="005661B4"/>
    <w:rsid w:val="00566839"/>
    <w:rsid w:val="00566950"/>
    <w:rsid w:val="005669ED"/>
    <w:rsid w:val="00566A8C"/>
    <w:rsid w:val="0056702B"/>
    <w:rsid w:val="005671E5"/>
    <w:rsid w:val="005674EF"/>
    <w:rsid w:val="005676EE"/>
    <w:rsid w:val="0056784D"/>
    <w:rsid w:val="00567CAC"/>
    <w:rsid w:val="00567D22"/>
    <w:rsid w:val="00567D92"/>
    <w:rsid w:val="00567E2D"/>
    <w:rsid w:val="00570178"/>
    <w:rsid w:val="005702DC"/>
    <w:rsid w:val="005702F2"/>
    <w:rsid w:val="00570476"/>
    <w:rsid w:val="0057065B"/>
    <w:rsid w:val="00570919"/>
    <w:rsid w:val="00570989"/>
    <w:rsid w:val="00570DE0"/>
    <w:rsid w:val="00570F25"/>
    <w:rsid w:val="00571692"/>
    <w:rsid w:val="00571925"/>
    <w:rsid w:val="00571B21"/>
    <w:rsid w:val="005721A1"/>
    <w:rsid w:val="005721A5"/>
    <w:rsid w:val="00572721"/>
    <w:rsid w:val="00572A9A"/>
    <w:rsid w:val="00572B25"/>
    <w:rsid w:val="00572E12"/>
    <w:rsid w:val="00573235"/>
    <w:rsid w:val="005732E8"/>
    <w:rsid w:val="00573494"/>
    <w:rsid w:val="0057383E"/>
    <w:rsid w:val="005738BE"/>
    <w:rsid w:val="00573A9A"/>
    <w:rsid w:val="00573B04"/>
    <w:rsid w:val="00573DE5"/>
    <w:rsid w:val="00573EDA"/>
    <w:rsid w:val="00573F94"/>
    <w:rsid w:val="00573FCD"/>
    <w:rsid w:val="00573FDE"/>
    <w:rsid w:val="0057407C"/>
    <w:rsid w:val="00574595"/>
    <w:rsid w:val="00574616"/>
    <w:rsid w:val="0057467B"/>
    <w:rsid w:val="005746E2"/>
    <w:rsid w:val="00574ABE"/>
    <w:rsid w:val="00574B89"/>
    <w:rsid w:val="00574E58"/>
    <w:rsid w:val="0057521B"/>
    <w:rsid w:val="00575558"/>
    <w:rsid w:val="0057584F"/>
    <w:rsid w:val="005758AA"/>
    <w:rsid w:val="00575D09"/>
    <w:rsid w:val="00575E46"/>
    <w:rsid w:val="00575E85"/>
    <w:rsid w:val="00575ECE"/>
    <w:rsid w:val="00576C52"/>
    <w:rsid w:val="00576C97"/>
    <w:rsid w:val="00576CF9"/>
    <w:rsid w:val="00576EC8"/>
    <w:rsid w:val="005770FB"/>
    <w:rsid w:val="0057741D"/>
    <w:rsid w:val="005776F2"/>
    <w:rsid w:val="005778B3"/>
    <w:rsid w:val="00577ADA"/>
    <w:rsid w:val="00577D7E"/>
    <w:rsid w:val="00580714"/>
    <w:rsid w:val="00580D2D"/>
    <w:rsid w:val="00580FFE"/>
    <w:rsid w:val="00581195"/>
    <w:rsid w:val="00581399"/>
    <w:rsid w:val="00581459"/>
    <w:rsid w:val="00581691"/>
    <w:rsid w:val="0058175E"/>
    <w:rsid w:val="005819E3"/>
    <w:rsid w:val="0058250D"/>
    <w:rsid w:val="00582758"/>
    <w:rsid w:val="0058276F"/>
    <w:rsid w:val="00582835"/>
    <w:rsid w:val="00582BCF"/>
    <w:rsid w:val="00582C6C"/>
    <w:rsid w:val="00582DBD"/>
    <w:rsid w:val="00582E4B"/>
    <w:rsid w:val="00582F7D"/>
    <w:rsid w:val="00582F8A"/>
    <w:rsid w:val="00582FA8"/>
    <w:rsid w:val="0058327D"/>
    <w:rsid w:val="005833CA"/>
    <w:rsid w:val="00583594"/>
    <w:rsid w:val="0058444B"/>
    <w:rsid w:val="005844D5"/>
    <w:rsid w:val="0058457D"/>
    <w:rsid w:val="00584935"/>
    <w:rsid w:val="005849D7"/>
    <w:rsid w:val="00584DBB"/>
    <w:rsid w:val="00584E57"/>
    <w:rsid w:val="00584F5E"/>
    <w:rsid w:val="00584FBF"/>
    <w:rsid w:val="0058533C"/>
    <w:rsid w:val="0058584F"/>
    <w:rsid w:val="00585A2B"/>
    <w:rsid w:val="00585B48"/>
    <w:rsid w:val="00585E95"/>
    <w:rsid w:val="00586070"/>
    <w:rsid w:val="0058630A"/>
    <w:rsid w:val="005866C5"/>
    <w:rsid w:val="00586903"/>
    <w:rsid w:val="00586A02"/>
    <w:rsid w:val="00586FC2"/>
    <w:rsid w:val="0058754C"/>
    <w:rsid w:val="00587883"/>
    <w:rsid w:val="00587B83"/>
    <w:rsid w:val="00587BB0"/>
    <w:rsid w:val="00587C0C"/>
    <w:rsid w:val="00587CF5"/>
    <w:rsid w:val="00587D8A"/>
    <w:rsid w:val="00587F31"/>
    <w:rsid w:val="00587FDF"/>
    <w:rsid w:val="0059018D"/>
    <w:rsid w:val="00590359"/>
    <w:rsid w:val="0059042C"/>
    <w:rsid w:val="0059046D"/>
    <w:rsid w:val="005907E8"/>
    <w:rsid w:val="00590978"/>
    <w:rsid w:val="00590B4E"/>
    <w:rsid w:val="00590E4B"/>
    <w:rsid w:val="00590EF8"/>
    <w:rsid w:val="00590F3E"/>
    <w:rsid w:val="00590FD6"/>
    <w:rsid w:val="0059105F"/>
    <w:rsid w:val="0059161A"/>
    <w:rsid w:val="005917E7"/>
    <w:rsid w:val="00591841"/>
    <w:rsid w:val="00591966"/>
    <w:rsid w:val="00591E3B"/>
    <w:rsid w:val="00592444"/>
    <w:rsid w:val="0059282F"/>
    <w:rsid w:val="00592837"/>
    <w:rsid w:val="005928BC"/>
    <w:rsid w:val="00592959"/>
    <w:rsid w:val="00592981"/>
    <w:rsid w:val="005929F2"/>
    <w:rsid w:val="00592CDF"/>
    <w:rsid w:val="00593062"/>
    <w:rsid w:val="00593080"/>
    <w:rsid w:val="005931CB"/>
    <w:rsid w:val="00593208"/>
    <w:rsid w:val="0059332C"/>
    <w:rsid w:val="0059333E"/>
    <w:rsid w:val="005936AE"/>
    <w:rsid w:val="005936E7"/>
    <w:rsid w:val="005939C9"/>
    <w:rsid w:val="00593A98"/>
    <w:rsid w:val="00593B89"/>
    <w:rsid w:val="00593C44"/>
    <w:rsid w:val="00593D73"/>
    <w:rsid w:val="00593D97"/>
    <w:rsid w:val="0059407E"/>
    <w:rsid w:val="00594127"/>
    <w:rsid w:val="00594499"/>
    <w:rsid w:val="00594707"/>
    <w:rsid w:val="00594862"/>
    <w:rsid w:val="00594BBC"/>
    <w:rsid w:val="00594C72"/>
    <w:rsid w:val="00594D98"/>
    <w:rsid w:val="00594DA7"/>
    <w:rsid w:val="00594FBC"/>
    <w:rsid w:val="00595046"/>
    <w:rsid w:val="00595079"/>
    <w:rsid w:val="0059507F"/>
    <w:rsid w:val="005950D9"/>
    <w:rsid w:val="0059547B"/>
    <w:rsid w:val="005954A1"/>
    <w:rsid w:val="005957A4"/>
    <w:rsid w:val="0059593F"/>
    <w:rsid w:val="0059594C"/>
    <w:rsid w:val="00595959"/>
    <w:rsid w:val="00595D5C"/>
    <w:rsid w:val="00595EC3"/>
    <w:rsid w:val="0059600F"/>
    <w:rsid w:val="005960FD"/>
    <w:rsid w:val="00596256"/>
    <w:rsid w:val="0059652D"/>
    <w:rsid w:val="00596661"/>
    <w:rsid w:val="005968C8"/>
    <w:rsid w:val="00596D88"/>
    <w:rsid w:val="00596EAB"/>
    <w:rsid w:val="00596ED6"/>
    <w:rsid w:val="00596F46"/>
    <w:rsid w:val="00597185"/>
    <w:rsid w:val="00597547"/>
    <w:rsid w:val="0059765E"/>
    <w:rsid w:val="005978A3"/>
    <w:rsid w:val="00597CA7"/>
    <w:rsid w:val="00597CF3"/>
    <w:rsid w:val="00597D7F"/>
    <w:rsid w:val="005A0072"/>
    <w:rsid w:val="005A00DF"/>
    <w:rsid w:val="005A0210"/>
    <w:rsid w:val="005A0886"/>
    <w:rsid w:val="005A09FD"/>
    <w:rsid w:val="005A0BA5"/>
    <w:rsid w:val="005A0F63"/>
    <w:rsid w:val="005A167A"/>
    <w:rsid w:val="005A170B"/>
    <w:rsid w:val="005A179A"/>
    <w:rsid w:val="005A18AA"/>
    <w:rsid w:val="005A1C9E"/>
    <w:rsid w:val="005A1CA2"/>
    <w:rsid w:val="005A1F38"/>
    <w:rsid w:val="005A1FAF"/>
    <w:rsid w:val="005A1FC1"/>
    <w:rsid w:val="005A2152"/>
    <w:rsid w:val="005A2240"/>
    <w:rsid w:val="005A27A3"/>
    <w:rsid w:val="005A29AB"/>
    <w:rsid w:val="005A2DD2"/>
    <w:rsid w:val="005A2FBA"/>
    <w:rsid w:val="005A30AD"/>
    <w:rsid w:val="005A3214"/>
    <w:rsid w:val="005A325A"/>
    <w:rsid w:val="005A32E1"/>
    <w:rsid w:val="005A358F"/>
    <w:rsid w:val="005A38D0"/>
    <w:rsid w:val="005A3A0F"/>
    <w:rsid w:val="005A3E59"/>
    <w:rsid w:val="005A3F54"/>
    <w:rsid w:val="005A3F7D"/>
    <w:rsid w:val="005A4084"/>
    <w:rsid w:val="005A42E9"/>
    <w:rsid w:val="005A43DE"/>
    <w:rsid w:val="005A441D"/>
    <w:rsid w:val="005A44A7"/>
    <w:rsid w:val="005A44B6"/>
    <w:rsid w:val="005A46BA"/>
    <w:rsid w:val="005A479F"/>
    <w:rsid w:val="005A4832"/>
    <w:rsid w:val="005A4AA6"/>
    <w:rsid w:val="005A4C55"/>
    <w:rsid w:val="005A5550"/>
    <w:rsid w:val="005A560B"/>
    <w:rsid w:val="005A5780"/>
    <w:rsid w:val="005A5820"/>
    <w:rsid w:val="005A5E86"/>
    <w:rsid w:val="005A6123"/>
    <w:rsid w:val="005A61AD"/>
    <w:rsid w:val="005A6278"/>
    <w:rsid w:val="005A677F"/>
    <w:rsid w:val="005A6B7A"/>
    <w:rsid w:val="005A6E80"/>
    <w:rsid w:val="005A6F30"/>
    <w:rsid w:val="005A75C6"/>
    <w:rsid w:val="005A7A5D"/>
    <w:rsid w:val="005A7AA7"/>
    <w:rsid w:val="005A7D1D"/>
    <w:rsid w:val="005A7E80"/>
    <w:rsid w:val="005B009C"/>
    <w:rsid w:val="005B009E"/>
    <w:rsid w:val="005B02F2"/>
    <w:rsid w:val="005B0492"/>
    <w:rsid w:val="005B0671"/>
    <w:rsid w:val="005B0A2B"/>
    <w:rsid w:val="005B1152"/>
    <w:rsid w:val="005B1303"/>
    <w:rsid w:val="005B14F2"/>
    <w:rsid w:val="005B14F6"/>
    <w:rsid w:val="005B1553"/>
    <w:rsid w:val="005B1881"/>
    <w:rsid w:val="005B19D8"/>
    <w:rsid w:val="005B1B8A"/>
    <w:rsid w:val="005B21A4"/>
    <w:rsid w:val="005B2437"/>
    <w:rsid w:val="005B2446"/>
    <w:rsid w:val="005B24CA"/>
    <w:rsid w:val="005B2673"/>
    <w:rsid w:val="005B2825"/>
    <w:rsid w:val="005B2B80"/>
    <w:rsid w:val="005B3182"/>
    <w:rsid w:val="005B3789"/>
    <w:rsid w:val="005B38D3"/>
    <w:rsid w:val="005B3E4A"/>
    <w:rsid w:val="005B3EAC"/>
    <w:rsid w:val="005B3F8C"/>
    <w:rsid w:val="005B4178"/>
    <w:rsid w:val="005B458E"/>
    <w:rsid w:val="005B4949"/>
    <w:rsid w:val="005B4CA4"/>
    <w:rsid w:val="005B4F2B"/>
    <w:rsid w:val="005B5434"/>
    <w:rsid w:val="005B54BE"/>
    <w:rsid w:val="005B571A"/>
    <w:rsid w:val="005B5AA5"/>
    <w:rsid w:val="005B5FEC"/>
    <w:rsid w:val="005B621C"/>
    <w:rsid w:val="005B62A9"/>
    <w:rsid w:val="005B634B"/>
    <w:rsid w:val="005B6584"/>
    <w:rsid w:val="005B6635"/>
    <w:rsid w:val="005B668C"/>
    <w:rsid w:val="005B6827"/>
    <w:rsid w:val="005B6BA2"/>
    <w:rsid w:val="005B6CCD"/>
    <w:rsid w:val="005B7198"/>
    <w:rsid w:val="005B7582"/>
    <w:rsid w:val="005B764F"/>
    <w:rsid w:val="005B7B9A"/>
    <w:rsid w:val="005B7C3E"/>
    <w:rsid w:val="005B7D97"/>
    <w:rsid w:val="005B7FAE"/>
    <w:rsid w:val="005C0071"/>
    <w:rsid w:val="005C03EB"/>
    <w:rsid w:val="005C06E6"/>
    <w:rsid w:val="005C0B9F"/>
    <w:rsid w:val="005C0F8C"/>
    <w:rsid w:val="005C0F9D"/>
    <w:rsid w:val="005C1109"/>
    <w:rsid w:val="005C1291"/>
    <w:rsid w:val="005C1555"/>
    <w:rsid w:val="005C1602"/>
    <w:rsid w:val="005C1920"/>
    <w:rsid w:val="005C1A98"/>
    <w:rsid w:val="005C228E"/>
    <w:rsid w:val="005C238F"/>
    <w:rsid w:val="005C2451"/>
    <w:rsid w:val="005C24D4"/>
    <w:rsid w:val="005C29CF"/>
    <w:rsid w:val="005C2CAA"/>
    <w:rsid w:val="005C2F2C"/>
    <w:rsid w:val="005C32AD"/>
    <w:rsid w:val="005C35C5"/>
    <w:rsid w:val="005C3622"/>
    <w:rsid w:val="005C3856"/>
    <w:rsid w:val="005C391A"/>
    <w:rsid w:val="005C3F07"/>
    <w:rsid w:val="005C4124"/>
    <w:rsid w:val="005C41AC"/>
    <w:rsid w:val="005C4223"/>
    <w:rsid w:val="005C453F"/>
    <w:rsid w:val="005C45A8"/>
    <w:rsid w:val="005C4696"/>
    <w:rsid w:val="005C46E1"/>
    <w:rsid w:val="005C4879"/>
    <w:rsid w:val="005C49B6"/>
    <w:rsid w:val="005C4AFB"/>
    <w:rsid w:val="005C4BA0"/>
    <w:rsid w:val="005C4FF4"/>
    <w:rsid w:val="005C50CD"/>
    <w:rsid w:val="005C541D"/>
    <w:rsid w:val="005C54FD"/>
    <w:rsid w:val="005C5604"/>
    <w:rsid w:val="005C5786"/>
    <w:rsid w:val="005C5A85"/>
    <w:rsid w:val="005C5B19"/>
    <w:rsid w:val="005C5F2F"/>
    <w:rsid w:val="005C67BA"/>
    <w:rsid w:val="005C6E96"/>
    <w:rsid w:val="005C7437"/>
    <w:rsid w:val="005C77DE"/>
    <w:rsid w:val="005C7B51"/>
    <w:rsid w:val="005C7C18"/>
    <w:rsid w:val="005C7E68"/>
    <w:rsid w:val="005C7F08"/>
    <w:rsid w:val="005D0053"/>
    <w:rsid w:val="005D02C0"/>
    <w:rsid w:val="005D03F1"/>
    <w:rsid w:val="005D041A"/>
    <w:rsid w:val="005D046E"/>
    <w:rsid w:val="005D0B22"/>
    <w:rsid w:val="005D0E66"/>
    <w:rsid w:val="005D1253"/>
    <w:rsid w:val="005D13A2"/>
    <w:rsid w:val="005D160C"/>
    <w:rsid w:val="005D1A5B"/>
    <w:rsid w:val="005D1DD8"/>
    <w:rsid w:val="005D1F29"/>
    <w:rsid w:val="005D2038"/>
    <w:rsid w:val="005D2060"/>
    <w:rsid w:val="005D20F1"/>
    <w:rsid w:val="005D2671"/>
    <w:rsid w:val="005D270D"/>
    <w:rsid w:val="005D28C5"/>
    <w:rsid w:val="005D2AD0"/>
    <w:rsid w:val="005D2E05"/>
    <w:rsid w:val="005D2E5F"/>
    <w:rsid w:val="005D32D4"/>
    <w:rsid w:val="005D35EE"/>
    <w:rsid w:val="005D3760"/>
    <w:rsid w:val="005D3794"/>
    <w:rsid w:val="005D3846"/>
    <w:rsid w:val="005D3934"/>
    <w:rsid w:val="005D3C39"/>
    <w:rsid w:val="005D3D03"/>
    <w:rsid w:val="005D3D97"/>
    <w:rsid w:val="005D3E22"/>
    <w:rsid w:val="005D3EB7"/>
    <w:rsid w:val="005D4083"/>
    <w:rsid w:val="005D40EF"/>
    <w:rsid w:val="005D43A9"/>
    <w:rsid w:val="005D457D"/>
    <w:rsid w:val="005D45F3"/>
    <w:rsid w:val="005D4866"/>
    <w:rsid w:val="005D488C"/>
    <w:rsid w:val="005D4ABF"/>
    <w:rsid w:val="005D5072"/>
    <w:rsid w:val="005D5875"/>
    <w:rsid w:val="005D5ABF"/>
    <w:rsid w:val="005D5E77"/>
    <w:rsid w:val="005D5EAA"/>
    <w:rsid w:val="005D6068"/>
    <w:rsid w:val="005D650E"/>
    <w:rsid w:val="005D6563"/>
    <w:rsid w:val="005D6683"/>
    <w:rsid w:val="005D6CE3"/>
    <w:rsid w:val="005D6E8A"/>
    <w:rsid w:val="005D72A5"/>
    <w:rsid w:val="005D7C37"/>
    <w:rsid w:val="005D7C48"/>
    <w:rsid w:val="005D7D65"/>
    <w:rsid w:val="005D7F93"/>
    <w:rsid w:val="005D7FF7"/>
    <w:rsid w:val="005E0064"/>
    <w:rsid w:val="005E023E"/>
    <w:rsid w:val="005E033F"/>
    <w:rsid w:val="005E03D7"/>
    <w:rsid w:val="005E0641"/>
    <w:rsid w:val="005E06D6"/>
    <w:rsid w:val="005E0912"/>
    <w:rsid w:val="005E0C21"/>
    <w:rsid w:val="005E0D65"/>
    <w:rsid w:val="005E0EB4"/>
    <w:rsid w:val="005E0F9B"/>
    <w:rsid w:val="005E18DE"/>
    <w:rsid w:val="005E19C0"/>
    <w:rsid w:val="005E19DE"/>
    <w:rsid w:val="005E1ACD"/>
    <w:rsid w:val="005E1D3A"/>
    <w:rsid w:val="005E1F22"/>
    <w:rsid w:val="005E1FAB"/>
    <w:rsid w:val="005E2051"/>
    <w:rsid w:val="005E20FA"/>
    <w:rsid w:val="005E22BE"/>
    <w:rsid w:val="005E2315"/>
    <w:rsid w:val="005E23AF"/>
    <w:rsid w:val="005E2482"/>
    <w:rsid w:val="005E2762"/>
    <w:rsid w:val="005E27B6"/>
    <w:rsid w:val="005E306E"/>
    <w:rsid w:val="005E314A"/>
    <w:rsid w:val="005E34E9"/>
    <w:rsid w:val="005E353E"/>
    <w:rsid w:val="005E372A"/>
    <w:rsid w:val="005E3A91"/>
    <w:rsid w:val="005E3B61"/>
    <w:rsid w:val="005E3B91"/>
    <w:rsid w:val="005E3CBC"/>
    <w:rsid w:val="005E3CCE"/>
    <w:rsid w:val="005E3CCF"/>
    <w:rsid w:val="005E40C1"/>
    <w:rsid w:val="005E42A5"/>
    <w:rsid w:val="005E4689"/>
    <w:rsid w:val="005E46DA"/>
    <w:rsid w:val="005E475D"/>
    <w:rsid w:val="005E4BFA"/>
    <w:rsid w:val="005E4D0F"/>
    <w:rsid w:val="005E4DF2"/>
    <w:rsid w:val="005E53CF"/>
    <w:rsid w:val="005E54A0"/>
    <w:rsid w:val="005E54E8"/>
    <w:rsid w:val="005E55A3"/>
    <w:rsid w:val="005E571A"/>
    <w:rsid w:val="005E5975"/>
    <w:rsid w:val="005E5A33"/>
    <w:rsid w:val="005E5B49"/>
    <w:rsid w:val="005E69DB"/>
    <w:rsid w:val="005E6DD2"/>
    <w:rsid w:val="005E6E45"/>
    <w:rsid w:val="005E7232"/>
    <w:rsid w:val="005E73B3"/>
    <w:rsid w:val="005E7419"/>
    <w:rsid w:val="005E7499"/>
    <w:rsid w:val="005E7559"/>
    <w:rsid w:val="005E7716"/>
    <w:rsid w:val="005E7AB7"/>
    <w:rsid w:val="005E7B83"/>
    <w:rsid w:val="005E7D4A"/>
    <w:rsid w:val="005E7D7D"/>
    <w:rsid w:val="005E7DBA"/>
    <w:rsid w:val="005F0186"/>
    <w:rsid w:val="005F023A"/>
    <w:rsid w:val="005F07DA"/>
    <w:rsid w:val="005F0949"/>
    <w:rsid w:val="005F0958"/>
    <w:rsid w:val="005F0A32"/>
    <w:rsid w:val="005F0B45"/>
    <w:rsid w:val="005F0B75"/>
    <w:rsid w:val="005F0B7C"/>
    <w:rsid w:val="005F0DAC"/>
    <w:rsid w:val="005F0DB9"/>
    <w:rsid w:val="005F0DD0"/>
    <w:rsid w:val="005F113C"/>
    <w:rsid w:val="005F11D5"/>
    <w:rsid w:val="005F15DD"/>
    <w:rsid w:val="005F1718"/>
    <w:rsid w:val="005F1AF2"/>
    <w:rsid w:val="005F1D7C"/>
    <w:rsid w:val="005F1E08"/>
    <w:rsid w:val="005F2090"/>
    <w:rsid w:val="005F249D"/>
    <w:rsid w:val="005F2559"/>
    <w:rsid w:val="005F25D9"/>
    <w:rsid w:val="005F2F52"/>
    <w:rsid w:val="005F32DC"/>
    <w:rsid w:val="005F3374"/>
    <w:rsid w:val="005F337C"/>
    <w:rsid w:val="005F342F"/>
    <w:rsid w:val="005F3651"/>
    <w:rsid w:val="005F36A6"/>
    <w:rsid w:val="005F3D34"/>
    <w:rsid w:val="005F4032"/>
    <w:rsid w:val="005F4190"/>
    <w:rsid w:val="005F4271"/>
    <w:rsid w:val="005F4545"/>
    <w:rsid w:val="005F4827"/>
    <w:rsid w:val="005F4A2D"/>
    <w:rsid w:val="005F4A88"/>
    <w:rsid w:val="005F4AD1"/>
    <w:rsid w:val="005F4C77"/>
    <w:rsid w:val="005F4CBF"/>
    <w:rsid w:val="005F4D4F"/>
    <w:rsid w:val="005F4FD3"/>
    <w:rsid w:val="005F5281"/>
    <w:rsid w:val="005F52D6"/>
    <w:rsid w:val="005F551B"/>
    <w:rsid w:val="005F5577"/>
    <w:rsid w:val="005F5602"/>
    <w:rsid w:val="005F563A"/>
    <w:rsid w:val="005F573C"/>
    <w:rsid w:val="005F5D32"/>
    <w:rsid w:val="005F5D66"/>
    <w:rsid w:val="005F5DAB"/>
    <w:rsid w:val="005F5F12"/>
    <w:rsid w:val="005F6105"/>
    <w:rsid w:val="005F623E"/>
    <w:rsid w:val="005F639E"/>
    <w:rsid w:val="005F6622"/>
    <w:rsid w:val="005F6840"/>
    <w:rsid w:val="005F6A0E"/>
    <w:rsid w:val="005F6B89"/>
    <w:rsid w:val="005F6BA7"/>
    <w:rsid w:val="005F6CC6"/>
    <w:rsid w:val="005F72F1"/>
    <w:rsid w:val="005F78F8"/>
    <w:rsid w:val="005F79F5"/>
    <w:rsid w:val="005F7A28"/>
    <w:rsid w:val="005F7DE8"/>
    <w:rsid w:val="00600362"/>
    <w:rsid w:val="006003C1"/>
    <w:rsid w:val="006003CE"/>
    <w:rsid w:val="0060040C"/>
    <w:rsid w:val="0060048E"/>
    <w:rsid w:val="0060092C"/>
    <w:rsid w:val="00600A29"/>
    <w:rsid w:val="00600B84"/>
    <w:rsid w:val="00600C28"/>
    <w:rsid w:val="00600CFD"/>
    <w:rsid w:val="00600D45"/>
    <w:rsid w:val="00600D65"/>
    <w:rsid w:val="00600DDB"/>
    <w:rsid w:val="006016FC"/>
    <w:rsid w:val="00601748"/>
    <w:rsid w:val="00601E64"/>
    <w:rsid w:val="0060202E"/>
    <w:rsid w:val="006020CD"/>
    <w:rsid w:val="006021DF"/>
    <w:rsid w:val="00602722"/>
    <w:rsid w:val="006028EA"/>
    <w:rsid w:val="00602B12"/>
    <w:rsid w:val="00602E0E"/>
    <w:rsid w:val="00602F10"/>
    <w:rsid w:val="0060311A"/>
    <w:rsid w:val="00603351"/>
    <w:rsid w:val="006036EC"/>
    <w:rsid w:val="00603993"/>
    <w:rsid w:val="00603B82"/>
    <w:rsid w:val="00603D4A"/>
    <w:rsid w:val="00603F6E"/>
    <w:rsid w:val="006043E4"/>
    <w:rsid w:val="00604669"/>
    <w:rsid w:val="00604AF0"/>
    <w:rsid w:val="0060530A"/>
    <w:rsid w:val="0060535A"/>
    <w:rsid w:val="0060535C"/>
    <w:rsid w:val="00605455"/>
    <w:rsid w:val="00605469"/>
    <w:rsid w:val="00605544"/>
    <w:rsid w:val="006057EF"/>
    <w:rsid w:val="0060599C"/>
    <w:rsid w:val="006059A6"/>
    <w:rsid w:val="00605A76"/>
    <w:rsid w:val="00605D74"/>
    <w:rsid w:val="0060615A"/>
    <w:rsid w:val="006063E5"/>
    <w:rsid w:val="00606638"/>
    <w:rsid w:val="0060688E"/>
    <w:rsid w:val="00606996"/>
    <w:rsid w:val="00606B93"/>
    <w:rsid w:val="00606E2E"/>
    <w:rsid w:val="00606E7E"/>
    <w:rsid w:val="006072CC"/>
    <w:rsid w:val="006073A3"/>
    <w:rsid w:val="0060767A"/>
    <w:rsid w:val="0060775D"/>
    <w:rsid w:val="00607804"/>
    <w:rsid w:val="00607A17"/>
    <w:rsid w:val="00610226"/>
    <w:rsid w:val="0061033A"/>
    <w:rsid w:val="00610873"/>
    <w:rsid w:val="006108D2"/>
    <w:rsid w:val="0061097D"/>
    <w:rsid w:val="00610D12"/>
    <w:rsid w:val="00610D60"/>
    <w:rsid w:val="00610DA1"/>
    <w:rsid w:val="006111CA"/>
    <w:rsid w:val="0061162F"/>
    <w:rsid w:val="006116D8"/>
    <w:rsid w:val="006117AD"/>
    <w:rsid w:val="00611A42"/>
    <w:rsid w:val="00611AE0"/>
    <w:rsid w:val="00611C75"/>
    <w:rsid w:val="00611E21"/>
    <w:rsid w:val="00611E61"/>
    <w:rsid w:val="00611E98"/>
    <w:rsid w:val="00612124"/>
    <w:rsid w:val="006125DB"/>
    <w:rsid w:val="0061288E"/>
    <w:rsid w:val="006128A7"/>
    <w:rsid w:val="006128C2"/>
    <w:rsid w:val="006128F9"/>
    <w:rsid w:val="0061299F"/>
    <w:rsid w:val="00612C4F"/>
    <w:rsid w:val="00612E20"/>
    <w:rsid w:val="00613146"/>
    <w:rsid w:val="00613466"/>
    <w:rsid w:val="006136A9"/>
    <w:rsid w:val="00613706"/>
    <w:rsid w:val="00613739"/>
    <w:rsid w:val="00613812"/>
    <w:rsid w:val="00613D56"/>
    <w:rsid w:val="00614257"/>
    <w:rsid w:val="0061477D"/>
    <w:rsid w:val="00614800"/>
    <w:rsid w:val="0061498B"/>
    <w:rsid w:val="006149DE"/>
    <w:rsid w:val="00614A9D"/>
    <w:rsid w:val="00614B18"/>
    <w:rsid w:val="00614C29"/>
    <w:rsid w:val="00614C8F"/>
    <w:rsid w:val="0061534C"/>
    <w:rsid w:val="0061541B"/>
    <w:rsid w:val="00615999"/>
    <w:rsid w:val="00615CA6"/>
    <w:rsid w:val="00616147"/>
    <w:rsid w:val="00616650"/>
    <w:rsid w:val="006169DD"/>
    <w:rsid w:val="00616B87"/>
    <w:rsid w:val="00616C2D"/>
    <w:rsid w:val="00616E68"/>
    <w:rsid w:val="00616E7F"/>
    <w:rsid w:val="00617009"/>
    <w:rsid w:val="006170D2"/>
    <w:rsid w:val="006170DB"/>
    <w:rsid w:val="006172FE"/>
    <w:rsid w:val="00617382"/>
    <w:rsid w:val="006176ED"/>
    <w:rsid w:val="00617B05"/>
    <w:rsid w:val="00617CBC"/>
    <w:rsid w:val="00617E31"/>
    <w:rsid w:val="00617ED9"/>
    <w:rsid w:val="0062041F"/>
    <w:rsid w:val="00620433"/>
    <w:rsid w:val="00620491"/>
    <w:rsid w:val="006204A1"/>
    <w:rsid w:val="006205A4"/>
    <w:rsid w:val="006206D1"/>
    <w:rsid w:val="0062088E"/>
    <w:rsid w:val="00620935"/>
    <w:rsid w:val="0062093E"/>
    <w:rsid w:val="006209BF"/>
    <w:rsid w:val="00620E3B"/>
    <w:rsid w:val="00620E9F"/>
    <w:rsid w:val="006210CE"/>
    <w:rsid w:val="006211D6"/>
    <w:rsid w:val="006212E1"/>
    <w:rsid w:val="006213FB"/>
    <w:rsid w:val="006215E2"/>
    <w:rsid w:val="00621885"/>
    <w:rsid w:val="00621990"/>
    <w:rsid w:val="00621DD7"/>
    <w:rsid w:val="00622084"/>
    <w:rsid w:val="00622648"/>
    <w:rsid w:val="006229AB"/>
    <w:rsid w:val="00622AD0"/>
    <w:rsid w:val="00622B2B"/>
    <w:rsid w:val="00622E32"/>
    <w:rsid w:val="00622F3B"/>
    <w:rsid w:val="00623002"/>
    <w:rsid w:val="00623932"/>
    <w:rsid w:val="00623A76"/>
    <w:rsid w:val="00623B69"/>
    <w:rsid w:val="00623B90"/>
    <w:rsid w:val="00623EF3"/>
    <w:rsid w:val="00624300"/>
    <w:rsid w:val="00624478"/>
    <w:rsid w:val="0062448D"/>
    <w:rsid w:val="006247C7"/>
    <w:rsid w:val="00625136"/>
    <w:rsid w:val="006254A0"/>
    <w:rsid w:val="0062559E"/>
    <w:rsid w:val="006255DA"/>
    <w:rsid w:val="0062563E"/>
    <w:rsid w:val="00625707"/>
    <w:rsid w:val="00625894"/>
    <w:rsid w:val="00625CBB"/>
    <w:rsid w:val="00625D14"/>
    <w:rsid w:val="006261A7"/>
    <w:rsid w:val="00626286"/>
    <w:rsid w:val="006267EA"/>
    <w:rsid w:val="00626955"/>
    <w:rsid w:val="00626AB7"/>
    <w:rsid w:val="00626BDE"/>
    <w:rsid w:val="00627389"/>
    <w:rsid w:val="0062753A"/>
    <w:rsid w:val="00627815"/>
    <w:rsid w:val="00627C0C"/>
    <w:rsid w:val="00627CA5"/>
    <w:rsid w:val="00627D05"/>
    <w:rsid w:val="00627E62"/>
    <w:rsid w:val="006300B8"/>
    <w:rsid w:val="006303DF"/>
    <w:rsid w:val="006303F2"/>
    <w:rsid w:val="00630C25"/>
    <w:rsid w:val="00630EF3"/>
    <w:rsid w:val="00630F13"/>
    <w:rsid w:val="00631256"/>
    <w:rsid w:val="0063126E"/>
    <w:rsid w:val="0063148D"/>
    <w:rsid w:val="00631CB8"/>
    <w:rsid w:val="00631D4D"/>
    <w:rsid w:val="00631ED1"/>
    <w:rsid w:val="00632000"/>
    <w:rsid w:val="00632057"/>
    <w:rsid w:val="0063210A"/>
    <w:rsid w:val="0063244B"/>
    <w:rsid w:val="006327A1"/>
    <w:rsid w:val="00632820"/>
    <w:rsid w:val="00632C6C"/>
    <w:rsid w:val="00633152"/>
    <w:rsid w:val="00633296"/>
    <w:rsid w:val="00633427"/>
    <w:rsid w:val="00633829"/>
    <w:rsid w:val="00633B6E"/>
    <w:rsid w:val="00633D13"/>
    <w:rsid w:val="00633D50"/>
    <w:rsid w:val="00633EAE"/>
    <w:rsid w:val="00633ECA"/>
    <w:rsid w:val="006340F2"/>
    <w:rsid w:val="00634256"/>
    <w:rsid w:val="006344CC"/>
    <w:rsid w:val="006346C0"/>
    <w:rsid w:val="00634BB2"/>
    <w:rsid w:val="00634BF5"/>
    <w:rsid w:val="00634CE7"/>
    <w:rsid w:val="00634E2E"/>
    <w:rsid w:val="00634EA0"/>
    <w:rsid w:val="0063508C"/>
    <w:rsid w:val="006350A8"/>
    <w:rsid w:val="00635236"/>
    <w:rsid w:val="00635394"/>
    <w:rsid w:val="00635812"/>
    <w:rsid w:val="00635868"/>
    <w:rsid w:val="00635A83"/>
    <w:rsid w:val="00635B6A"/>
    <w:rsid w:val="00635CAB"/>
    <w:rsid w:val="00636964"/>
    <w:rsid w:val="006369FE"/>
    <w:rsid w:val="006374E9"/>
    <w:rsid w:val="00637565"/>
    <w:rsid w:val="0063759F"/>
    <w:rsid w:val="00637712"/>
    <w:rsid w:val="0063779C"/>
    <w:rsid w:val="0063795B"/>
    <w:rsid w:val="00637B6B"/>
    <w:rsid w:val="00637C27"/>
    <w:rsid w:val="00637C42"/>
    <w:rsid w:val="0064035F"/>
    <w:rsid w:val="006407B5"/>
    <w:rsid w:val="00640991"/>
    <w:rsid w:val="00640A46"/>
    <w:rsid w:val="00640DE7"/>
    <w:rsid w:val="00641025"/>
    <w:rsid w:val="0064108A"/>
    <w:rsid w:val="00641242"/>
    <w:rsid w:val="006415C5"/>
    <w:rsid w:val="00641896"/>
    <w:rsid w:val="006418C5"/>
    <w:rsid w:val="00641B52"/>
    <w:rsid w:val="00641C00"/>
    <w:rsid w:val="00641FA8"/>
    <w:rsid w:val="00642823"/>
    <w:rsid w:val="00642981"/>
    <w:rsid w:val="006429E1"/>
    <w:rsid w:val="00642C38"/>
    <w:rsid w:val="00642E1B"/>
    <w:rsid w:val="00642E51"/>
    <w:rsid w:val="00642FF5"/>
    <w:rsid w:val="0064301F"/>
    <w:rsid w:val="0064302F"/>
    <w:rsid w:val="0064306B"/>
    <w:rsid w:val="006430AB"/>
    <w:rsid w:val="0064333F"/>
    <w:rsid w:val="006434D8"/>
    <w:rsid w:val="006434F7"/>
    <w:rsid w:val="00643669"/>
    <w:rsid w:val="00643CBD"/>
    <w:rsid w:val="006440A0"/>
    <w:rsid w:val="0064410A"/>
    <w:rsid w:val="006442B7"/>
    <w:rsid w:val="0064441F"/>
    <w:rsid w:val="006446D2"/>
    <w:rsid w:val="006446D3"/>
    <w:rsid w:val="006446EC"/>
    <w:rsid w:val="00644871"/>
    <w:rsid w:val="00644923"/>
    <w:rsid w:val="00644E6C"/>
    <w:rsid w:val="00644EE8"/>
    <w:rsid w:val="0064506A"/>
    <w:rsid w:val="006450D4"/>
    <w:rsid w:val="0064519C"/>
    <w:rsid w:val="00645294"/>
    <w:rsid w:val="00645527"/>
    <w:rsid w:val="00645558"/>
    <w:rsid w:val="006455ED"/>
    <w:rsid w:val="00645A8F"/>
    <w:rsid w:val="00645C83"/>
    <w:rsid w:val="00645D50"/>
    <w:rsid w:val="00645F57"/>
    <w:rsid w:val="0064604C"/>
    <w:rsid w:val="006461BC"/>
    <w:rsid w:val="00646636"/>
    <w:rsid w:val="00646962"/>
    <w:rsid w:val="00646BD9"/>
    <w:rsid w:val="00646BEC"/>
    <w:rsid w:val="00646C96"/>
    <w:rsid w:val="00646E0F"/>
    <w:rsid w:val="006470DE"/>
    <w:rsid w:val="0064711C"/>
    <w:rsid w:val="006472D9"/>
    <w:rsid w:val="006472ED"/>
    <w:rsid w:val="006474B0"/>
    <w:rsid w:val="00647518"/>
    <w:rsid w:val="0064766F"/>
    <w:rsid w:val="006476B3"/>
    <w:rsid w:val="006477ED"/>
    <w:rsid w:val="006479DF"/>
    <w:rsid w:val="00647A65"/>
    <w:rsid w:val="00647BCF"/>
    <w:rsid w:val="00647EF0"/>
    <w:rsid w:val="0065019E"/>
    <w:rsid w:val="00650407"/>
    <w:rsid w:val="0065040E"/>
    <w:rsid w:val="0065042A"/>
    <w:rsid w:val="00650745"/>
    <w:rsid w:val="006508E9"/>
    <w:rsid w:val="00650B91"/>
    <w:rsid w:val="00650D94"/>
    <w:rsid w:val="00650DE3"/>
    <w:rsid w:val="0065143F"/>
    <w:rsid w:val="00651497"/>
    <w:rsid w:val="00651593"/>
    <w:rsid w:val="00651879"/>
    <w:rsid w:val="006518A6"/>
    <w:rsid w:val="00651954"/>
    <w:rsid w:val="00651BE2"/>
    <w:rsid w:val="00651C81"/>
    <w:rsid w:val="00651D09"/>
    <w:rsid w:val="00651E54"/>
    <w:rsid w:val="00652344"/>
    <w:rsid w:val="00652D50"/>
    <w:rsid w:val="00652D95"/>
    <w:rsid w:val="006530AA"/>
    <w:rsid w:val="00653188"/>
    <w:rsid w:val="0065343F"/>
    <w:rsid w:val="006534B9"/>
    <w:rsid w:val="00653534"/>
    <w:rsid w:val="00653691"/>
    <w:rsid w:val="00653B53"/>
    <w:rsid w:val="006540BB"/>
    <w:rsid w:val="00654491"/>
    <w:rsid w:val="0065462B"/>
    <w:rsid w:val="0065478A"/>
    <w:rsid w:val="00654973"/>
    <w:rsid w:val="00654A4C"/>
    <w:rsid w:val="00654AE7"/>
    <w:rsid w:val="00654AEA"/>
    <w:rsid w:val="00654D89"/>
    <w:rsid w:val="00654F8F"/>
    <w:rsid w:val="006552C2"/>
    <w:rsid w:val="006553C8"/>
    <w:rsid w:val="006553EA"/>
    <w:rsid w:val="00655579"/>
    <w:rsid w:val="0065568C"/>
    <w:rsid w:val="0065575C"/>
    <w:rsid w:val="006557DF"/>
    <w:rsid w:val="00655C63"/>
    <w:rsid w:val="00655D30"/>
    <w:rsid w:val="00656042"/>
    <w:rsid w:val="00656788"/>
    <w:rsid w:val="0065692B"/>
    <w:rsid w:val="00656B30"/>
    <w:rsid w:val="00656B3C"/>
    <w:rsid w:val="00656BE2"/>
    <w:rsid w:val="00656F3A"/>
    <w:rsid w:val="0065705B"/>
    <w:rsid w:val="006570FE"/>
    <w:rsid w:val="00657161"/>
    <w:rsid w:val="006572B1"/>
    <w:rsid w:val="00657592"/>
    <w:rsid w:val="006578AE"/>
    <w:rsid w:val="006579FF"/>
    <w:rsid w:val="00657AAF"/>
    <w:rsid w:val="00657B85"/>
    <w:rsid w:val="00657BF2"/>
    <w:rsid w:val="00657BF3"/>
    <w:rsid w:val="00657C2F"/>
    <w:rsid w:val="00657E9F"/>
    <w:rsid w:val="00657FD7"/>
    <w:rsid w:val="00660210"/>
    <w:rsid w:val="006602AE"/>
    <w:rsid w:val="0066033C"/>
    <w:rsid w:val="006604DC"/>
    <w:rsid w:val="00660782"/>
    <w:rsid w:val="006608D0"/>
    <w:rsid w:val="00660D18"/>
    <w:rsid w:val="00661017"/>
    <w:rsid w:val="0066143C"/>
    <w:rsid w:val="0066179A"/>
    <w:rsid w:val="00661828"/>
    <w:rsid w:val="00661D97"/>
    <w:rsid w:val="00661F20"/>
    <w:rsid w:val="0066209C"/>
    <w:rsid w:val="006622E8"/>
    <w:rsid w:val="006626FF"/>
    <w:rsid w:val="0066294E"/>
    <w:rsid w:val="00662B9F"/>
    <w:rsid w:val="00662D3A"/>
    <w:rsid w:val="00662DE2"/>
    <w:rsid w:val="006634D6"/>
    <w:rsid w:val="0066379C"/>
    <w:rsid w:val="006637B7"/>
    <w:rsid w:val="00663921"/>
    <w:rsid w:val="00663997"/>
    <w:rsid w:val="00663A9A"/>
    <w:rsid w:val="00663C57"/>
    <w:rsid w:val="00663D22"/>
    <w:rsid w:val="0066409C"/>
    <w:rsid w:val="006643AA"/>
    <w:rsid w:val="00664433"/>
    <w:rsid w:val="0066449B"/>
    <w:rsid w:val="0066452E"/>
    <w:rsid w:val="00664659"/>
    <w:rsid w:val="006646CF"/>
    <w:rsid w:val="00664870"/>
    <w:rsid w:val="00664A04"/>
    <w:rsid w:val="00664A45"/>
    <w:rsid w:val="00665041"/>
    <w:rsid w:val="006650BF"/>
    <w:rsid w:val="006651D5"/>
    <w:rsid w:val="0066520E"/>
    <w:rsid w:val="0066527E"/>
    <w:rsid w:val="006654A6"/>
    <w:rsid w:val="00665588"/>
    <w:rsid w:val="006658AC"/>
    <w:rsid w:val="00665C45"/>
    <w:rsid w:val="00665DCA"/>
    <w:rsid w:val="00665E94"/>
    <w:rsid w:val="006660B8"/>
    <w:rsid w:val="006662A1"/>
    <w:rsid w:val="0066655B"/>
    <w:rsid w:val="006665BC"/>
    <w:rsid w:val="00666691"/>
    <w:rsid w:val="00666845"/>
    <w:rsid w:val="00666919"/>
    <w:rsid w:val="0066697F"/>
    <w:rsid w:val="00666AD5"/>
    <w:rsid w:val="00666B15"/>
    <w:rsid w:val="00666C1F"/>
    <w:rsid w:val="00666EFB"/>
    <w:rsid w:val="00666F50"/>
    <w:rsid w:val="0066719A"/>
    <w:rsid w:val="0066729C"/>
    <w:rsid w:val="00667483"/>
    <w:rsid w:val="00667909"/>
    <w:rsid w:val="00670446"/>
    <w:rsid w:val="00670512"/>
    <w:rsid w:val="0067054D"/>
    <w:rsid w:val="00670792"/>
    <w:rsid w:val="0067095C"/>
    <w:rsid w:val="00670BFF"/>
    <w:rsid w:val="00671041"/>
    <w:rsid w:val="0067105F"/>
    <w:rsid w:val="00671192"/>
    <w:rsid w:val="006712CF"/>
    <w:rsid w:val="0067134C"/>
    <w:rsid w:val="00671516"/>
    <w:rsid w:val="00671770"/>
    <w:rsid w:val="00671CA9"/>
    <w:rsid w:val="00671F20"/>
    <w:rsid w:val="00672126"/>
    <w:rsid w:val="00672212"/>
    <w:rsid w:val="00672380"/>
    <w:rsid w:val="0067253B"/>
    <w:rsid w:val="00672599"/>
    <w:rsid w:val="00672ADC"/>
    <w:rsid w:val="00672C0A"/>
    <w:rsid w:val="00672F64"/>
    <w:rsid w:val="00672F68"/>
    <w:rsid w:val="00673013"/>
    <w:rsid w:val="0067334C"/>
    <w:rsid w:val="00673789"/>
    <w:rsid w:val="00673C03"/>
    <w:rsid w:val="00673D78"/>
    <w:rsid w:val="00673E26"/>
    <w:rsid w:val="00673FA9"/>
    <w:rsid w:val="006743AE"/>
    <w:rsid w:val="0067440D"/>
    <w:rsid w:val="00674539"/>
    <w:rsid w:val="006746C4"/>
    <w:rsid w:val="00674768"/>
    <w:rsid w:val="006749A3"/>
    <w:rsid w:val="00674AD9"/>
    <w:rsid w:val="00674DA0"/>
    <w:rsid w:val="00674E44"/>
    <w:rsid w:val="00675256"/>
    <w:rsid w:val="0067535F"/>
    <w:rsid w:val="006753AA"/>
    <w:rsid w:val="00675554"/>
    <w:rsid w:val="006758FB"/>
    <w:rsid w:val="00675966"/>
    <w:rsid w:val="00675A77"/>
    <w:rsid w:val="0067605F"/>
    <w:rsid w:val="00676289"/>
    <w:rsid w:val="00676548"/>
    <w:rsid w:val="006765BA"/>
    <w:rsid w:val="006767F4"/>
    <w:rsid w:val="00676AF7"/>
    <w:rsid w:val="00676B57"/>
    <w:rsid w:val="00676CC9"/>
    <w:rsid w:val="00677048"/>
    <w:rsid w:val="006773A7"/>
    <w:rsid w:val="00677503"/>
    <w:rsid w:val="0067760C"/>
    <w:rsid w:val="00677743"/>
    <w:rsid w:val="00677897"/>
    <w:rsid w:val="00677A85"/>
    <w:rsid w:val="00677AB3"/>
    <w:rsid w:val="00677ACC"/>
    <w:rsid w:val="0068018C"/>
    <w:rsid w:val="00680195"/>
    <w:rsid w:val="0068057D"/>
    <w:rsid w:val="0068072B"/>
    <w:rsid w:val="006809C2"/>
    <w:rsid w:val="00680CED"/>
    <w:rsid w:val="00680D3B"/>
    <w:rsid w:val="00680DF8"/>
    <w:rsid w:val="006812AF"/>
    <w:rsid w:val="0068130B"/>
    <w:rsid w:val="006813BD"/>
    <w:rsid w:val="00681400"/>
    <w:rsid w:val="006814E2"/>
    <w:rsid w:val="00681655"/>
    <w:rsid w:val="00681788"/>
    <w:rsid w:val="00681BD0"/>
    <w:rsid w:val="00681C1B"/>
    <w:rsid w:val="00681DF9"/>
    <w:rsid w:val="0068208D"/>
    <w:rsid w:val="006820EA"/>
    <w:rsid w:val="00682216"/>
    <w:rsid w:val="006823C8"/>
    <w:rsid w:val="00682557"/>
    <w:rsid w:val="0068271C"/>
    <w:rsid w:val="00682807"/>
    <w:rsid w:val="00682898"/>
    <w:rsid w:val="00682B50"/>
    <w:rsid w:val="00682CAB"/>
    <w:rsid w:val="00682E41"/>
    <w:rsid w:val="00682E49"/>
    <w:rsid w:val="0068326F"/>
    <w:rsid w:val="006832A8"/>
    <w:rsid w:val="006834CD"/>
    <w:rsid w:val="006836D0"/>
    <w:rsid w:val="00683C46"/>
    <w:rsid w:val="00683CE7"/>
    <w:rsid w:val="00683FF7"/>
    <w:rsid w:val="00684094"/>
    <w:rsid w:val="006840DD"/>
    <w:rsid w:val="00684126"/>
    <w:rsid w:val="0068415B"/>
    <w:rsid w:val="00684281"/>
    <w:rsid w:val="0068431C"/>
    <w:rsid w:val="00684358"/>
    <w:rsid w:val="006849B1"/>
    <w:rsid w:val="006849F5"/>
    <w:rsid w:val="00684B9E"/>
    <w:rsid w:val="0068518C"/>
    <w:rsid w:val="00685266"/>
    <w:rsid w:val="0068551E"/>
    <w:rsid w:val="006857FA"/>
    <w:rsid w:val="006858A2"/>
    <w:rsid w:val="00685D58"/>
    <w:rsid w:val="00685DDB"/>
    <w:rsid w:val="00685F83"/>
    <w:rsid w:val="006861A3"/>
    <w:rsid w:val="00686468"/>
    <w:rsid w:val="006864B7"/>
    <w:rsid w:val="00686583"/>
    <w:rsid w:val="0068667D"/>
    <w:rsid w:val="00686699"/>
    <w:rsid w:val="00686748"/>
    <w:rsid w:val="00686757"/>
    <w:rsid w:val="00686DDB"/>
    <w:rsid w:val="00687036"/>
    <w:rsid w:val="006873DC"/>
    <w:rsid w:val="006875CA"/>
    <w:rsid w:val="00687638"/>
    <w:rsid w:val="0068765C"/>
    <w:rsid w:val="00687753"/>
    <w:rsid w:val="006879BF"/>
    <w:rsid w:val="00687AF1"/>
    <w:rsid w:val="00687B91"/>
    <w:rsid w:val="00687D31"/>
    <w:rsid w:val="00687EC0"/>
    <w:rsid w:val="00687F71"/>
    <w:rsid w:val="00690073"/>
    <w:rsid w:val="00690535"/>
    <w:rsid w:val="00690881"/>
    <w:rsid w:val="00690891"/>
    <w:rsid w:val="00690A75"/>
    <w:rsid w:val="00690D63"/>
    <w:rsid w:val="00690E79"/>
    <w:rsid w:val="00690E8C"/>
    <w:rsid w:val="006913AA"/>
    <w:rsid w:val="006916A2"/>
    <w:rsid w:val="006916FA"/>
    <w:rsid w:val="006919F7"/>
    <w:rsid w:val="00691A22"/>
    <w:rsid w:val="00691BEC"/>
    <w:rsid w:val="0069235D"/>
    <w:rsid w:val="006923CF"/>
    <w:rsid w:val="006924DA"/>
    <w:rsid w:val="00692799"/>
    <w:rsid w:val="00692873"/>
    <w:rsid w:val="00692AE5"/>
    <w:rsid w:val="00692C4D"/>
    <w:rsid w:val="00692D16"/>
    <w:rsid w:val="00692DF4"/>
    <w:rsid w:val="006933AF"/>
    <w:rsid w:val="00693642"/>
    <w:rsid w:val="006937CF"/>
    <w:rsid w:val="00693AFA"/>
    <w:rsid w:val="00693B51"/>
    <w:rsid w:val="00693CA1"/>
    <w:rsid w:val="00693EDA"/>
    <w:rsid w:val="0069410A"/>
    <w:rsid w:val="00694327"/>
    <w:rsid w:val="00694402"/>
    <w:rsid w:val="006944C7"/>
    <w:rsid w:val="006944D6"/>
    <w:rsid w:val="0069455C"/>
    <w:rsid w:val="00694614"/>
    <w:rsid w:val="00694F5E"/>
    <w:rsid w:val="0069502F"/>
    <w:rsid w:val="00695280"/>
    <w:rsid w:val="006957A3"/>
    <w:rsid w:val="006959FB"/>
    <w:rsid w:val="00695BBE"/>
    <w:rsid w:val="00695BC0"/>
    <w:rsid w:val="00695D9A"/>
    <w:rsid w:val="00695F0B"/>
    <w:rsid w:val="00695F70"/>
    <w:rsid w:val="006960C0"/>
    <w:rsid w:val="0069624B"/>
    <w:rsid w:val="00696A7B"/>
    <w:rsid w:val="00696D84"/>
    <w:rsid w:val="00696DE6"/>
    <w:rsid w:val="00696ECF"/>
    <w:rsid w:val="00697173"/>
    <w:rsid w:val="00697330"/>
    <w:rsid w:val="00697493"/>
    <w:rsid w:val="00697519"/>
    <w:rsid w:val="006976D4"/>
    <w:rsid w:val="0069796E"/>
    <w:rsid w:val="00697B40"/>
    <w:rsid w:val="00697B57"/>
    <w:rsid w:val="00697D1F"/>
    <w:rsid w:val="00697F3C"/>
    <w:rsid w:val="00697FBF"/>
    <w:rsid w:val="006A057B"/>
    <w:rsid w:val="006A0B93"/>
    <w:rsid w:val="006A0BE4"/>
    <w:rsid w:val="006A0EBF"/>
    <w:rsid w:val="006A0EE7"/>
    <w:rsid w:val="006A0F93"/>
    <w:rsid w:val="006A1043"/>
    <w:rsid w:val="006A107A"/>
    <w:rsid w:val="006A15F3"/>
    <w:rsid w:val="006A175D"/>
    <w:rsid w:val="006A1A60"/>
    <w:rsid w:val="006A1AA8"/>
    <w:rsid w:val="006A1BB3"/>
    <w:rsid w:val="006A1D5C"/>
    <w:rsid w:val="006A1DBF"/>
    <w:rsid w:val="006A21A6"/>
    <w:rsid w:val="006A2292"/>
    <w:rsid w:val="006A2346"/>
    <w:rsid w:val="006A24FE"/>
    <w:rsid w:val="006A2C2A"/>
    <w:rsid w:val="006A2CA0"/>
    <w:rsid w:val="006A2CAE"/>
    <w:rsid w:val="006A2CCF"/>
    <w:rsid w:val="006A2F56"/>
    <w:rsid w:val="006A30AB"/>
    <w:rsid w:val="006A3249"/>
    <w:rsid w:val="006A33F0"/>
    <w:rsid w:val="006A344E"/>
    <w:rsid w:val="006A34E1"/>
    <w:rsid w:val="006A37BD"/>
    <w:rsid w:val="006A3B9B"/>
    <w:rsid w:val="006A3BD1"/>
    <w:rsid w:val="006A3C0B"/>
    <w:rsid w:val="006A3D41"/>
    <w:rsid w:val="006A3F47"/>
    <w:rsid w:val="006A4270"/>
    <w:rsid w:val="006A42DD"/>
    <w:rsid w:val="006A42E1"/>
    <w:rsid w:val="006A470E"/>
    <w:rsid w:val="006A47A4"/>
    <w:rsid w:val="006A4B68"/>
    <w:rsid w:val="006A4CE9"/>
    <w:rsid w:val="006A4D59"/>
    <w:rsid w:val="006A4D8A"/>
    <w:rsid w:val="006A4E35"/>
    <w:rsid w:val="006A4FA5"/>
    <w:rsid w:val="006A52B6"/>
    <w:rsid w:val="006A530F"/>
    <w:rsid w:val="006A53C0"/>
    <w:rsid w:val="006A5593"/>
    <w:rsid w:val="006A58C4"/>
    <w:rsid w:val="006A679F"/>
    <w:rsid w:val="006A6931"/>
    <w:rsid w:val="006A6941"/>
    <w:rsid w:val="006A6985"/>
    <w:rsid w:val="006A727F"/>
    <w:rsid w:val="006A7307"/>
    <w:rsid w:val="006A7327"/>
    <w:rsid w:val="006A733F"/>
    <w:rsid w:val="006A739F"/>
    <w:rsid w:val="006A7574"/>
    <w:rsid w:val="006A7584"/>
    <w:rsid w:val="006A767D"/>
    <w:rsid w:val="006A7BBD"/>
    <w:rsid w:val="006A7DD3"/>
    <w:rsid w:val="006B0039"/>
    <w:rsid w:val="006B009A"/>
    <w:rsid w:val="006B0297"/>
    <w:rsid w:val="006B03AF"/>
    <w:rsid w:val="006B03F1"/>
    <w:rsid w:val="006B08BC"/>
    <w:rsid w:val="006B090B"/>
    <w:rsid w:val="006B0981"/>
    <w:rsid w:val="006B0D6B"/>
    <w:rsid w:val="006B0EC2"/>
    <w:rsid w:val="006B100C"/>
    <w:rsid w:val="006B11DF"/>
    <w:rsid w:val="006B11FD"/>
    <w:rsid w:val="006B12FE"/>
    <w:rsid w:val="006B148D"/>
    <w:rsid w:val="006B1613"/>
    <w:rsid w:val="006B1774"/>
    <w:rsid w:val="006B1CAD"/>
    <w:rsid w:val="006B1DC0"/>
    <w:rsid w:val="006B1E77"/>
    <w:rsid w:val="006B1F4F"/>
    <w:rsid w:val="006B1F65"/>
    <w:rsid w:val="006B1FFA"/>
    <w:rsid w:val="006B260C"/>
    <w:rsid w:val="006B267F"/>
    <w:rsid w:val="006B2796"/>
    <w:rsid w:val="006B2C2A"/>
    <w:rsid w:val="006B2E8C"/>
    <w:rsid w:val="006B32C7"/>
    <w:rsid w:val="006B341F"/>
    <w:rsid w:val="006B3463"/>
    <w:rsid w:val="006B3671"/>
    <w:rsid w:val="006B3B84"/>
    <w:rsid w:val="006B3EB0"/>
    <w:rsid w:val="006B3EE2"/>
    <w:rsid w:val="006B450E"/>
    <w:rsid w:val="006B468A"/>
    <w:rsid w:val="006B475C"/>
    <w:rsid w:val="006B47E1"/>
    <w:rsid w:val="006B4AC1"/>
    <w:rsid w:val="006B5054"/>
    <w:rsid w:val="006B54D5"/>
    <w:rsid w:val="006B59AE"/>
    <w:rsid w:val="006B5C65"/>
    <w:rsid w:val="006B61B1"/>
    <w:rsid w:val="006B62D8"/>
    <w:rsid w:val="006B632D"/>
    <w:rsid w:val="006B6424"/>
    <w:rsid w:val="006B65A0"/>
    <w:rsid w:val="006B688D"/>
    <w:rsid w:val="006B6959"/>
    <w:rsid w:val="006B6D8D"/>
    <w:rsid w:val="006B6E03"/>
    <w:rsid w:val="006B6F29"/>
    <w:rsid w:val="006B6FF8"/>
    <w:rsid w:val="006B71AF"/>
    <w:rsid w:val="006B7399"/>
    <w:rsid w:val="006B73EE"/>
    <w:rsid w:val="006B74AC"/>
    <w:rsid w:val="006B74D3"/>
    <w:rsid w:val="006B7633"/>
    <w:rsid w:val="006B78F1"/>
    <w:rsid w:val="006B79B8"/>
    <w:rsid w:val="006B7AE5"/>
    <w:rsid w:val="006C0231"/>
    <w:rsid w:val="006C035C"/>
    <w:rsid w:val="006C0823"/>
    <w:rsid w:val="006C0A18"/>
    <w:rsid w:val="006C0C14"/>
    <w:rsid w:val="006C0DEB"/>
    <w:rsid w:val="006C0FFD"/>
    <w:rsid w:val="006C149B"/>
    <w:rsid w:val="006C151A"/>
    <w:rsid w:val="006C1640"/>
    <w:rsid w:val="006C1771"/>
    <w:rsid w:val="006C1ABD"/>
    <w:rsid w:val="006C1B2E"/>
    <w:rsid w:val="006C1BA3"/>
    <w:rsid w:val="006C1CDC"/>
    <w:rsid w:val="006C1E69"/>
    <w:rsid w:val="006C208A"/>
    <w:rsid w:val="006C21CD"/>
    <w:rsid w:val="006C22B2"/>
    <w:rsid w:val="006C2542"/>
    <w:rsid w:val="006C29FA"/>
    <w:rsid w:val="006C2D67"/>
    <w:rsid w:val="006C2F51"/>
    <w:rsid w:val="006C2FA0"/>
    <w:rsid w:val="006C332F"/>
    <w:rsid w:val="006C3340"/>
    <w:rsid w:val="006C3426"/>
    <w:rsid w:val="006C38B8"/>
    <w:rsid w:val="006C39A0"/>
    <w:rsid w:val="006C3A5B"/>
    <w:rsid w:val="006C3CFA"/>
    <w:rsid w:val="006C44C3"/>
    <w:rsid w:val="006C4647"/>
    <w:rsid w:val="006C479E"/>
    <w:rsid w:val="006C4D79"/>
    <w:rsid w:val="006C4D7A"/>
    <w:rsid w:val="006C4EEE"/>
    <w:rsid w:val="006C5037"/>
    <w:rsid w:val="006C5041"/>
    <w:rsid w:val="006C50C7"/>
    <w:rsid w:val="006C5505"/>
    <w:rsid w:val="006C5609"/>
    <w:rsid w:val="006C57AE"/>
    <w:rsid w:val="006C582B"/>
    <w:rsid w:val="006C5AE2"/>
    <w:rsid w:val="006C5BD1"/>
    <w:rsid w:val="006C5C15"/>
    <w:rsid w:val="006C604E"/>
    <w:rsid w:val="006C62F4"/>
    <w:rsid w:val="006C6811"/>
    <w:rsid w:val="006C6AF7"/>
    <w:rsid w:val="006C73EE"/>
    <w:rsid w:val="006C7936"/>
    <w:rsid w:val="006C7CE9"/>
    <w:rsid w:val="006C7E25"/>
    <w:rsid w:val="006C7EC7"/>
    <w:rsid w:val="006D0334"/>
    <w:rsid w:val="006D0464"/>
    <w:rsid w:val="006D0506"/>
    <w:rsid w:val="006D05A7"/>
    <w:rsid w:val="006D0727"/>
    <w:rsid w:val="006D0746"/>
    <w:rsid w:val="006D0A91"/>
    <w:rsid w:val="006D0B18"/>
    <w:rsid w:val="006D0C1D"/>
    <w:rsid w:val="006D0D1D"/>
    <w:rsid w:val="006D0E40"/>
    <w:rsid w:val="006D0F29"/>
    <w:rsid w:val="006D0FD6"/>
    <w:rsid w:val="006D11BA"/>
    <w:rsid w:val="006D1284"/>
    <w:rsid w:val="006D16D3"/>
    <w:rsid w:val="006D182B"/>
    <w:rsid w:val="006D1C33"/>
    <w:rsid w:val="006D1C6E"/>
    <w:rsid w:val="006D20BC"/>
    <w:rsid w:val="006D21A8"/>
    <w:rsid w:val="006D24ED"/>
    <w:rsid w:val="006D25AB"/>
    <w:rsid w:val="006D29C6"/>
    <w:rsid w:val="006D2AD2"/>
    <w:rsid w:val="006D2E86"/>
    <w:rsid w:val="006D2F4D"/>
    <w:rsid w:val="006D3087"/>
    <w:rsid w:val="006D3163"/>
    <w:rsid w:val="006D34F7"/>
    <w:rsid w:val="006D36FD"/>
    <w:rsid w:val="006D375A"/>
    <w:rsid w:val="006D37B4"/>
    <w:rsid w:val="006D3816"/>
    <w:rsid w:val="006D3946"/>
    <w:rsid w:val="006D3AE7"/>
    <w:rsid w:val="006D3BA0"/>
    <w:rsid w:val="006D3EFA"/>
    <w:rsid w:val="006D427E"/>
    <w:rsid w:val="006D44D1"/>
    <w:rsid w:val="006D45A2"/>
    <w:rsid w:val="006D45AE"/>
    <w:rsid w:val="006D46B3"/>
    <w:rsid w:val="006D485B"/>
    <w:rsid w:val="006D4916"/>
    <w:rsid w:val="006D4E30"/>
    <w:rsid w:val="006D4ECD"/>
    <w:rsid w:val="006D4F39"/>
    <w:rsid w:val="006D50E8"/>
    <w:rsid w:val="006D5169"/>
    <w:rsid w:val="006D5297"/>
    <w:rsid w:val="006D53E5"/>
    <w:rsid w:val="006D562B"/>
    <w:rsid w:val="006D584C"/>
    <w:rsid w:val="006D5B1B"/>
    <w:rsid w:val="006D5C50"/>
    <w:rsid w:val="006D5D1A"/>
    <w:rsid w:val="006D5DC5"/>
    <w:rsid w:val="006D5E55"/>
    <w:rsid w:val="006D63CD"/>
    <w:rsid w:val="006D664E"/>
    <w:rsid w:val="006D67C6"/>
    <w:rsid w:val="006D6D68"/>
    <w:rsid w:val="006D6DC2"/>
    <w:rsid w:val="006D6E8B"/>
    <w:rsid w:val="006D6E99"/>
    <w:rsid w:val="006D6F82"/>
    <w:rsid w:val="006D70AF"/>
    <w:rsid w:val="006D7591"/>
    <w:rsid w:val="006D75BD"/>
    <w:rsid w:val="006D75CA"/>
    <w:rsid w:val="006D76C0"/>
    <w:rsid w:val="006D771B"/>
    <w:rsid w:val="006D77B5"/>
    <w:rsid w:val="006D79D9"/>
    <w:rsid w:val="006D7B52"/>
    <w:rsid w:val="006D7BB0"/>
    <w:rsid w:val="006D7C33"/>
    <w:rsid w:val="006D7D52"/>
    <w:rsid w:val="006D7E5A"/>
    <w:rsid w:val="006D7F5D"/>
    <w:rsid w:val="006D7F93"/>
    <w:rsid w:val="006E0007"/>
    <w:rsid w:val="006E02AA"/>
    <w:rsid w:val="006E08CF"/>
    <w:rsid w:val="006E0AA6"/>
    <w:rsid w:val="006E0EC2"/>
    <w:rsid w:val="006E15CC"/>
    <w:rsid w:val="006E15E5"/>
    <w:rsid w:val="006E181A"/>
    <w:rsid w:val="006E1F93"/>
    <w:rsid w:val="006E227F"/>
    <w:rsid w:val="006E23DB"/>
    <w:rsid w:val="006E2754"/>
    <w:rsid w:val="006E294F"/>
    <w:rsid w:val="006E2975"/>
    <w:rsid w:val="006E2A1A"/>
    <w:rsid w:val="006E2CC4"/>
    <w:rsid w:val="006E2D13"/>
    <w:rsid w:val="006E2E81"/>
    <w:rsid w:val="006E32A2"/>
    <w:rsid w:val="006E376E"/>
    <w:rsid w:val="006E3B11"/>
    <w:rsid w:val="006E3BB4"/>
    <w:rsid w:val="006E3F20"/>
    <w:rsid w:val="006E3F47"/>
    <w:rsid w:val="006E3F4B"/>
    <w:rsid w:val="006E3F56"/>
    <w:rsid w:val="006E40CA"/>
    <w:rsid w:val="006E40E7"/>
    <w:rsid w:val="006E4386"/>
    <w:rsid w:val="006E43C0"/>
    <w:rsid w:val="006E443A"/>
    <w:rsid w:val="006E449E"/>
    <w:rsid w:val="006E4772"/>
    <w:rsid w:val="006E48DE"/>
    <w:rsid w:val="006E4A17"/>
    <w:rsid w:val="006E4BFD"/>
    <w:rsid w:val="006E4EA0"/>
    <w:rsid w:val="006E51C9"/>
    <w:rsid w:val="006E53AF"/>
    <w:rsid w:val="006E5502"/>
    <w:rsid w:val="006E553E"/>
    <w:rsid w:val="006E5551"/>
    <w:rsid w:val="006E55EE"/>
    <w:rsid w:val="006E5625"/>
    <w:rsid w:val="006E5797"/>
    <w:rsid w:val="006E5A1A"/>
    <w:rsid w:val="006E5C39"/>
    <w:rsid w:val="006E5C42"/>
    <w:rsid w:val="006E5C5A"/>
    <w:rsid w:val="006E5C91"/>
    <w:rsid w:val="006E5DF7"/>
    <w:rsid w:val="006E5E53"/>
    <w:rsid w:val="006E5F9E"/>
    <w:rsid w:val="006E63A1"/>
    <w:rsid w:val="006E63AA"/>
    <w:rsid w:val="006E649B"/>
    <w:rsid w:val="006E6600"/>
    <w:rsid w:val="006E6630"/>
    <w:rsid w:val="006E6A11"/>
    <w:rsid w:val="006E6C50"/>
    <w:rsid w:val="006E7040"/>
    <w:rsid w:val="006E70A2"/>
    <w:rsid w:val="006E70D2"/>
    <w:rsid w:val="006E70D7"/>
    <w:rsid w:val="006E7468"/>
    <w:rsid w:val="006E76C7"/>
    <w:rsid w:val="006E7AEB"/>
    <w:rsid w:val="006E7D41"/>
    <w:rsid w:val="006E7E71"/>
    <w:rsid w:val="006F0018"/>
    <w:rsid w:val="006F07A0"/>
    <w:rsid w:val="006F088B"/>
    <w:rsid w:val="006F097F"/>
    <w:rsid w:val="006F0DD6"/>
    <w:rsid w:val="006F0E0E"/>
    <w:rsid w:val="006F0E2F"/>
    <w:rsid w:val="006F12AC"/>
    <w:rsid w:val="006F1451"/>
    <w:rsid w:val="006F14CC"/>
    <w:rsid w:val="006F17C7"/>
    <w:rsid w:val="006F188F"/>
    <w:rsid w:val="006F1C36"/>
    <w:rsid w:val="006F1C63"/>
    <w:rsid w:val="006F1D05"/>
    <w:rsid w:val="006F1FE9"/>
    <w:rsid w:val="006F1FF1"/>
    <w:rsid w:val="006F21B5"/>
    <w:rsid w:val="006F22C2"/>
    <w:rsid w:val="006F2A47"/>
    <w:rsid w:val="006F2AA2"/>
    <w:rsid w:val="006F2BBD"/>
    <w:rsid w:val="006F2FFD"/>
    <w:rsid w:val="006F300A"/>
    <w:rsid w:val="006F33BD"/>
    <w:rsid w:val="006F344E"/>
    <w:rsid w:val="006F3602"/>
    <w:rsid w:val="006F3620"/>
    <w:rsid w:val="006F3841"/>
    <w:rsid w:val="006F3B53"/>
    <w:rsid w:val="006F3CD6"/>
    <w:rsid w:val="006F3E1E"/>
    <w:rsid w:val="006F3E2F"/>
    <w:rsid w:val="006F3EE6"/>
    <w:rsid w:val="006F4022"/>
    <w:rsid w:val="006F4260"/>
    <w:rsid w:val="006F4386"/>
    <w:rsid w:val="006F43D9"/>
    <w:rsid w:val="006F49CC"/>
    <w:rsid w:val="006F4A2C"/>
    <w:rsid w:val="006F4ACA"/>
    <w:rsid w:val="006F4B07"/>
    <w:rsid w:val="006F4B4D"/>
    <w:rsid w:val="006F4D55"/>
    <w:rsid w:val="006F4D7C"/>
    <w:rsid w:val="006F4E6D"/>
    <w:rsid w:val="006F503A"/>
    <w:rsid w:val="006F5135"/>
    <w:rsid w:val="006F56D4"/>
    <w:rsid w:val="006F595C"/>
    <w:rsid w:val="006F5B7A"/>
    <w:rsid w:val="006F5C4A"/>
    <w:rsid w:val="006F5E2F"/>
    <w:rsid w:val="006F5F83"/>
    <w:rsid w:val="006F6008"/>
    <w:rsid w:val="006F62E7"/>
    <w:rsid w:val="006F65F9"/>
    <w:rsid w:val="006F67B0"/>
    <w:rsid w:val="006F6806"/>
    <w:rsid w:val="006F682F"/>
    <w:rsid w:val="006F6A83"/>
    <w:rsid w:val="006F6E12"/>
    <w:rsid w:val="006F7034"/>
    <w:rsid w:val="006F7063"/>
    <w:rsid w:val="006F70EE"/>
    <w:rsid w:val="006F71ED"/>
    <w:rsid w:val="006F7420"/>
    <w:rsid w:val="006F7647"/>
    <w:rsid w:val="006F76C3"/>
    <w:rsid w:val="006F76D4"/>
    <w:rsid w:val="006F771C"/>
    <w:rsid w:val="006F7F33"/>
    <w:rsid w:val="007001C5"/>
    <w:rsid w:val="00700617"/>
    <w:rsid w:val="0070073B"/>
    <w:rsid w:val="007008D6"/>
    <w:rsid w:val="00700996"/>
    <w:rsid w:val="00700A00"/>
    <w:rsid w:val="00700B2E"/>
    <w:rsid w:val="00700DC9"/>
    <w:rsid w:val="007013D6"/>
    <w:rsid w:val="00701788"/>
    <w:rsid w:val="0070180F"/>
    <w:rsid w:val="00701FB9"/>
    <w:rsid w:val="007020EA"/>
    <w:rsid w:val="00702434"/>
    <w:rsid w:val="00702590"/>
    <w:rsid w:val="00702607"/>
    <w:rsid w:val="00702669"/>
    <w:rsid w:val="00702713"/>
    <w:rsid w:val="0070271F"/>
    <w:rsid w:val="007028AF"/>
    <w:rsid w:val="00702A11"/>
    <w:rsid w:val="00702A39"/>
    <w:rsid w:val="00702C0A"/>
    <w:rsid w:val="00702CFE"/>
    <w:rsid w:val="00702EE4"/>
    <w:rsid w:val="00703068"/>
    <w:rsid w:val="00703100"/>
    <w:rsid w:val="0070318F"/>
    <w:rsid w:val="007031E3"/>
    <w:rsid w:val="00703597"/>
    <w:rsid w:val="00703896"/>
    <w:rsid w:val="007038E8"/>
    <w:rsid w:val="00703AB7"/>
    <w:rsid w:val="00703B85"/>
    <w:rsid w:val="00703DA8"/>
    <w:rsid w:val="00703FCA"/>
    <w:rsid w:val="00704016"/>
    <w:rsid w:val="007044FA"/>
    <w:rsid w:val="0070459B"/>
    <w:rsid w:val="00704A81"/>
    <w:rsid w:val="00704CDD"/>
    <w:rsid w:val="00704D77"/>
    <w:rsid w:val="00704E13"/>
    <w:rsid w:val="00704F47"/>
    <w:rsid w:val="00704FEC"/>
    <w:rsid w:val="00705068"/>
    <w:rsid w:val="007054D5"/>
    <w:rsid w:val="00705669"/>
    <w:rsid w:val="00705A7F"/>
    <w:rsid w:val="00705B01"/>
    <w:rsid w:val="00705CF5"/>
    <w:rsid w:val="00705E9E"/>
    <w:rsid w:val="00705F7C"/>
    <w:rsid w:val="0070633F"/>
    <w:rsid w:val="0070642E"/>
    <w:rsid w:val="00706592"/>
    <w:rsid w:val="007065B8"/>
    <w:rsid w:val="00706648"/>
    <w:rsid w:val="0070685F"/>
    <w:rsid w:val="00706992"/>
    <w:rsid w:val="00706A6C"/>
    <w:rsid w:val="00706A8F"/>
    <w:rsid w:val="00706AA9"/>
    <w:rsid w:val="00706B07"/>
    <w:rsid w:val="00706EC5"/>
    <w:rsid w:val="00706F3D"/>
    <w:rsid w:val="00706F43"/>
    <w:rsid w:val="00706F82"/>
    <w:rsid w:val="007071DC"/>
    <w:rsid w:val="00707258"/>
    <w:rsid w:val="00707481"/>
    <w:rsid w:val="007077F9"/>
    <w:rsid w:val="007078AB"/>
    <w:rsid w:val="007078D1"/>
    <w:rsid w:val="00707A33"/>
    <w:rsid w:val="00707B10"/>
    <w:rsid w:val="00707C61"/>
    <w:rsid w:val="00707CB1"/>
    <w:rsid w:val="00707DB5"/>
    <w:rsid w:val="00707E25"/>
    <w:rsid w:val="00710001"/>
    <w:rsid w:val="0071044F"/>
    <w:rsid w:val="007108A1"/>
    <w:rsid w:val="00710C67"/>
    <w:rsid w:val="00710E6C"/>
    <w:rsid w:val="00710E77"/>
    <w:rsid w:val="0071100B"/>
    <w:rsid w:val="007110CF"/>
    <w:rsid w:val="00711147"/>
    <w:rsid w:val="007112FB"/>
    <w:rsid w:val="0071147A"/>
    <w:rsid w:val="00711691"/>
    <w:rsid w:val="007116E4"/>
    <w:rsid w:val="00711785"/>
    <w:rsid w:val="00711789"/>
    <w:rsid w:val="007118BD"/>
    <w:rsid w:val="00711C5F"/>
    <w:rsid w:val="00711E39"/>
    <w:rsid w:val="0071213B"/>
    <w:rsid w:val="00712286"/>
    <w:rsid w:val="00712418"/>
    <w:rsid w:val="007124ED"/>
    <w:rsid w:val="0071284B"/>
    <w:rsid w:val="00712A03"/>
    <w:rsid w:val="00712D9A"/>
    <w:rsid w:val="00712EB7"/>
    <w:rsid w:val="00713033"/>
    <w:rsid w:val="00713312"/>
    <w:rsid w:val="007136F8"/>
    <w:rsid w:val="0071389F"/>
    <w:rsid w:val="00713928"/>
    <w:rsid w:val="007139B4"/>
    <w:rsid w:val="00713C8A"/>
    <w:rsid w:val="00713FEB"/>
    <w:rsid w:val="0071425F"/>
    <w:rsid w:val="0071429D"/>
    <w:rsid w:val="00714519"/>
    <w:rsid w:val="0071463B"/>
    <w:rsid w:val="007146DE"/>
    <w:rsid w:val="007146DF"/>
    <w:rsid w:val="00714D78"/>
    <w:rsid w:val="00714E4C"/>
    <w:rsid w:val="00714F96"/>
    <w:rsid w:val="00714FA0"/>
    <w:rsid w:val="007153C3"/>
    <w:rsid w:val="00715516"/>
    <w:rsid w:val="007155D9"/>
    <w:rsid w:val="007156E7"/>
    <w:rsid w:val="00715BE9"/>
    <w:rsid w:val="00715C59"/>
    <w:rsid w:val="0071614A"/>
    <w:rsid w:val="00716190"/>
    <w:rsid w:val="007163C2"/>
    <w:rsid w:val="00716664"/>
    <w:rsid w:val="007166D4"/>
    <w:rsid w:val="0071693A"/>
    <w:rsid w:val="00716B19"/>
    <w:rsid w:val="00716E02"/>
    <w:rsid w:val="00716F42"/>
    <w:rsid w:val="00716FF3"/>
    <w:rsid w:val="007173D5"/>
    <w:rsid w:val="00717845"/>
    <w:rsid w:val="0071794F"/>
    <w:rsid w:val="00717CA1"/>
    <w:rsid w:val="00717EF8"/>
    <w:rsid w:val="007200EF"/>
    <w:rsid w:val="00720216"/>
    <w:rsid w:val="0072025F"/>
    <w:rsid w:val="00720377"/>
    <w:rsid w:val="00720689"/>
    <w:rsid w:val="007208B9"/>
    <w:rsid w:val="00720E7B"/>
    <w:rsid w:val="00721044"/>
    <w:rsid w:val="007213F9"/>
    <w:rsid w:val="00721423"/>
    <w:rsid w:val="00721D08"/>
    <w:rsid w:val="00721FCD"/>
    <w:rsid w:val="0072215C"/>
    <w:rsid w:val="00722543"/>
    <w:rsid w:val="0072257C"/>
    <w:rsid w:val="007227A5"/>
    <w:rsid w:val="00722950"/>
    <w:rsid w:val="00722A38"/>
    <w:rsid w:val="00723019"/>
    <w:rsid w:val="00723127"/>
    <w:rsid w:val="007234B0"/>
    <w:rsid w:val="007237F9"/>
    <w:rsid w:val="00723820"/>
    <w:rsid w:val="0072398A"/>
    <w:rsid w:val="00723A75"/>
    <w:rsid w:val="00723CED"/>
    <w:rsid w:val="00723EB7"/>
    <w:rsid w:val="00723F25"/>
    <w:rsid w:val="00723F4B"/>
    <w:rsid w:val="007242F8"/>
    <w:rsid w:val="007243DF"/>
    <w:rsid w:val="007246C7"/>
    <w:rsid w:val="0072476D"/>
    <w:rsid w:val="007247D6"/>
    <w:rsid w:val="00724AE2"/>
    <w:rsid w:val="00724C5A"/>
    <w:rsid w:val="00724D81"/>
    <w:rsid w:val="00724E3A"/>
    <w:rsid w:val="0072506F"/>
    <w:rsid w:val="007250CD"/>
    <w:rsid w:val="0072525D"/>
    <w:rsid w:val="00725272"/>
    <w:rsid w:val="007252D0"/>
    <w:rsid w:val="007252FF"/>
    <w:rsid w:val="0072559D"/>
    <w:rsid w:val="007257E3"/>
    <w:rsid w:val="00725EE5"/>
    <w:rsid w:val="00726065"/>
    <w:rsid w:val="0072615E"/>
    <w:rsid w:val="007263DB"/>
    <w:rsid w:val="007269F9"/>
    <w:rsid w:val="00726C28"/>
    <w:rsid w:val="00726C55"/>
    <w:rsid w:val="00727158"/>
    <w:rsid w:val="007272BA"/>
    <w:rsid w:val="007272DF"/>
    <w:rsid w:val="00727378"/>
    <w:rsid w:val="0072745E"/>
    <w:rsid w:val="0072752F"/>
    <w:rsid w:val="007277EA"/>
    <w:rsid w:val="00727864"/>
    <w:rsid w:val="0073005C"/>
    <w:rsid w:val="007300A9"/>
    <w:rsid w:val="007302EA"/>
    <w:rsid w:val="007303B3"/>
    <w:rsid w:val="0073068F"/>
    <w:rsid w:val="007307DB"/>
    <w:rsid w:val="00730BA1"/>
    <w:rsid w:val="00730D23"/>
    <w:rsid w:val="00730DFE"/>
    <w:rsid w:val="00730E09"/>
    <w:rsid w:val="00731009"/>
    <w:rsid w:val="00731171"/>
    <w:rsid w:val="0073133F"/>
    <w:rsid w:val="00731497"/>
    <w:rsid w:val="007316D4"/>
    <w:rsid w:val="0073170D"/>
    <w:rsid w:val="007317D7"/>
    <w:rsid w:val="007319DC"/>
    <w:rsid w:val="00731C17"/>
    <w:rsid w:val="00732107"/>
    <w:rsid w:val="00732577"/>
    <w:rsid w:val="007327EB"/>
    <w:rsid w:val="00732876"/>
    <w:rsid w:val="00732888"/>
    <w:rsid w:val="007329DE"/>
    <w:rsid w:val="00732E4B"/>
    <w:rsid w:val="00733122"/>
    <w:rsid w:val="007331F9"/>
    <w:rsid w:val="007335B6"/>
    <w:rsid w:val="007337C7"/>
    <w:rsid w:val="00733893"/>
    <w:rsid w:val="00733E36"/>
    <w:rsid w:val="00733E64"/>
    <w:rsid w:val="007345F4"/>
    <w:rsid w:val="00734BD6"/>
    <w:rsid w:val="00734C61"/>
    <w:rsid w:val="00734DF7"/>
    <w:rsid w:val="00734E0E"/>
    <w:rsid w:val="00734E89"/>
    <w:rsid w:val="00734F46"/>
    <w:rsid w:val="007351C7"/>
    <w:rsid w:val="007351E6"/>
    <w:rsid w:val="0073521E"/>
    <w:rsid w:val="007352E0"/>
    <w:rsid w:val="00735384"/>
    <w:rsid w:val="00735D31"/>
    <w:rsid w:val="00735D72"/>
    <w:rsid w:val="00735DC4"/>
    <w:rsid w:val="00735E32"/>
    <w:rsid w:val="007362F2"/>
    <w:rsid w:val="00736356"/>
    <w:rsid w:val="00736381"/>
    <w:rsid w:val="007365BD"/>
    <w:rsid w:val="00736683"/>
    <w:rsid w:val="00736A27"/>
    <w:rsid w:val="00736A89"/>
    <w:rsid w:val="00736ACB"/>
    <w:rsid w:val="00736B03"/>
    <w:rsid w:val="00736BB4"/>
    <w:rsid w:val="00736BBE"/>
    <w:rsid w:val="00737636"/>
    <w:rsid w:val="0073767D"/>
    <w:rsid w:val="00737786"/>
    <w:rsid w:val="007378DB"/>
    <w:rsid w:val="00737974"/>
    <w:rsid w:val="00737B3C"/>
    <w:rsid w:val="00737E78"/>
    <w:rsid w:val="00737F39"/>
    <w:rsid w:val="00737F84"/>
    <w:rsid w:val="00737FD3"/>
    <w:rsid w:val="0074036C"/>
    <w:rsid w:val="0074077A"/>
    <w:rsid w:val="00740A91"/>
    <w:rsid w:val="00740DC0"/>
    <w:rsid w:val="00740E8C"/>
    <w:rsid w:val="00741004"/>
    <w:rsid w:val="00741028"/>
    <w:rsid w:val="0074105F"/>
    <w:rsid w:val="00741094"/>
    <w:rsid w:val="00741DBF"/>
    <w:rsid w:val="00741F48"/>
    <w:rsid w:val="0074251B"/>
    <w:rsid w:val="007426AC"/>
    <w:rsid w:val="007428CE"/>
    <w:rsid w:val="00742A80"/>
    <w:rsid w:val="00742ECD"/>
    <w:rsid w:val="00743010"/>
    <w:rsid w:val="00743260"/>
    <w:rsid w:val="007435DF"/>
    <w:rsid w:val="007437E3"/>
    <w:rsid w:val="00743885"/>
    <w:rsid w:val="007439D0"/>
    <w:rsid w:val="00743A2D"/>
    <w:rsid w:val="00743C08"/>
    <w:rsid w:val="00743CCD"/>
    <w:rsid w:val="00743F3A"/>
    <w:rsid w:val="00744066"/>
    <w:rsid w:val="0074408D"/>
    <w:rsid w:val="0074430C"/>
    <w:rsid w:val="007443A4"/>
    <w:rsid w:val="007445A3"/>
    <w:rsid w:val="00744740"/>
    <w:rsid w:val="00744755"/>
    <w:rsid w:val="00745048"/>
    <w:rsid w:val="007450DE"/>
    <w:rsid w:val="00745252"/>
    <w:rsid w:val="00745267"/>
    <w:rsid w:val="007452AD"/>
    <w:rsid w:val="007452D9"/>
    <w:rsid w:val="007453DC"/>
    <w:rsid w:val="00745471"/>
    <w:rsid w:val="0074548B"/>
    <w:rsid w:val="007455C8"/>
    <w:rsid w:val="0074565D"/>
    <w:rsid w:val="00745690"/>
    <w:rsid w:val="00745815"/>
    <w:rsid w:val="007458DE"/>
    <w:rsid w:val="0074592E"/>
    <w:rsid w:val="00745B04"/>
    <w:rsid w:val="00745D28"/>
    <w:rsid w:val="00745D60"/>
    <w:rsid w:val="00746A22"/>
    <w:rsid w:val="00746A57"/>
    <w:rsid w:val="00746F61"/>
    <w:rsid w:val="0074742F"/>
    <w:rsid w:val="007474C9"/>
    <w:rsid w:val="007478AD"/>
    <w:rsid w:val="007478E1"/>
    <w:rsid w:val="007479D7"/>
    <w:rsid w:val="007479EF"/>
    <w:rsid w:val="00747A9E"/>
    <w:rsid w:val="00747AB9"/>
    <w:rsid w:val="00747ACB"/>
    <w:rsid w:val="00747BC7"/>
    <w:rsid w:val="00747D13"/>
    <w:rsid w:val="007500A0"/>
    <w:rsid w:val="0075021E"/>
    <w:rsid w:val="00750280"/>
    <w:rsid w:val="00750439"/>
    <w:rsid w:val="00750869"/>
    <w:rsid w:val="00750E77"/>
    <w:rsid w:val="0075112C"/>
    <w:rsid w:val="00751300"/>
    <w:rsid w:val="007514CE"/>
    <w:rsid w:val="00751650"/>
    <w:rsid w:val="00751672"/>
    <w:rsid w:val="00751710"/>
    <w:rsid w:val="00751766"/>
    <w:rsid w:val="00751791"/>
    <w:rsid w:val="007518CB"/>
    <w:rsid w:val="00751BFA"/>
    <w:rsid w:val="00751C31"/>
    <w:rsid w:val="00751C94"/>
    <w:rsid w:val="00751DF5"/>
    <w:rsid w:val="00751E8F"/>
    <w:rsid w:val="00751EED"/>
    <w:rsid w:val="00752319"/>
    <w:rsid w:val="0075287B"/>
    <w:rsid w:val="00752AE8"/>
    <w:rsid w:val="00752BEE"/>
    <w:rsid w:val="00752F7A"/>
    <w:rsid w:val="00752FD3"/>
    <w:rsid w:val="007532CA"/>
    <w:rsid w:val="0075342B"/>
    <w:rsid w:val="0075370F"/>
    <w:rsid w:val="00753712"/>
    <w:rsid w:val="00753978"/>
    <w:rsid w:val="00753DF1"/>
    <w:rsid w:val="00753DF9"/>
    <w:rsid w:val="00753E91"/>
    <w:rsid w:val="00753EEC"/>
    <w:rsid w:val="00753FE3"/>
    <w:rsid w:val="00754274"/>
    <w:rsid w:val="00754305"/>
    <w:rsid w:val="007543EF"/>
    <w:rsid w:val="007544FD"/>
    <w:rsid w:val="00754579"/>
    <w:rsid w:val="00754695"/>
    <w:rsid w:val="00754726"/>
    <w:rsid w:val="007548C2"/>
    <w:rsid w:val="00754BBB"/>
    <w:rsid w:val="00754BFD"/>
    <w:rsid w:val="00754E97"/>
    <w:rsid w:val="0075516F"/>
    <w:rsid w:val="007551A9"/>
    <w:rsid w:val="007551E5"/>
    <w:rsid w:val="00755474"/>
    <w:rsid w:val="007554C9"/>
    <w:rsid w:val="0075590B"/>
    <w:rsid w:val="00755BC7"/>
    <w:rsid w:val="00755C0E"/>
    <w:rsid w:val="00755CB3"/>
    <w:rsid w:val="00756042"/>
    <w:rsid w:val="0075611E"/>
    <w:rsid w:val="00756192"/>
    <w:rsid w:val="007562B8"/>
    <w:rsid w:val="007564B6"/>
    <w:rsid w:val="007564D0"/>
    <w:rsid w:val="0075652A"/>
    <w:rsid w:val="00756776"/>
    <w:rsid w:val="00756CE5"/>
    <w:rsid w:val="00756D14"/>
    <w:rsid w:val="00756D6D"/>
    <w:rsid w:val="00756F62"/>
    <w:rsid w:val="00756F7A"/>
    <w:rsid w:val="00756FBF"/>
    <w:rsid w:val="00756FDE"/>
    <w:rsid w:val="0075700E"/>
    <w:rsid w:val="0075728B"/>
    <w:rsid w:val="00757742"/>
    <w:rsid w:val="007577BC"/>
    <w:rsid w:val="00757864"/>
    <w:rsid w:val="0075795D"/>
    <w:rsid w:val="00757BE3"/>
    <w:rsid w:val="00757C89"/>
    <w:rsid w:val="00757DA3"/>
    <w:rsid w:val="00760282"/>
    <w:rsid w:val="00760364"/>
    <w:rsid w:val="00760627"/>
    <w:rsid w:val="007606F8"/>
    <w:rsid w:val="0076082D"/>
    <w:rsid w:val="00760B26"/>
    <w:rsid w:val="00760CFF"/>
    <w:rsid w:val="00760F21"/>
    <w:rsid w:val="00760F3F"/>
    <w:rsid w:val="00761058"/>
    <w:rsid w:val="007613F6"/>
    <w:rsid w:val="0076152B"/>
    <w:rsid w:val="0076157D"/>
    <w:rsid w:val="00761663"/>
    <w:rsid w:val="0076171A"/>
    <w:rsid w:val="007617A7"/>
    <w:rsid w:val="007617B8"/>
    <w:rsid w:val="0076185F"/>
    <w:rsid w:val="00761BCC"/>
    <w:rsid w:val="00761C69"/>
    <w:rsid w:val="00762358"/>
    <w:rsid w:val="00762548"/>
    <w:rsid w:val="0076255E"/>
    <w:rsid w:val="007626A5"/>
    <w:rsid w:val="007629B2"/>
    <w:rsid w:val="00762BBA"/>
    <w:rsid w:val="00762D29"/>
    <w:rsid w:val="00762DFC"/>
    <w:rsid w:val="00762FC4"/>
    <w:rsid w:val="007630BB"/>
    <w:rsid w:val="007636AF"/>
    <w:rsid w:val="00763A8D"/>
    <w:rsid w:val="00763ACC"/>
    <w:rsid w:val="00763CC4"/>
    <w:rsid w:val="00763D5A"/>
    <w:rsid w:val="00763F7B"/>
    <w:rsid w:val="00764168"/>
    <w:rsid w:val="00764559"/>
    <w:rsid w:val="00764680"/>
    <w:rsid w:val="007647F2"/>
    <w:rsid w:val="00764868"/>
    <w:rsid w:val="007648D4"/>
    <w:rsid w:val="00764981"/>
    <w:rsid w:val="007649A6"/>
    <w:rsid w:val="00764CA7"/>
    <w:rsid w:val="00764E4C"/>
    <w:rsid w:val="00764FB8"/>
    <w:rsid w:val="0076500C"/>
    <w:rsid w:val="007650E0"/>
    <w:rsid w:val="007650F4"/>
    <w:rsid w:val="00765208"/>
    <w:rsid w:val="007653F0"/>
    <w:rsid w:val="007654F3"/>
    <w:rsid w:val="0076552A"/>
    <w:rsid w:val="007655C0"/>
    <w:rsid w:val="00765C3F"/>
    <w:rsid w:val="00765DBC"/>
    <w:rsid w:val="007662E8"/>
    <w:rsid w:val="0076663F"/>
    <w:rsid w:val="0076668C"/>
    <w:rsid w:val="0076674F"/>
    <w:rsid w:val="00766B5A"/>
    <w:rsid w:val="007670EC"/>
    <w:rsid w:val="0076714E"/>
    <w:rsid w:val="007671F0"/>
    <w:rsid w:val="007672B5"/>
    <w:rsid w:val="0076789E"/>
    <w:rsid w:val="007678AA"/>
    <w:rsid w:val="00767B5F"/>
    <w:rsid w:val="00767C34"/>
    <w:rsid w:val="00767E46"/>
    <w:rsid w:val="0077007D"/>
    <w:rsid w:val="007700B0"/>
    <w:rsid w:val="007702EC"/>
    <w:rsid w:val="00770444"/>
    <w:rsid w:val="00770448"/>
    <w:rsid w:val="007706CA"/>
    <w:rsid w:val="00770B91"/>
    <w:rsid w:val="00770CF2"/>
    <w:rsid w:val="00770FC6"/>
    <w:rsid w:val="0077117E"/>
    <w:rsid w:val="007712AF"/>
    <w:rsid w:val="00771535"/>
    <w:rsid w:val="007715B4"/>
    <w:rsid w:val="00771B5F"/>
    <w:rsid w:val="00771DAE"/>
    <w:rsid w:val="00771DC5"/>
    <w:rsid w:val="00772188"/>
    <w:rsid w:val="007721A3"/>
    <w:rsid w:val="0077249C"/>
    <w:rsid w:val="0077253F"/>
    <w:rsid w:val="007726D2"/>
    <w:rsid w:val="007727A5"/>
    <w:rsid w:val="0077297A"/>
    <w:rsid w:val="007729B7"/>
    <w:rsid w:val="00772ACC"/>
    <w:rsid w:val="00773075"/>
    <w:rsid w:val="00773115"/>
    <w:rsid w:val="00773243"/>
    <w:rsid w:val="007734FF"/>
    <w:rsid w:val="007735FB"/>
    <w:rsid w:val="00773738"/>
    <w:rsid w:val="00773901"/>
    <w:rsid w:val="007739DB"/>
    <w:rsid w:val="00773DD0"/>
    <w:rsid w:val="00773E6E"/>
    <w:rsid w:val="00773ED1"/>
    <w:rsid w:val="00773FDD"/>
    <w:rsid w:val="007742A4"/>
    <w:rsid w:val="0077434F"/>
    <w:rsid w:val="007746FA"/>
    <w:rsid w:val="00774743"/>
    <w:rsid w:val="007747BD"/>
    <w:rsid w:val="007748E2"/>
    <w:rsid w:val="0077499E"/>
    <w:rsid w:val="00774D49"/>
    <w:rsid w:val="00774E2F"/>
    <w:rsid w:val="00774F22"/>
    <w:rsid w:val="00775485"/>
    <w:rsid w:val="00775538"/>
    <w:rsid w:val="007755F9"/>
    <w:rsid w:val="007758A5"/>
    <w:rsid w:val="00775A9C"/>
    <w:rsid w:val="00775C71"/>
    <w:rsid w:val="00775F20"/>
    <w:rsid w:val="0077648B"/>
    <w:rsid w:val="00776525"/>
    <w:rsid w:val="00776543"/>
    <w:rsid w:val="007766F0"/>
    <w:rsid w:val="00776822"/>
    <w:rsid w:val="0077693C"/>
    <w:rsid w:val="00776BB2"/>
    <w:rsid w:val="00776BFF"/>
    <w:rsid w:val="00777132"/>
    <w:rsid w:val="007771B3"/>
    <w:rsid w:val="00777494"/>
    <w:rsid w:val="00777830"/>
    <w:rsid w:val="0077798B"/>
    <w:rsid w:val="00777B6C"/>
    <w:rsid w:val="00777C77"/>
    <w:rsid w:val="00777D5E"/>
    <w:rsid w:val="00777E83"/>
    <w:rsid w:val="00780064"/>
    <w:rsid w:val="007801A7"/>
    <w:rsid w:val="007801B2"/>
    <w:rsid w:val="00780460"/>
    <w:rsid w:val="0078052B"/>
    <w:rsid w:val="0078054C"/>
    <w:rsid w:val="00780600"/>
    <w:rsid w:val="00780664"/>
    <w:rsid w:val="0078069F"/>
    <w:rsid w:val="00780B55"/>
    <w:rsid w:val="00780BF0"/>
    <w:rsid w:val="00780C43"/>
    <w:rsid w:val="00780C67"/>
    <w:rsid w:val="00780D77"/>
    <w:rsid w:val="00780D90"/>
    <w:rsid w:val="00780F39"/>
    <w:rsid w:val="00780F4D"/>
    <w:rsid w:val="0078104E"/>
    <w:rsid w:val="0078159B"/>
    <w:rsid w:val="007815EB"/>
    <w:rsid w:val="007819C0"/>
    <w:rsid w:val="00781B49"/>
    <w:rsid w:val="00781C64"/>
    <w:rsid w:val="00781F53"/>
    <w:rsid w:val="0078214A"/>
    <w:rsid w:val="00782296"/>
    <w:rsid w:val="00782359"/>
    <w:rsid w:val="0078244C"/>
    <w:rsid w:val="00782552"/>
    <w:rsid w:val="00782580"/>
    <w:rsid w:val="007826C0"/>
    <w:rsid w:val="0078297D"/>
    <w:rsid w:val="00782B02"/>
    <w:rsid w:val="00782B62"/>
    <w:rsid w:val="00782D90"/>
    <w:rsid w:val="007831CE"/>
    <w:rsid w:val="007831E7"/>
    <w:rsid w:val="00783301"/>
    <w:rsid w:val="00783480"/>
    <w:rsid w:val="007834FE"/>
    <w:rsid w:val="0078351A"/>
    <w:rsid w:val="00783523"/>
    <w:rsid w:val="007836DA"/>
    <w:rsid w:val="00783925"/>
    <w:rsid w:val="00783A7A"/>
    <w:rsid w:val="00783AD6"/>
    <w:rsid w:val="00783BFE"/>
    <w:rsid w:val="00783C7B"/>
    <w:rsid w:val="0078416B"/>
    <w:rsid w:val="0078439B"/>
    <w:rsid w:val="0078440E"/>
    <w:rsid w:val="007845DB"/>
    <w:rsid w:val="0078480A"/>
    <w:rsid w:val="007848AB"/>
    <w:rsid w:val="00784C1D"/>
    <w:rsid w:val="00784C70"/>
    <w:rsid w:val="00784F89"/>
    <w:rsid w:val="0078565C"/>
    <w:rsid w:val="00785741"/>
    <w:rsid w:val="00785A21"/>
    <w:rsid w:val="00785E55"/>
    <w:rsid w:val="0078636D"/>
    <w:rsid w:val="007863A2"/>
    <w:rsid w:val="00786850"/>
    <w:rsid w:val="00786907"/>
    <w:rsid w:val="0078694B"/>
    <w:rsid w:val="00786B78"/>
    <w:rsid w:val="00786BB7"/>
    <w:rsid w:val="00786EDD"/>
    <w:rsid w:val="007870CF"/>
    <w:rsid w:val="0078731F"/>
    <w:rsid w:val="0078765A"/>
    <w:rsid w:val="00787729"/>
    <w:rsid w:val="0078778C"/>
    <w:rsid w:val="007877EF"/>
    <w:rsid w:val="0078794A"/>
    <w:rsid w:val="00787AC4"/>
    <w:rsid w:val="00787E69"/>
    <w:rsid w:val="00787EC9"/>
    <w:rsid w:val="00787F0D"/>
    <w:rsid w:val="00790561"/>
    <w:rsid w:val="007906D2"/>
    <w:rsid w:val="00790804"/>
    <w:rsid w:val="00790968"/>
    <w:rsid w:val="007909DA"/>
    <w:rsid w:val="00790CFF"/>
    <w:rsid w:val="00790FDC"/>
    <w:rsid w:val="007910D2"/>
    <w:rsid w:val="007911F5"/>
    <w:rsid w:val="007914DC"/>
    <w:rsid w:val="00791563"/>
    <w:rsid w:val="007917DB"/>
    <w:rsid w:val="00791890"/>
    <w:rsid w:val="00791894"/>
    <w:rsid w:val="00791AEC"/>
    <w:rsid w:val="00791B45"/>
    <w:rsid w:val="00791BAD"/>
    <w:rsid w:val="00791C6C"/>
    <w:rsid w:val="00791DF7"/>
    <w:rsid w:val="00791FD4"/>
    <w:rsid w:val="007922F8"/>
    <w:rsid w:val="0079246E"/>
    <w:rsid w:val="007925DB"/>
    <w:rsid w:val="007926AF"/>
    <w:rsid w:val="0079272F"/>
    <w:rsid w:val="007928B9"/>
    <w:rsid w:val="007928C3"/>
    <w:rsid w:val="00792946"/>
    <w:rsid w:val="007929E5"/>
    <w:rsid w:val="00792B66"/>
    <w:rsid w:val="00792C34"/>
    <w:rsid w:val="00792F1D"/>
    <w:rsid w:val="00792F3B"/>
    <w:rsid w:val="00792FC8"/>
    <w:rsid w:val="007930E3"/>
    <w:rsid w:val="0079316F"/>
    <w:rsid w:val="00793208"/>
    <w:rsid w:val="00793415"/>
    <w:rsid w:val="00793430"/>
    <w:rsid w:val="00793446"/>
    <w:rsid w:val="00793451"/>
    <w:rsid w:val="0079355F"/>
    <w:rsid w:val="007935F2"/>
    <w:rsid w:val="0079360F"/>
    <w:rsid w:val="00793B49"/>
    <w:rsid w:val="00793CDA"/>
    <w:rsid w:val="00793F69"/>
    <w:rsid w:val="00793FA1"/>
    <w:rsid w:val="0079409F"/>
    <w:rsid w:val="007941AA"/>
    <w:rsid w:val="0079444F"/>
    <w:rsid w:val="007949EC"/>
    <w:rsid w:val="00794AD0"/>
    <w:rsid w:val="00794EEF"/>
    <w:rsid w:val="007950D9"/>
    <w:rsid w:val="007952BB"/>
    <w:rsid w:val="007952C8"/>
    <w:rsid w:val="007952E0"/>
    <w:rsid w:val="007955D0"/>
    <w:rsid w:val="00795605"/>
    <w:rsid w:val="00795C5A"/>
    <w:rsid w:val="00795D95"/>
    <w:rsid w:val="00795E00"/>
    <w:rsid w:val="007961F0"/>
    <w:rsid w:val="007962FC"/>
    <w:rsid w:val="00796359"/>
    <w:rsid w:val="00796665"/>
    <w:rsid w:val="00796748"/>
    <w:rsid w:val="007968E7"/>
    <w:rsid w:val="00796AD5"/>
    <w:rsid w:val="00796AE6"/>
    <w:rsid w:val="00796BF6"/>
    <w:rsid w:val="00796FD8"/>
    <w:rsid w:val="007972BD"/>
    <w:rsid w:val="00797340"/>
    <w:rsid w:val="00797423"/>
    <w:rsid w:val="007975A1"/>
    <w:rsid w:val="00797698"/>
    <w:rsid w:val="007979AE"/>
    <w:rsid w:val="00797A61"/>
    <w:rsid w:val="00797B77"/>
    <w:rsid w:val="00797D50"/>
    <w:rsid w:val="00797F4A"/>
    <w:rsid w:val="007A0010"/>
    <w:rsid w:val="007A011A"/>
    <w:rsid w:val="007A052D"/>
    <w:rsid w:val="007A0CB9"/>
    <w:rsid w:val="007A0D1B"/>
    <w:rsid w:val="007A0EA4"/>
    <w:rsid w:val="007A105F"/>
    <w:rsid w:val="007A1115"/>
    <w:rsid w:val="007A111B"/>
    <w:rsid w:val="007A1481"/>
    <w:rsid w:val="007A14BD"/>
    <w:rsid w:val="007A1589"/>
    <w:rsid w:val="007A164B"/>
    <w:rsid w:val="007A1713"/>
    <w:rsid w:val="007A1B0D"/>
    <w:rsid w:val="007A1C0F"/>
    <w:rsid w:val="007A1D8E"/>
    <w:rsid w:val="007A1E10"/>
    <w:rsid w:val="007A1F33"/>
    <w:rsid w:val="007A20D6"/>
    <w:rsid w:val="007A20DD"/>
    <w:rsid w:val="007A2243"/>
    <w:rsid w:val="007A22C4"/>
    <w:rsid w:val="007A2342"/>
    <w:rsid w:val="007A2673"/>
    <w:rsid w:val="007A2762"/>
    <w:rsid w:val="007A27D2"/>
    <w:rsid w:val="007A27EC"/>
    <w:rsid w:val="007A2924"/>
    <w:rsid w:val="007A2A61"/>
    <w:rsid w:val="007A2C78"/>
    <w:rsid w:val="007A2E94"/>
    <w:rsid w:val="007A2EC8"/>
    <w:rsid w:val="007A2FBE"/>
    <w:rsid w:val="007A30A7"/>
    <w:rsid w:val="007A34B0"/>
    <w:rsid w:val="007A34F3"/>
    <w:rsid w:val="007A3725"/>
    <w:rsid w:val="007A3859"/>
    <w:rsid w:val="007A3A1B"/>
    <w:rsid w:val="007A4156"/>
    <w:rsid w:val="007A44A0"/>
    <w:rsid w:val="007A4568"/>
    <w:rsid w:val="007A489C"/>
    <w:rsid w:val="007A49C5"/>
    <w:rsid w:val="007A49CD"/>
    <w:rsid w:val="007A4BC3"/>
    <w:rsid w:val="007A4C6F"/>
    <w:rsid w:val="007A4D56"/>
    <w:rsid w:val="007A4DC6"/>
    <w:rsid w:val="007A4F70"/>
    <w:rsid w:val="007A50D7"/>
    <w:rsid w:val="007A519C"/>
    <w:rsid w:val="007A522C"/>
    <w:rsid w:val="007A53E4"/>
    <w:rsid w:val="007A580B"/>
    <w:rsid w:val="007A5821"/>
    <w:rsid w:val="007A5834"/>
    <w:rsid w:val="007A5992"/>
    <w:rsid w:val="007A59B2"/>
    <w:rsid w:val="007A5C77"/>
    <w:rsid w:val="007A5CA8"/>
    <w:rsid w:val="007A5E62"/>
    <w:rsid w:val="007A606C"/>
    <w:rsid w:val="007A624A"/>
    <w:rsid w:val="007A6538"/>
    <w:rsid w:val="007A6568"/>
    <w:rsid w:val="007A6952"/>
    <w:rsid w:val="007A6A8E"/>
    <w:rsid w:val="007A6D7B"/>
    <w:rsid w:val="007A6E00"/>
    <w:rsid w:val="007A6E95"/>
    <w:rsid w:val="007A71F1"/>
    <w:rsid w:val="007A72CD"/>
    <w:rsid w:val="007A742C"/>
    <w:rsid w:val="007A74BA"/>
    <w:rsid w:val="007A7528"/>
    <w:rsid w:val="007A78E5"/>
    <w:rsid w:val="007A79E0"/>
    <w:rsid w:val="007A7B06"/>
    <w:rsid w:val="007B00A6"/>
    <w:rsid w:val="007B06B3"/>
    <w:rsid w:val="007B0849"/>
    <w:rsid w:val="007B08F6"/>
    <w:rsid w:val="007B0FE3"/>
    <w:rsid w:val="007B0FF6"/>
    <w:rsid w:val="007B1047"/>
    <w:rsid w:val="007B10B1"/>
    <w:rsid w:val="007B13DF"/>
    <w:rsid w:val="007B14F7"/>
    <w:rsid w:val="007B18AE"/>
    <w:rsid w:val="007B1928"/>
    <w:rsid w:val="007B1ABB"/>
    <w:rsid w:val="007B1AE7"/>
    <w:rsid w:val="007B1D64"/>
    <w:rsid w:val="007B1EE4"/>
    <w:rsid w:val="007B1F41"/>
    <w:rsid w:val="007B1F48"/>
    <w:rsid w:val="007B208A"/>
    <w:rsid w:val="007B25E4"/>
    <w:rsid w:val="007B2CBF"/>
    <w:rsid w:val="007B2D12"/>
    <w:rsid w:val="007B2D8B"/>
    <w:rsid w:val="007B2F70"/>
    <w:rsid w:val="007B322C"/>
    <w:rsid w:val="007B32F2"/>
    <w:rsid w:val="007B372A"/>
    <w:rsid w:val="007B374B"/>
    <w:rsid w:val="007B383B"/>
    <w:rsid w:val="007B387B"/>
    <w:rsid w:val="007B3ABB"/>
    <w:rsid w:val="007B3BE3"/>
    <w:rsid w:val="007B3C50"/>
    <w:rsid w:val="007B3D41"/>
    <w:rsid w:val="007B3DCB"/>
    <w:rsid w:val="007B3EA1"/>
    <w:rsid w:val="007B3F0A"/>
    <w:rsid w:val="007B450A"/>
    <w:rsid w:val="007B45BA"/>
    <w:rsid w:val="007B4DC1"/>
    <w:rsid w:val="007B4E98"/>
    <w:rsid w:val="007B4F51"/>
    <w:rsid w:val="007B5254"/>
    <w:rsid w:val="007B5478"/>
    <w:rsid w:val="007B550F"/>
    <w:rsid w:val="007B5AB1"/>
    <w:rsid w:val="007B5C17"/>
    <w:rsid w:val="007B5C34"/>
    <w:rsid w:val="007B5EEC"/>
    <w:rsid w:val="007B60AB"/>
    <w:rsid w:val="007B62CB"/>
    <w:rsid w:val="007B62F4"/>
    <w:rsid w:val="007B639E"/>
    <w:rsid w:val="007B67D7"/>
    <w:rsid w:val="007B696E"/>
    <w:rsid w:val="007B69E7"/>
    <w:rsid w:val="007B6C78"/>
    <w:rsid w:val="007B6CEE"/>
    <w:rsid w:val="007B6FD2"/>
    <w:rsid w:val="007B7284"/>
    <w:rsid w:val="007B7D5B"/>
    <w:rsid w:val="007B7FA1"/>
    <w:rsid w:val="007C01A9"/>
    <w:rsid w:val="007C01B3"/>
    <w:rsid w:val="007C0428"/>
    <w:rsid w:val="007C06B3"/>
    <w:rsid w:val="007C074D"/>
    <w:rsid w:val="007C0894"/>
    <w:rsid w:val="007C0ACB"/>
    <w:rsid w:val="007C0B54"/>
    <w:rsid w:val="007C0C5D"/>
    <w:rsid w:val="007C0F51"/>
    <w:rsid w:val="007C1509"/>
    <w:rsid w:val="007C164B"/>
    <w:rsid w:val="007C1A54"/>
    <w:rsid w:val="007C1D15"/>
    <w:rsid w:val="007C1E78"/>
    <w:rsid w:val="007C1EA8"/>
    <w:rsid w:val="007C21E0"/>
    <w:rsid w:val="007C22EE"/>
    <w:rsid w:val="007C230D"/>
    <w:rsid w:val="007C2593"/>
    <w:rsid w:val="007C27D1"/>
    <w:rsid w:val="007C2813"/>
    <w:rsid w:val="007C2C88"/>
    <w:rsid w:val="007C2C91"/>
    <w:rsid w:val="007C2D95"/>
    <w:rsid w:val="007C2EE1"/>
    <w:rsid w:val="007C2F76"/>
    <w:rsid w:val="007C2F88"/>
    <w:rsid w:val="007C343C"/>
    <w:rsid w:val="007C3501"/>
    <w:rsid w:val="007C38BD"/>
    <w:rsid w:val="007C3B3E"/>
    <w:rsid w:val="007C3B5C"/>
    <w:rsid w:val="007C3BEA"/>
    <w:rsid w:val="007C3CD9"/>
    <w:rsid w:val="007C3ED8"/>
    <w:rsid w:val="007C41B4"/>
    <w:rsid w:val="007C41D7"/>
    <w:rsid w:val="007C41DC"/>
    <w:rsid w:val="007C420D"/>
    <w:rsid w:val="007C47E5"/>
    <w:rsid w:val="007C49DB"/>
    <w:rsid w:val="007C4D0E"/>
    <w:rsid w:val="007C4D4B"/>
    <w:rsid w:val="007C4EF9"/>
    <w:rsid w:val="007C4F5C"/>
    <w:rsid w:val="007C4FD5"/>
    <w:rsid w:val="007C54C9"/>
    <w:rsid w:val="007C551C"/>
    <w:rsid w:val="007C5A05"/>
    <w:rsid w:val="007C5B97"/>
    <w:rsid w:val="007C5D75"/>
    <w:rsid w:val="007C5ED2"/>
    <w:rsid w:val="007C61D8"/>
    <w:rsid w:val="007C63C8"/>
    <w:rsid w:val="007C6A44"/>
    <w:rsid w:val="007C7044"/>
    <w:rsid w:val="007C713B"/>
    <w:rsid w:val="007C723E"/>
    <w:rsid w:val="007C7256"/>
    <w:rsid w:val="007C753B"/>
    <w:rsid w:val="007C7731"/>
    <w:rsid w:val="007C79A5"/>
    <w:rsid w:val="007C7A05"/>
    <w:rsid w:val="007C7E6E"/>
    <w:rsid w:val="007D000B"/>
    <w:rsid w:val="007D05A5"/>
    <w:rsid w:val="007D05B4"/>
    <w:rsid w:val="007D083A"/>
    <w:rsid w:val="007D0C41"/>
    <w:rsid w:val="007D0D99"/>
    <w:rsid w:val="007D0E9E"/>
    <w:rsid w:val="007D1279"/>
    <w:rsid w:val="007D135C"/>
    <w:rsid w:val="007D1571"/>
    <w:rsid w:val="007D1BF8"/>
    <w:rsid w:val="007D1CA0"/>
    <w:rsid w:val="007D1D4F"/>
    <w:rsid w:val="007D1D56"/>
    <w:rsid w:val="007D1E29"/>
    <w:rsid w:val="007D2021"/>
    <w:rsid w:val="007D2351"/>
    <w:rsid w:val="007D267E"/>
    <w:rsid w:val="007D26A8"/>
    <w:rsid w:val="007D28BA"/>
    <w:rsid w:val="007D2A89"/>
    <w:rsid w:val="007D2C90"/>
    <w:rsid w:val="007D2DE5"/>
    <w:rsid w:val="007D2EAB"/>
    <w:rsid w:val="007D3512"/>
    <w:rsid w:val="007D35DE"/>
    <w:rsid w:val="007D385B"/>
    <w:rsid w:val="007D397E"/>
    <w:rsid w:val="007D3C08"/>
    <w:rsid w:val="007D3D32"/>
    <w:rsid w:val="007D3EBC"/>
    <w:rsid w:val="007D42CA"/>
    <w:rsid w:val="007D4485"/>
    <w:rsid w:val="007D49F7"/>
    <w:rsid w:val="007D4A5F"/>
    <w:rsid w:val="007D4C8C"/>
    <w:rsid w:val="007D4FF0"/>
    <w:rsid w:val="007D5125"/>
    <w:rsid w:val="007D5238"/>
    <w:rsid w:val="007D53A0"/>
    <w:rsid w:val="007D5A17"/>
    <w:rsid w:val="007D5AA3"/>
    <w:rsid w:val="007D5B01"/>
    <w:rsid w:val="007D5B58"/>
    <w:rsid w:val="007D5EEC"/>
    <w:rsid w:val="007D634C"/>
    <w:rsid w:val="007D645D"/>
    <w:rsid w:val="007D64E7"/>
    <w:rsid w:val="007D65F3"/>
    <w:rsid w:val="007D660C"/>
    <w:rsid w:val="007D6624"/>
    <w:rsid w:val="007D66A8"/>
    <w:rsid w:val="007D6A4F"/>
    <w:rsid w:val="007D6AA3"/>
    <w:rsid w:val="007D6D25"/>
    <w:rsid w:val="007D6E04"/>
    <w:rsid w:val="007D6EFE"/>
    <w:rsid w:val="007D6FD0"/>
    <w:rsid w:val="007D728F"/>
    <w:rsid w:val="007D72B0"/>
    <w:rsid w:val="007D7337"/>
    <w:rsid w:val="007D78B5"/>
    <w:rsid w:val="007D7906"/>
    <w:rsid w:val="007D7D5E"/>
    <w:rsid w:val="007E0050"/>
    <w:rsid w:val="007E00BA"/>
    <w:rsid w:val="007E0198"/>
    <w:rsid w:val="007E021C"/>
    <w:rsid w:val="007E02E6"/>
    <w:rsid w:val="007E04C2"/>
    <w:rsid w:val="007E0AEB"/>
    <w:rsid w:val="007E0C37"/>
    <w:rsid w:val="007E1148"/>
    <w:rsid w:val="007E13B7"/>
    <w:rsid w:val="007E15B7"/>
    <w:rsid w:val="007E1601"/>
    <w:rsid w:val="007E163F"/>
    <w:rsid w:val="007E1AF4"/>
    <w:rsid w:val="007E1C2F"/>
    <w:rsid w:val="007E214B"/>
    <w:rsid w:val="007E217B"/>
    <w:rsid w:val="007E2193"/>
    <w:rsid w:val="007E226C"/>
    <w:rsid w:val="007E2441"/>
    <w:rsid w:val="007E2BE6"/>
    <w:rsid w:val="007E2ECE"/>
    <w:rsid w:val="007E32A5"/>
    <w:rsid w:val="007E3CAF"/>
    <w:rsid w:val="007E3F45"/>
    <w:rsid w:val="007E4148"/>
    <w:rsid w:val="007E424A"/>
    <w:rsid w:val="007E463A"/>
    <w:rsid w:val="007E464F"/>
    <w:rsid w:val="007E46F6"/>
    <w:rsid w:val="007E47A8"/>
    <w:rsid w:val="007E47EA"/>
    <w:rsid w:val="007E4A07"/>
    <w:rsid w:val="007E4B98"/>
    <w:rsid w:val="007E4FB5"/>
    <w:rsid w:val="007E5208"/>
    <w:rsid w:val="007E52BF"/>
    <w:rsid w:val="007E53C2"/>
    <w:rsid w:val="007E55AC"/>
    <w:rsid w:val="007E5677"/>
    <w:rsid w:val="007E57B0"/>
    <w:rsid w:val="007E58FB"/>
    <w:rsid w:val="007E5A6A"/>
    <w:rsid w:val="007E5E43"/>
    <w:rsid w:val="007E5E45"/>
    <w:rsid w:val="007E5F02"/>
    <w:rsid w:val="007E6149"/>
    <w:rsid w:val="007E636A"/>
    <w:rsid w:val="007E68CA"/>
    <w:rsid w:val="007E6916"/>
    <w:rsid w:val="007E6A7E"/>
    <w:rsid w:val="007E6BC6"/>
    <w:rsid w:val="007E6E2D"/>
    <w:rsid w:val="007E6E30"/>
    <w:rsid w:val="007E729B"/>
    <w:rsid w:val="007E72E0"/>
    <w:rsid w:val="007E73EC"/>
    <w:rsid w:val="007E747E"/>
    <w:rsid w:val="007E74ED"/>
    <w:rsid w:val="007E761C"/>
    <w:rsid w:val="007E7AF3"/>
    <w:rsid w:val="007E7AFE"/>
    <w:rsid w:val="007E7D34"/>
    <w:rsid w:val="007E7D8D"/>
    <w:rsid w:val="007F0419"/>
    <w:rsid w:val="007F065E"/>
    <w:rsid w:val="007F06BB"/>
    <w:rsid w:val="007F0D44"/>
    <w:rsid w:val="007F0EEB"/>
    <w:rsid w:val="007F0FA6"/>
    <w:rsid w:val="007F1413"/>
    <w:rsid w:val="007F1A56"/>
    <w:rsid w:val="007F1B6D"/>
    <w:rsid w:val="007F1F2A"/>
    <w:rsid w:val="007F2086"/>
    <w:rsid w:val="007F21E1"/>
    <w:rsid w:val="007F24B4"/>
    <w:rsid w:val="007F268F"/>
    <w:rsid w:val="007F26C0"/>
    <w:rsid w:val="007F270B"/>
    <w:rsid w:val="007F27A7"/>
    <w:rsid w:val="007F2909"/>
    <w:rsid w:val="007F295B"/>
    <w:rsid w:val="007F2A45"/>
    <w:rsid w:val="007F2A5D"/>
    <w:rsid w:val="007F2ADE"/>
    <w:rsid w:val="007F2D09"/>
    <w:rsid w:val="007F2DE1"/>
    <w:rsid w:val="007F35BC"/>
    <w:rsid w:val="007F37CE"/>
    <w:rsid w:val="007F38B5"/>
    <w:rsid w:val="007F394D"/>
    <w:rsid w:val="007F3B47"/>
    <w:rsid w:val="007F3B97"/>
    <w:rsid w:val="007F3D17"/>
    <w:rsid w:val="007F3D93"/>
    <w:rsid w:val="007F3ED9"/>
    <w:rsid w:val="007F4016"/>
    <w:rsid w:val="007F4158"/>
    <w:rsid w:val="007F4422"/>
    <w:rsid w:val="007F490C"/>
    <w:rsid w:val="007F4AC7"/>
    <w:rsid w:val="007F4B32"/>
    <w:rsid w:val="007F4E65"/>
    <w:rsid w:val="007F5047"/>
    <w:rsid w:val="007F50B5"/>
    <w:rsid w:val="007F5395"/>
    <w:rsid w:val="007F5A15"/>
    <w:rsid w:val="007F5FBE"/>
    <w:rsid w:val="007F6758"/>
    <w:rsid w:val="007F67BF"/>
    <w:rsid w:val="007F6901"/>
    <w:rsid w:val="007F6C14"/>
    <w:rsid w:val="007F6F36"/>
    <w:rsid w:val="007F71FD"/>
    <w:rsid w:val="007F727A"/>
    <w:rsid w:val="007F74D9"/>
    <w:rsid w:val="007F7530"/>
    <w:rsid w:val="007F759A"/>
    <w:rsid w:val="007F76CE"/>
    <w:rsid w:val="007F7786"/>
    <w:rsid w:val="007F7E74"/>
    <w:rsid w:val="007F7F1A"/>
    <w:rsid w:val="007F7FF4"/>
    <w:rsid w:val="007F7FFB"/>
    <w:rsid w:val="008000C7"/>
    <w:rsid w:val="00800240"/>
    <w:rsid w:val="00800365"/>
    <w:rsid w:val="00800447"/>
    <w:rsid w:val="00800B92"/>
    <w:rsid w:val="00800D86"/>
    <w:rsid w:val="008010E7"/>
    <w:rsid w:val="00801385"/>
    <w:rsid w:val="0080138B"/>
    <w:rsid w:val="008016FE"/>
    <w:rsid w:val="0080195D"/>
    <w:rsid w:val="00801A6A"/>
    <w:rsid w:val="00801AAE"/>
    <w:rsid w:val="00801AB7"/>
    <w:rsid w:val="00801C3A"/>
    <w:rsid w:val="00801DB3"/>
    <w:rsid w:val="00801E1F"/>
    <w:rsid w:val="00801F67"/>
    <w:rsid w:val="00802186"/>
    <w:rsid w:val="00802486"/>
    <w:rsid w:val="0080252D"/>
    <w:rsid w:val="0080275A"/>
    <w:rsid w:val="008027B2"/>
    <w:rsid w:val="008029AA"/>
    <w:rsid w:val="00802A34"/>
    <w:rsid w:val="00802ABD"/>
    <w:rsid w:val="00802C23"/>
    <w:rsid w:val="00802D0F"/>
    <w:rsid w:val="00802E9A"/>
    <w:rsid w:val="00802F15"/>
    <w:rsid w:val="00802F88"/>
    <w:rsid w:val="00803127"/>
    <w:rsid w:val="0080334B"/>
    <w:rsid w:val="0080365F"/>
    <w:rsid w:val="008037B8"/>
    <w:rsid w:val="00803871"/>
    <w:rsid w:val="00803A32"/>
    <w:rsid w:val="00803F77"/>
    <w:rsid w:val="008041C6"/>
    <w:rsid w:val="008042B7"/>
    <w:rsid w:val="00804321"/>
    <w:rsid w:val="00804961"/>
    <w:rsid w:val="00804C3E"/>
    <w:rsid w:val="00805403"/>
    <w:rsid w:val="0080540B"/>
    <w:rsid w:val="008055EC"/>
    <w:rsid w:val="00805913"/>
    <w:rsid w:val="00805A5C"/>
    <w:rsid w:val="00805B18"/>
    <w:rsid w:val="00805E43"/>
    <w:rsid w:val="00805E7B"/>
    <w:rsid w:val="00806009"/>
    <w:rsid w:val="00806265"/>
    <w:rsid w:val="0080627B"/>
    <w:rsid w:val="00806406"/>
    <w:rsid w:val="00806737"/>
    <w:rsid w:val="008067C3"/>
    <w:rsid w:val="0080684E"/>
    <w:rsid w:val="00806948"/>
    <w:rsid w:val="00806974"/>
    <w:rsid w:val="00806A81"/>
    <w:rsid w:val="00806B3A"/>
    <w:rsid w:val="00806DC3"/>
    <w:rsid w:val="00807198"/>
    <w:rsid w:val="00807441"/>
    <w:rsid w:val="00807461"/>
    <w:rsid w:val="0080796E"/>
    <w:rsid w:val="00807AFF"/>
    <w:rsid w:val="00807D1B"/>
    <w:rsid w:val="0081041E"/>
    <w:rsid w:val="008105ED"/>
    <w:rsid w:val="008107B2"/>
    <w:rsid w:val="00810D76"/>
    <w:rsid w:val="00811215"/>
    <w:rsid w:val="0081127A"/>
    <w:rsid w:val="00811802"/>
    <w:rsid w:val="00811919"/>
    <w:rsid w:val="0081192D"/>
    <w:rsid w:val="00811D2C"/>
    <w:rsid w:val="008121B0"/>
    <w:rsid w:val="00812265"/>
    <w:rsid w:val="00812328"/>
    <w:rsid w:val="00812807"/>
    <w:rsid w:val="0081293F"/>
    <w:rsid w:val="008129DD"/>
    <w:rsid w:val="00812A88"/>
    <w:rsid w:val="00812C7B"/>
    <w:rsid w:val="00812CCD"/>
    <w:rsid w:val="00812D99"/>
    <w:rsid w:val="008130E4"/>
    <w:rsid w:val="008130E8"/>
    <w:rsid w:val="00813310"/>
    <w:rsid w:val="00813365"/>
    <w:rsid w:val="008133B2"/>
    <w:rsid w:val="0081388B"/>
    <w:rsid w:val="0081392A"/>
    <w:rsid w:val="00813B7C"/>
    <w:rsid w:val="00813EB1"/>
    <w:rsid w:val="00813F98"/>
    <w:rsid w:val="00813F9A"/>
    <w:rsid w:val="00814307"/>
    <w:rsid w:val="00814764"/>
    <w:rsid w:val="008147EA"/>
    <w:rsid w:val="00814882"/>
    <w:rsid w:val="00814EFB"/>
    <w:rsid w:val="00814FE4"/>
    <w:rsid w:val="00814FF2"/>
    <w:rsid w:val="008150C3"/>
    <w:rsid w:val="0081510B"/>
    <w:rsid w:val="0081527D"/>
    <w:rsid w:val="008154B9"/>
    <w:rsid w:val="0081560A"/>
    <w:rsid w:val="0081579D"/>
    <w:rsid w:val="00815B0B"/>
    <w:rsid w:val="00815B74"/>
    <w:rsid w:val="008160F8"/>
    <w:rsid w:val="00816128"/>
    <w:rsid w:val="008167E4"/>
    <w:rsid w:val="008168E7"/>
    <w:rsid w:val="00816B57"/>
    <w:rsid w:val="00816C23"/>
    <w:rsid w:val="0081708E"/>
    <w:rsid w:val="008170B6"/>
    <w:rsid w:val="0081725B"/>
    <w:rsid w:val="00817378"/>
    <w:rsid w:val="00817470"/>
    <w:rsid w:val="0081753A"/>
    <w:rsid w:val="0081779E"/>
    <w:rsid w:val="00817C08"/>
    <w:rsid w:val="00817EDA"/>
    <w:rsid w:val="00820338"/>
    <w:rsid w:val="0082034C"/>
    <w:rsid w:val="0082037C"/>
    <w:rsid w:val="00820450"/>
    <w:rsid w:val="008204B1"/>
    <w:rsid w:val="00820797"/>
    <w:rsid w:val="0082099F"/>
    <w:rsid w:val="00820ADE"/>
    <w:rsid w:val="008211CB"/>
    <w:rsid w:val="00821D63"/>
    <w:rsid w:val="00821E71"/>
    <w:rsid w:val="00821F51"/>
    <w:rsid w:val="00822434"/>
    <w:rsid w:val="00822460"/>
    <w:rsid w:val="00822BFD"/>
    <w:rsid w:val="00822D21"/>
    <w:rsid w:val="00822DDE"/>
    <w:rsid w:val="00822DE3"/>
    <w:rsid w:val="00822E66"/>
    <w:rsid w:val="00823075"/>
    <w:rsid w:val="008232C9"/>
    <w:rsid w:val="00823343"/>
    <w:rsid w:val="00823385"/>
    <w:rsid w:val="00823405"/>
    <w:rsid w:val="00823441"/>
    <w:rsid w:val="00823C53"/>
    <w:rsid w:val="00823E12"/>
    <w:rsid w:val="00823E5C"/>
    <w:rsid w:val="00823E67"/>
    <w:rsid w:val="00823F5E"/>
    <w:rsid w:val="00824305"/>
    <w:rsid w:val="008244AD"/>
    <w:rsid w:val="0082459A"/>
    <w:rsid w:val="008246E4"/>
    <w:rsid w:val="0082480B"/>
    <w:rsid w:val="00824CC2"/>
    <w:rsid w:val="00824F61"/>
    <w:rsid w:val="008251CC"/>
    <w:rsid w:val="008252B4"/>
    <w:rsid w:val="008253C7"/>
    <w:rsid w:val="008254DB"/>
    <w:rsid w:val="00825AC6"/>
    <w:rsid w:val="00825B75"/>
    <w:rsid w:val="00825BD6"/>
    <w:rsid w:val="00825BE5"/>
    <w:rsid w:val="00825C47"/>
    <w:rsid w:val="00825CAC"/>
    <w:rsid w:val="00825E0F"/>
    <w:rsid w:val="00825E82"/>
    <w:rsid w:val="00825F96"/>
    <w:rsid w:val="0082606F"/>
    <w:rsid w:val="00826278"/>
    <w:rsid w:val="008262FC"/>
    <w:rsid w:val="008263B0"/>
    <w:rsid w:val="00826855"/>
    <w:rsid w:val="0082696D"/>
    <w:rsid w:val="00826CAB"/>
    <w:rsid w:val="00826F3D"/>
    <w:rsid w:val="00826F77"/>
    <w:rsid w:val="00826FA4"/>
    <w:rsid w:val="008271AE"/>
    <w:rsid w:val="008272B2"/>
    <w:rsid w:val="00827B9F"/>
    <w:rsid w:val="00827BB4"/>
    <w:rsid w:val="00827D23"/>
    <w:rsid w:val="00827DF6"/>
    <w:rsid w:val="00827E66"/>
    <w:rsid w:val="00827FA1"/>
    <w:rsid w:val="0083035F"/>
    <w:rsid w:val="00830552"/>
    <w:rsid w:val="00830666"/>
    <w:rsid w:val="00830718"/>
    <w:rsid w:val="0083080C"/>
    <w:rsid w:val="0083081D"/>
    <w:rsid w:val="00830C21"/>
    <w:rsid w:val="00830D68"/>
    <w:rsid w:val="00830D8A"/>
    <w:rsid w:val="00830FDF"/>
    <w:rsid w:val="008315E0"/>
    <w:rsid w:val="00831E62"/>
    <w:rsid w:val="00831E66"/>
    <w:rsid w:val="00831EBC"/>
    <w:rsid w:val="0083259C"/>
    <w:rsid w:val="00832743"/>
    <w:rsid w:val="0083275B"/>
    <w:rsid w:val="008327A6"/>
    <w:rsid w:val="008327EE"/>
    <w:rsid w:val="0083328D"/>
    <w:rsid w:val="008335F2"/>
    <w:rsid w:val="008337AE"/>
    <w:rsid w:val="0083380F"/>
    <w:rsid w:val="008339B4"/>
    <w:rsid w:val="00833AAB"/>
    <w:rsid w:val="00833CA1"/>
    <w:rsid w:val="00833EB3"/>
    <w:rsid w:val="00833FE9"/>
    <w:rsid w:val="00834233"/>
    <w:rsid w:val="00834355"/>
    <w:rsid w:val="00834398"/>
    <w:rsid w:val="00834479"/>
    <w:rsid w:val="008345C2"/>
    <w:rsid w:val="0083472D"/>
    <w:rsid w:val="00834982"/>
    <w:rsid w:val="008349A5"/>
    <w:rsid w:val="008349FB"/>
    <w:rsid w:val="00834A19"/>
    <w:rsid w:val="00834D5C"/>
    <w:rsid w:val="00834E27"/>
    <w:rsid w:val="00834F3F"/>
    <w:rsid w:val="00835487"/>
    <w:rsid w:val="0083549C"/>
    <w:rsid w:val="008354E8"/>
    <w:rsid w:val="0083578B"/>
    <w:rsid w:val="008357FE"/>
    <w:rsid w:val="0083580D"/>
    <w:rsid w:val="008358B7"/>
    <w:rsid w:val="00835D0A"/>
    <w:rsid w:val="00835DB9"/>
    <w:rsid w:val="00835E90"/>
    <w:rsid w:val="00835F6A"/>
    <w:rsid w:val="00836490"/>
    <w:rsid w:val="008368D2"/>
    <w:rsid w:val="008369FD"/>
    <w:rsid w:val="00836A47"/>
    <w:rsid w:val="00836A56"/>
    <w:rsid w:val="00836CE6"/>
    <w:rsid w:val="00836D7C"/>
    <w:rsid w:val="00836EEF"/>
    <w:rsid w:val="00836F4A"/>
    <w:rsid w:val="0083713A"/>
    <w:rsid w:val="00837215"/>
    <w:rsid w:val="0083729D"/>
    <w:rsid w:val="008372CA"/>
    <w:rsid w:val="008373CA"/>
    <w:rsid w:val="0083744B"/>
    <w:rsid w:val="0083761B"/>
    <w:rsid w:val="00837697"/>
    <w:rsid w:val="0083770F"/>
    <w:rsid w:val="00837BBF"/>
    <w:rsid w:val="00837F80"/>
    <w:rsid w:val="00840367"/>
    <w:rsid w:val="00840469"/>
    <w:rsid w:val="008404FF"/>
    <w:rsid w:val="00840903"/>
    <w:rsid w:val="00840A79"/>
    <w:rsid w:val="00840B1A"/>
    <w:rsid w:val="00840B57"/>
    <w:rsid w:val="00840FCB"/>
    <w:rsid w:val="00841050"/>
    <w:rsid w:val="00841070"/>
    <w:rsid w:val="008415A4"/>
    <w:rsid w:val="0084163B"/>
    <w:rsid w:val="0084166E"/>
    <w:rsid w:val="00841736"/>
    <w:rsid w:val="0084173C"/>
    <w:rsid w:val="0084186F"/>
    <w:rsid w:val="00842062"/>
    <w:rsid w:val="0084217A"/>
    <w:rsid w:val="00842400"/>
    <w:rsid w:val="00842475"/>
    <w:rsid w:val="0084248D"/>
    <w:rsid w:val="0084269D"/>
    <w:rsid w:val="00842A55"/>
    <w:rsid w:val="00842AA1"/>
    <w:rsid w:val="00842F3A"/>
    <w:rsid w:val="008430CE"/>
    <w:rsid w:val="008430EF"/>
    <w:rsid w:val="00843650"/>
    <w:rsid w:val="00843743"/>
    <w:rsid w:val="008438AE"/>
    <w:rsid w:val="008438DF"/>
    <w:rsid w:val="00843C25"/>
    <w:rsid w:val="00843E73"/>
    <w:rsid w:val="008442F1"/>
    <w:rsid w:val="00844CA8"/>
    <w:rsid w:val="00844CEE"/>
    <w:rsid w:val="008451B7"/>
    <w:rsid w:val="0084574C"/>
    <w:rsid w:val="008457B6"/>
    <w:rsid w:val="00845811"/>
    <w:rsid w:val="0084582B"/>
    <w:rsid w:val="00845873"/>
    <w:rsid w:val="00845A53"/>
    <w:rsid w:val="00845AE1"/>
    <w:rsid w:val="00845D1F"/>
    <w:rsid w:val="00845F11"/>
    <w:rsid w:val="00846292"/>
    <w:rsid w:val="008466AA"/>
    <w:rsid w:val="008467E8"/>
    <w:rsid w:val="00846821"/>
    <w:rsid w:val="00846ECD"/>
    <w:rsid w:val="008470EA"/>
    <w:rsid w:val="008473C3"/>
    <w:rsid w:val="0084759C"/>
    <w:rsid w:val="0084772A"/>
    <w:rsid w:val="00847824"/>
    <w:rsid w:val="00847882"/>
    <w:rsid w:val="00847971"/>
    <w:rsid w:val="008479AE"/>
    <w:rsid w:val="00847B3F"/>
    <w:rsid w:val="00847C10"/>
    <w:rsid w:val="00847CBB"/>
    <w:rsid w:val="00847F7F"/>
    <w:rsid w:val="00850076"/>
    <w:rsid w:val="008501C2"/>
    <w:rsid w:val="00850406"/>
    <w:rsid w:val="00850639"/>
    <w:rsid w:val="0085076F"/>
    <w:rsid w:val="0085084B"/>
    <w:rsid w:val="008508A9"/>
    <w:rsid w:val="00850F2F"/>
    <w:rsid w:val="0085114E"/>
    <w:rsid w:val="00851169"/>
    <w:rsid w:val="0085128A"/>
    <w:rsid w:val="0085185A"/>
    <w:rsid w:val="008519B3"/>
    <w:rsid w:val="00851A9A"/>
    <w:rsid w:val="00851B96"/>
    <w:rsid w:val="00851BD6"/>
    <w:rsid w:val="00851D41"/>
    <w:rsid w:val="00851E4E"/>
    <w:rsid w:val="008520A2"/>
    <w:rsid w:val="008520A8"/>
    <w:rsid w:val="008520C0"/>
    <w:rsid w:val="00852199"/>
    <w:rsid w:val="0085225C"/>
    <w:rsid w:val="0085231B"/>
    <w:rsid w:val="00852573"/>
    <w:rsid w:val="0085270F"/>
    <w:rsid w:val="00852750"/>
    <w:rsid w:val="00852978"/>
    <w:rsid w:val="008529D5"/>
    <w:rsid w:val="008529E0"/>
    <w:rsid w:val="00852DA0"/>
    <w:rsid w:val="00852E38"/>
    <w:rsid w:val="00852F77"/>
    <w:rsid w:val="00853424"/>
    <w:rsid w:val="00853580"/>
    <w:rsid w:val="00853725"/>
    <w:rsid w:val="00853CC2"/>
    <w:rsid w:val="00853E2F"/>
    <w:rsid w:val="00853FB0"/>
    <w:rsid w:val="008542EF"/>
    <w:rsid w:val="0085457B"/>
    <w:rsid w:val="00854616"/>
    <w:rsid w:val="008546FF"/>
    <w:rsid w:val="00854B05"/>
    <w:rsid w:val="00854C62"/>
    <w:rsid w:val="00854F95"/>
    <w:rsid w:val="00855159"/>
    <w:rsid w:val="008552DE"/>
    <w:rsid w:val="00855316"/>
    <w:rsid w:val="008555E7"/>
    <w:rsid w:val="00855972"/>
    <w:rsid w:val="00855B27"/>
    <w:rsid w:val="00856120"/>
    <w:rsid w:val="0085613D"/>
    <w:rsid w:val="008562B2"/>
    <w:rsid w:val="008562F0"/>
    <w:rsid w:val="008563F6"/>
    <w:rsid w:val="0085644C"/>
    <w:rsid w:val="00856603"/>
    <w:rsid w:val="00856CB2"/>
    <w:rsid w:val="008571F3"/>
    <w:rsid w:val="00857274"/>
    <w:rsid w:val="0085744C"/>
    <w:rsid w:val="008574DC"/>
    <w:rsid w:val="008576FA"/>
    <w:rsid w:val="00857840"/>
    <w:rsid w:val="00857952"/>
    <w:rsid w:val="00857F10"/>
    <w:rsid w:val="008601A2"/>
    <w:rsid w:val="00860525"/>
    <w:rsid w:val="008605A9"/>
    <w:rsid w:val="008606A1"/>
    <w:rsid w:val="008606F5"/>
    <w:rsid w:val="00860705"/>
    <w:rsid w:val="008609C6"/>
    <w:rsid w:val="00860C07"/>
    <w:rsid w:val="00861097"/>
    <w:rsid w:val="008610F1"/>
    <w:rsid w:val="00861320"/>
    <w:rsid w:val="00861338"/>
    <w:rsid w:val="008614AB"/>
    <w:rsid w:val="008616AD"/>
    <w:rsid w:val="00861976"/>
    <w:rsid w:val="00861C2A"/>
    <w:rsid w:val="00861CC1"/>
    <w:rsid w:val="00861D01"/>
    <w:rsid w:val="00861F0B"/>
    <w:rsid w:val="0086212A"/>
    <w:rsid w:val="00862200"/>
    <w:rsid w:val="0086225C"/>
    <w:rsid w:val="008623C7"/>
    <w:rsid w:val="0086240A"/>
    <w:rsid w:val="00862733"/>
    <w:rsid w:val="00862E78"/>
    <w:rsid w:val="0086311F"/>
    <w:rsid w:val="00863233"/>
    <w:rsid w:val="00863760"/>
    <w:rsid w:val="0086376B"/>
    <w:rsid w:val="00863824"/>
    <w:rsid w:val="008638CC"/>
    <w:rsid w:val="00863927"/>
    <w:rsid w:val="008639B2"/>
    <w:rsid w:val="008639B8"/>
    <w:rsid w:val="00863AB2"/>
    <w:rsid w:val="00863AE7"/>
    <w:rsid w:val="00863F26"/>
    <w:rsid w:val="00863F3E"/>
    <w:rsid w:val="008641D1"/>
    <w:rsid w:val="008643BB"/>
    <w:rsid w:val="0086448C"/>
    <w:rsid w:val="008645A5"/>
    <w:rsid w:val="008647FD"/>
    <w:rsid w:val="0086486C"/>
    <w:rsid w:val="00864BF8"/>
    <w:rsid w:val="00865117"/>
    <w:rsid w:val="00865120"/>
    <w:rsid w:val="00865149"/>
    <w:rsid w:val="008652EF"/>
    <w:rsid w:val="0086549F"/>
    <w:rsid w:val="00865539"/>
    <w:rsid w:val="00865835"/>
    <w:rsid w:val="008658E8"/>
    <w:rsid w:val="00865ED9"/>
    <w:rsid w:val="00866116"/>
    <w:rsid w:val="00866206"/>
    <w:rsid w:val="00866295"/>
    <w:rsid w:val="00866533"/>
    <w:rsid w:val="008665F9"/>
    <w:rsid w:val="00866EC3"/>
    <w:rsid w:val="0086725B"/>
    <w:rsid w:val="00867716"/>
    <w:rsid w:val="00867755"/>
    <w:rsid w:val="00867AA3"/>
    <w:rsid w:val="00867ED9"/>
    <w:rsid w:val="00870050"/>
    <w:rsid w:val="00870389"/>
    <w:rsid w:val="00870825"/>
    <w:rsid w:val="0087085F"/>
    <w:rsid w:val="008708BE"/>
    <w:rsid w:val="008708EB"/>
    <w:rsid w:val="00870AF9"/>
    <w:rsid w:val="00870B8D"/>
    <w:rsid w:val="00870C22"/>
    <w:rsid w:val="00870DE1"/>
    <w:rsid w:val="00870E1D"/>
    <w:rsid w:val="0087121F"/>
    <w:rsid w:val="00871285"/>
    <w:rsid w:val="0087137B"/>
    <w:rsid w:val="00871457"/>
    <w:rsid w:val="008714F0"/>
    <w:rsid w:val="008715B8"/>
    <w:rsid w:val="008717A9"/>
    <w:rsid w:val="0087194F"/>
    <w:rsid w:val="008719C5"/>
    <w:rsid w:val="00871A07"/>
    <w:rsid w:val="00871BFB"/>
    <w:rsid w:val="00871F0A"/>
    <w:rsid w:val="00871F81"/>
    <w:rsid w:val="0087207D"/>
    <w:rsid w:val="00872922"/>
    <w:rsid w:val="008729D0"/>
    <w:rsid w:val="00872C65"/>
    <w:rsid w:val="00872E94"/>
    <w:rsid w:val="00873023"/>
    <w:rsid w:val="008734C9"/>
    <w:rsid w:val="0087352A"/>
    <w:rsid w:val="00873613"/>
    <w:rsid w:val="00873761"/>
    <w:rsid w:val="0087380D"/>
    <w:rsid w:val="0087384E"/>
    <w:rsid w:val="00873C85"/>
    <w:rsid w:val="00874232"/>
    <w:rsid w:val="00874397"/>
    <w:rsid w:val="008747EA"/>
    <w:rsid w:val="00874C55"/>
    <w:rsid w:val="00874C8F"/>
    <w:rsid w:val="00874D85"/>
    <w:rsid w:val="00874F14"/>
    <w:rsid w:val="00875122"/>
    <w:rsid w:val="00875516"/>
    <w:rsid w:val="00875562"/>
    <w:rsid w:val="0087560B"/>
    <w:rsid w:val="00875813"/>
    <w:rsid w:val="008758CE"/>
    <w:rsid w:val="00875CF8"/>
    <w:rsid w:val="00875FC3"/>
    <w:rsid w:val="008763E3"/>
    <w:rsid w:val="00876744"/>
    <w:rsid w:val="0087678C"/>
    <w:rsid w:val="00876855"/>
    <w:rsid w:val="00876BA2"/>
    <w:rsid w:val="00876D88"/>
    <w:rsid w:val="008771C9"/>
    <w:rsid w:val="008776A1"/>
    <w:rsid w:val="00877EFE"/>
    <w:rsid w:val="008800C0"/>
    <w:rsid w:val="008804EB"/>
    <w:rsid w:val="008805BC"/>
    <w:rsid w:val="008805F3"/>
    <w:rsid w:val="00880B6A"/>
    <w:rsid w:val="00880CF3"/>
    <w:rsid w:val="00880E22"/>
    <w:rsid w:val="0088123E"/>
    <w:rsid w:val="00881312"/>
    <w:rsid w:val="00881861"/>
    <w:rsid w:val="0088188D"/>
    <w:rsid w:val="00881B59"/>
    <w:rsid w:val="00881BEE"/>
    <w:rsid w:val="00881D7C"/>
    <w:rsid w:val="008822A0"/>
    <w:rsid w:val="008822FA"/>
    <w:rsid w:val="00882362"/>
    <w:rsid w:val="0088279C"/>
    <w:rsid w:val="00882D7B"/>
    <w:rsid w:val="008832E4"/>
    <w:rsid w:val="008834DC"/>
    <w:rsid w:val="0088364B"/>
    <w:rsid w:val="00883DC7"/>
    <w:rsid w:val="00883E26"/>
    <w:rsid w:val="00884309"/>
    <w:rsid w:val="00884424"/>
    <w:rsid w:val="0088442B"/>
    <w:rsid w:val="0088473F"/>
    <w:rsid w:val="00884B15"/>
    <w:rsid w:val="00885121"/>
    <w:rsid w:val="0088563C"/>
    <w:rsid w:val="0088565A"/>
    <w:rsid w:val="008858EE"/>
    <w:rsid w:val="0088595A"/>
    <w:rsid w:val="00885A28"/>
    <w:rsid w:val="00885A2B"/>
    <w:rsid w:val="00885B7A"/>
    <w:rsid w:val="00885CF7"/>
    <w:rsid w:val="00885DA5"/>
    <w:rsid w:val="00885ED9"/>
    <w:rsid w:val="00885F1B"/>
    <w:rsid w:val="00886200"/>
    <w:rsid w:val="0088622B"/>
    <w:rsid w:val="00886419"/>
    <w:rsid w:val="00886420"/>
    <w:rsid w:val="00886AA6"/>
    <w:rsid w:val="00886C26"/>
    <w:rsid w:val="00886D92"/>
    <w:rsid w:val="00887047"/>
    <w:rsid w:val="0088710E"/>
    <w:rsid w:val="008878E1"/>
    <w:rsid w:val="00887C7B"/>
    <w:rsid w:val="00887D33"/>
    <w:rsid w:val="00890010"/>
    <w:rsid w:val="008904D8"/>
    <w:rsid w:val="00890834"/>
    <w:rsid w:val="0089098A"/>
    <w:rsid w:val="00890A38"/>
    <w:rsid w:val="00890A51"/>
    <w:rsid w:val="00890CFA"/>
    <w:rsid w:val="00890DC6"/>
    <w:rsid w:val="0089138F"/>
    <w:rsid w:val="008913EE"/>
    <w:rsid w:val="00891501"/>
    <w:rsid w:val="0089155F"/>
    <w:rsid w:val="00891801"/>
    <w:rsid w:val="00891834"/>
    <w:rsid w:val="00891862"/>
    <w:rsid w:val="00891893"/>
    <w:rsid w:val="00891CF6"/>
    <w:rsid w:val="00891F1F"/>
    <w:rsid w:val="008923C5"/>
    <w:rsid w:val="008925A7"/>
    <w:rsid w:val="0089295E"/>
    <w:rsid w:val="008929C0"/>
    <w:rsid w:val="00892C56"/>
    <w:rsid w:val="00892CA2"/>
    <w:rsid w:val="00892FDB"/>
    <w:rsid w:val="00893028"/>
    <w:rsid w:val="00893356"/>
    <w:rsid w:val="008934AA"/>
    <w:rsid w:val="008935D2"/>
    <w:rsid w:val="008937F6"/>
    <w:rsid w:val="008939ED"/>
    <w:rsid w:val="00893DA5"/>
    <w:rsid w:val="00893DE8"/>
    <w:rsid w:val="00893E9A"/>
    <w:rsid w:val="0089429C"/>
    <w:rsid w:val="008943E0"/>
    <w:rsid w:val="00894594"/>
    <w:rsid w:val="008945AA"/>
    <w:rsid w:val="00894663"/>
    <w:rsid w:val="00894768"/>
    <w:rsid w:val="008947E1"/>
    <w:rsid w:val="008948FD"/>
    <w:rsid w:val="00894918"/>
    <w:rsid w:val="00894968"/>
    <w:rsid w:val="00894A2E"/>
    <w:rsid w:val="00894BC8"/>
    <w:rsid w:val="00894C48"/>
    <w:rsid w:val="00894D1F"/>
    <w:rsid w:val="00894DD2"/>
    <w:rsid w:val="008950A2"/>
    <w:rsid w:val="008951B1"/>
    <w:rsid w:val="00895302"/>
    <w:rsid w:val="008954C1"/>
    <w:rsid w:val="00895761"/>
    <w:rsid w:val="00895A81"/>
    <w:rsid w:val="00895D70"/>
    <w:rsid w:val="00895EA1"/>
    <w:rsid w:val="00896192"/>
    <w:rsid w:val="008965E7"/>
    <w:rsid w:val="008966A8"/>
    <w:rsid w:val="008967F8"/>
    <w:rsid w:val="00896A00"/>
    <w:rsid w:val="00896E3C"/>
    <w:rsid w:val="00896E8D"/>
    <w:rsid w:val="00897012"/>
    <w:rsid w:val="008971D2"/>
    <w:rsid w:val="00897344"/>
    <w:rsid w:val="00897615"/>
    <w:rsid w:val="0089773A"/>
    <w:rsid w:val="008979DC"/>
    <w:rsid w:val="00897A07"/>
    <w:rsid w:val="00897D9D"/>
    <w:rsid w:val="00897E52"/>
    <w:rsid w:val="00897EB7"/>
    <w:rsid w:val="008A001F"/>
    <w:rsid w:val="008A043A"/>
    <w:rsid w:val="008A047C"/>
    <w:rsid w:val="008A09A0"/>
    <w:rsid w:val="008A0D1E"/>
    <w:rsid w:val="008A1202"/>
    <w:rsid w:val="008A18B4"/>
    <w:rsid w:val="008A195A"/>
    <w:rsid w:val="008A1A9E"/>
    <w:rsid w:val="008A1B6F"/>
    <w:rsid w:val="008A2014"/>
    <w:rsid w:val="008A2230"/>
    <w:rsid w:val="008A2260"/>
    <w:rsid w:val="008A2474"/>
    <w:rsid w:val="008A2583"/>
    <w:rsid w:val="008A268A"/>
    <w:rsid w:val="008A2AAB"/>
    <w:rsid w:val="008A2BE2"/>
    <w:rsid w:val="008A2CBC"/>
    <w:rsid w:val="008A2D6D"/>
    <w:rsid w:val="008A2DBA"/>
    <w:rsid w:val="008A2E9A"/>
    <w:rsid w:val="008A30B0"/>
    <w:rsid w:val="008A31A7"/>
    <w:rsid w:val="008A34C4"/>
    <w:rsid w:val="008A355D"/>
    <w:rsid w:val="008A3E9E"/>
    <w:rsid w:val="008A4150"/>
    <w:rsid w:val="008A425F"/>
    <w:rsid w:val="008A4323"/>
    <w:rsid w:val="008A494B"/>
    <w:rsid w:val="008A4B46"/>
    <w:rsid w:val="008A4B91"/>
    <w:rsid w:val="008A4C5C"/>
    <w:rsid w:val="008A514B"/>
    <w:rsid w:val="008A5340"/>
    <w:rsid w:val="008A53BB"/>
    <w:rsid w:val="008A53D8"/>
    <w:rsid w:val="008A5445"/>
    <w:rsid w:val="008A5673"/>
    <w:rsid w:val="008A5679"/>
    <w:rsid w:val="008A5EDA"/>
    <w:rsid w:val="008A61D7"/>
    <w:rsid w:val="008A64C0"/>
    <w:rsid w:val="008A6779"/>
    <w:rsid w:val="008A6E5C"/>
    <w:rsid w:val="008A708A"/>
    <w:rsid w:val="008A7100"/>
    <w:rsid w:val="008A71DE"/>
    <w:rsid w:val="008A7350"/>
    <w:rsid w:val="008A7C54"/>
    <w:rsid w:val="008A7DFE"/>
    <w:rsid w:val="008A7F73"/>
    <w:rsid w:val="008B0359"/>
    <w:rsid w:val="008B03BC"/>
    <w:rsid w:val="008B078E"/>
    <w:rsid w:val="008B0A8B"/>
    <w:rsid w:val="008B0C96"/>
    <w:rsid w:val="008B0CBD"/>
    <w:rsid w:val="008B0D0E"/>
    <w:rsid w:val="008B0DAF"/>
    <w:rsid w:val="008B0ED3"/>
    <w:rsid w:val="008B0F67"/>
    <w:rsid w:val="008B0F68"/>
    <w:rsid w:val="008B1261"/>
    <w:rsid w:val="008B14B0"/>
    <w:rsid w:val="008B14F4"/>
    <w:rsid w:val="008B170B"/>
    <w:rsid w:val="008B1B1D"/>
    <w:rsid w:val="008B1D2F"/>
    <w:rsid w:val="008B2258"/>
    <w:rsid w:val="008B22E8"/>
    <w:rsid w:val="008B23A9"/>
    <w:rsid w:val="008B2593"/>
    <w:rsid w:val="008B25E4"/>
    <w:rsid w:val="008B273A"/>
    <w:rsid w:val="008B28D7"/>
    <w:rsid w:val="008B2A85"/>
    <w:rsid w:val="008B2F29"/>
    <w:rsid w:val="008B3259"/>
    <w:rsid w:val="008B331C"/>
    <w:rsid w:val="008B34B3"/>
    <w:rsid w:val="008B4002"/>
    <w:rsid w:val="008B4135"/>
    <w:rsid w:val="008B428A"/>
    <w:rsid w:val="008B4862"/>
    <w:rsid w:val="008B4863"/>
    <w:rsid w:val="008B48DD"/>
    <w:rsid w:val="008B495F"/>
    <w:rsid w:val="008B4A15"/>
    <w:rsid w:val="008B4C3B"/>
    <w:rsid w:val="008B5013"/>
    <w:rsid w:val="008B524E"/>
    <w:rsid w:val="008B53C8"/>
    <w:rsid w:val="008B5542"/>
    <w:rsid w:val="008B5882"/>
    <w:rsid w:val="008B591F"/>
    <w:rsid w:val="008B59F5"/>
    <w:rsid w:val="008B5A7C"/>
    <w:rsid w:val="008B5B46"/>
    <w:rsid w:val="008B5C07"/>
    <w:rsid w:val="008B5C86"/>
    <w:rsid w:val="008B6108"/>
    <w:rsid w:val="008B618C"/>
    <w:rsid w:val="008B63B6"/>
    <w:rsid w:val="008B6B5A"/>
    <w:rsid w:val="008B6E46"/>
    <w:rsid w:val="008B6E57"/>
    <w:rsid w:val="008B6FFB"/>
    <w:rsid w:val="008B76DD"/>
    <w:rsid w:val="008B79FB"/>
    <w:rsid w:val="008B7A4C"/>
    <w:rsid w:val="008B7C42"/>
    <w:rsid w:val="008B7D6A"/>
    <w:rsid w:val="008B7F50"/>
    <w:rsid w:val="008C0035"/>
    <w:rsid w:val="008C0213"/>
    <w:rsid w:val="008C04AC"/>
    <w:rsid w:val="008C04C9"/>
    <w:rsid w:val="008C066D"/>
    <w:rsid w:val="008C092D"/>
    <w:rsid w:val="008C0ACB"/>
    <w:rsid w:val="008C0F83"/>
    <w:rsid w:val="008C130D"/>
    <w:rsid w:val="008C18FA"/>
    <w:rsid w:val="008C1945"/>
    <w:rsid w:val="008C21C1"/>
    <w:rsid w:val="008C228D"/>
    <w:rsid w:val="008C27A2"/>
    <w:rsid w:val="008C2882"/>
    <w:rsid w:val="008C2CF5"/>
    <w:rsid w:val="008C2D54"/>
    <w:rsid w:val="008C2EC6"/>
    <w:rsid w:val="008C305B"/>
    <w:rsid w:val="008C31C0"/>
    <w:rsid w:val="008C3268"/>
    <w:rsid w:val="008C3E95"/>
    <w:rsid w:val="008C3FC0"/>
    <w:rsid w:val="008C42A1"/>
    <w:rsid w:val="008C431E"/>
    <w:rsid w:val="008C43B7"/>
    <w:rsid w:val="008C4519"/>
    <w:rsid w:val="008C47AF"/>
    <w:rsid w:val="008C4B06"/>
    <w:rsid w:val="008C4D49"/>
    <w:rsid w:val="008C4FDB"/>
    <w:rsid w:val="008C51D5"/>
    <w:rsid w:val="008C53A6"/>
    <w:rsid w:val="008C561B"/>
    <w:rsid w:val="008C5954"/>
    <w:rsid w:val="008C59D0"/>
    <w:rsid w:val="008C5C6B"/>
    <w:rsid w:val="008C5D02"/>
    <w:rsid w:val="008C63C2"/>
    <w:rsid w:val="008C63CE"/>
    <w:rsid w:val="008C64F5"/>
    <w:rsid w:val="008C6721"/>
    <w:rsid w:val="008C6A31"/>
    <w:rsid w:val="008C6A6A"/>
    <w:rsid w:val="008C6BCE"/>
    <w:rsid w:val="008C6D09"/>
    <w:rsid w:val="008C6D65"/>
    <w:rsid w:val="008C6F3D"/>
    <w:rsid w:val="008C6F6F"/>
    <w:rsid w:val="008C70AC"/>
    <w:rsid w:val="008C7380"/>
    <w:rsid w:val="008C7A0A"/>
    <w:rsid w:val="008C7AB1"/>
    <w:rsid w:val="008C7FA0"/>
    <w:rsid w:val="008D00E5"/>
    <w:rsid w:val="008D0172"/>
    <w:rsid w:val="008D03E9"/>
    <w:rsid w:val="008D03FC"/>
    <w:rsid w:val="008D09F0"/>
    <w:rsid w:val="008D0C2A"/>
    <w:rsid w:val="008D11A1"/>
    <w:rsid w:val="008D12A5"/>
    <w:rsid w:val="008D182E"/>
    <w:rsid w:val="008D187A"/>
    <w:rsid w:val="008D18A2"/>
    <w:rsid w:val="008D1CB4"/>
    <w:rsid w:val="008D1E2C"/>
    <w:rsid w:val="008D2089"/>
    <w:rsid w:val="008D2268"/>
    <w:rsid w:val="008D2406"/>
    <w:rsid w:val="008D2755"/>
    <w:rsid w:val="008D281E"/>
    <w:rsid w:val="008D29A3"/>
    <w:rsid w:val="008D2C03"/>
    <w:rsid w:val="008D2CC0"/>
    <w:rsid w:val="008D2E6D"/>
    <w:rsid w:val="008D2F0E"/>
    <w:rsid w:val="008D306D"/>
    <w:rsid w:val="008D344C"/>
    <w:rsid w:val="008D3504"/>
    <w:rsid w:val="008D36C1"/>
    <w:rsid w:val="008D3797"/>
    <w:rsid w:val="008D37C3"/>
    <w:rsid w:val="008D38A8"/>
    <w:rsid w:val="008D3B6C"/>
    <w:rsid w:val="008D3C64"/>
    <w:rsid w:val="008D3F9A"/>
    <w:rsid w:val="008D4072"/>
    <w:rsid w:val="008D4557"/>
    <w:rsid w:val="008D45B0"/>
    <w:rsid w:val="008D4874"/>
    <w:rsid w:val="008D48FC"/>
    <w:rsid w:val="008D49B1"/>
    <w:rsid w:val="008D4A10"/>
    <w:rsid w:val="008D4AA4"/>
    <w:rsid w:val="008D4B09"/>
    <w:rsid w:val="008D4CAC"/>
    <w:rsid w:val="008D4E71"/>
    <w:rsid w:val="008D519E"/>
    <w:rsid w:val="008D5224"/>
    <w:rsid w:val="008D5290"/>
    <w:rsid w:val="008D52D2"/>
    <w:rsid w:val="008D5388"/>
    <w:rsid w:val="008D5480"/>
    <w:rsid w:val="008D57BE"/>
    <w:rsid w:val="008D58E0"/>
    <w:rsid w:val="008D6016"/>
    <w:rsid w:val="008D6051"/>
    <w:rsid w:val="008D63EA"/>
    <w:rsid w:val="008D653F"/>
    <w:rsid w:val="008D6575"/>
    <w:rsid w:val="008D65D2"/>
    <w:rsid w:val="008D6732"/>
    <w:rsid w:val="008D688A"/>
    <w:rsid w:val="008D694E"/>
    <w:rsid w:val="008D6D52"/>
    <w:rsid w:val="008D6E51"/>
    <w:rsid w:val="008D6FB9"/>
    <w:rsid w:val="008D7056"/>
    <w:rsid w:val="008D7309"/>
    <w:rsid w:val="008D7867"/>
    <w:rsid w:val="008D7928"/>
    <w:rsid w:val="008D79B2"/>
    <w:rsid w:val="008D7D44"/>
    <w:rsid w:val="008D7F45"/>
    <w:rsid w:val="008D7FBB"/>
    <w:rsid w:val="008E0420"/>
    <w:rsid w:val="008E0595"/>
    <w:rsid w:val="008E05FF"/>
    <w:rsid w:val="008E0644"/>
    <w:rsid w:val="008E0674"/>
    <w:rsid w:val="008E0753"/>
    <w:rsid w:val="008E0CD8"/>
    <w:rsid w:val="008E0EC9"/>
    <w:rsid w:val="008E0F1D"/>
    <w:rsid w:val="008E121C"/>
    <w:rsid w:val="008E1343"/>
    <w:rsid w:val="008E1592"/>
    <w:rsid w:val="008E164A"/>
    <w:rsid w:val="008E1A10"/>
    <w:rsid w:val="008E1A4A"/>
    <w:rsid w:val="008E1B8C"/>
    <w:rsid w:val="008E1EF6"/>
    <w:rsid w:val="008E20D1"/>
    <w:rsid w:val="008E2100"/>
    <w:rsid w:val="008E21FC"/>
    <w:rsid w:val="008E2493"/>
    <w:rsid w:val="008E280C"/>
    <w:rsid w:val="008E2B08"/>
    <w:rsid w:val="008E2B51"/>
    <w:rsid w:val="008E2FC8"/>
    <w:rsid w:val="008E2FFF"/>
    <w:rsid w:val="008E31D8"/>
    <w:rsid w:val="008E3281"/>
    <w:rsid w:val="008E333D"/>
    <w:rsid w:val="008E3393"/>
    <w:rsid w:val="008E3716"/>
    <w:rsid w:val="008E3A46"/>
    <w:rsid w:val="008E3C6E"/>
    <w:rsid w:val="008E3D86"/>
    <w:rsid w:val="008E3D9B"/>
    <w:rsid w:val="008E3EC6"/>
    <w:rsid w:val="008E3F78"/>
    <w:rsid w:val="008E40D6"/>
    <w:rsid w:val="008E41E4"/>
    <w:rsid w:val="008E42CA"/>
    <w:rsid w:val="008E4384"/>
    <w:rsid w:val="008E456D"/>
    <w:rsid w:val="008E4708"/>
    <w:rsid w:val="008E4D18"/>
    <w:rsid w:val="008E4DB2"/>
    <w:rsid w:val="008E4EDB"/>
    <w:rsid w:val="008E4F1F"/>
    <w:rsid w:val="008E5097"/>
    <w:rsid w:val="008E53CF"/>
    <w:rsid w:val="008E57B0"/>
    <w:rsid w:val="008E5BDC"/>
    <w:rsid w:val="008E5FE7"/>
    <w:rsid w:val="008E626C"/>
    <w:rsid w:val="008E62A9"/>
    <w:rsid w:val="008E63EE"/>
    <w:rsid w:val="008E65E5"/>
    <w:rsid w:val="008E67B9"/>
    <w:rsid w:val="008E6879"/>
    <w:rsid w:val="008E68FB"/>
    <w:rsid w:val="008E69FB"/>
    <w:rsid w:val="008E6ACE"/>
    <w:rsid w:val="008E6C11"/>
    <w:rsid w:val="008E6E3D"/>
    <w:rsid w:val="008E6F69"/>
    <w:rsid w:val="008E6F8D"/>
    <w:rsid w:val="008E7071"/>
    <w:rsid w:val="008E7137"/>
    <w:rsid w:val="008E7365"/>
    <w:rsid w:val="008E76E1"/>
    <w:rsid w:val="008E7798"/>
    <w:rsid w:val="008E788F"/>
    <w:rsid w:val="008E7A7C"/>
    <w:rsid w:val="008E7D2F"/>
    <w:rsid w:val="008E7DCB"/>
    <w:rsid w:val="008E7E1A"/>
    <w:rsid w:val="008E7E92"/>
    <w:rsid w:val="008F000F"/>
    <w:rsid w:val="008F00DF"/>
    <w:rsid w:val="008F0624"/>
    <w:rsid w:val="008F07C1"/>
    <w:rsid w:val="008F08BD"/>
    <w:rsid w:val="008F09A1"/>
    <w:rsid w:val="008F0B51"/>
    <w:rsid w:val="008F0B5A"/>
    <w:rsid w:val="008F0BD8"/>
    <w:rsid w:val="008F1193"/>
    <w:rsid w:val="008F12D3"/>
    <w:rsid w:val="008F13A2"/>
    <w:rsid w:val="008F14A1"/>
    <w:rsid w:val="008F14AA"/>
    <w:rsid w:val="008F1548"/>
    <w:rsid w:val="008F18E6"/>
    <w:rsid w:val="008F1B2E"/>
    <w:rsid w:val="008F1C08"/>
    <w:rsid w:val="008F1C56"/>
    <w:rsid w:val="008F2134"/>
    <w:rsid w:val="008F24D5"/>
    <w:rsid w:val="008F25E9"/>
    <w:rsid w:val="008F264F"/>
    <w:rsid w:val="008F2FEB"/>
    <w:rsid w:val="008F3244"/>
    <w:rsid w:val="008F33BE"/>
    <w:rsid w:val="008F3487"/>
    <w:rsid w:val="008F3663"/>
    <w:rsid w:val="008F3B5D"/>
    <w:rsid w:val="008F3CB9"/>
    <w:rsid w:val="008F3D38"/>
    <w:rsid w:val="008F3FF1"/>
    <w:rsid w:val="008F4123"/>
    <w:rsid w:val="008F41D4"/>
    <w:rsid w:val="008F42C2"/>
    <w:rsid w:val="008F45F9"/>
    <w:rsid w:val="008F4696"/>
    <w:rsid w:val="008F46BF"/>
    <w:rsid w:val="008F46C2"/>
    <w:rsid w:val="008F4A46"/>
    <w:rsid w:val="008F4BCD"/>
    <w:rsid w:val="008F4C4D"/>
    <w:rsid w:val="008F4C89"/>
    <w:rsid w:val="008F50B6"/>
    <w:rsid w:val="008F52CF"/>
    <w:rsid w:val="008F532E"/>
    <w:rsid w:val="008F5517"/>
    <w:rsid w:val="008F57D1"/>
    <w:rsid w:val="008F5841"/>
    <w:rsid w:val="008F5BAD"/>
    <w:rsid w:val="008F5BCC"/>
    <w:rsid w:val="008F5C72"/>
    <w:rsid w:val="008F5F3F"/>
    <w:rsid w:val="008F5F7A"/>
    <w:rsid w:val="008F610F"/>
    <w:rsid w:val="008F63B3"/>
    <w:rsid w:val="008F656F"/>
    <w:rsid w:val="008F675D"/>
    <w:rsid w:val="008F67F8"/>
    <w:rsid w:val="008F680B"/>
    <w:rsid w:val="008F687D"/>
    <w:rsid w:val="008F6A6C"/>
    <w:rsid w:val="008F6B4C"/>
    <w:rsid w:val="008F6B8D"/>
    <w:rsid w:val="008F6BAC"/>
    <w:rsid w:val="008F6C8F"/>
    <w:rsid w:val="008F6D96"/>
    <w:rsid w:val="008F72D2"/>
    <w:rsid w:val="008F73C8"/>
    <w:rsid w:val="008F75BF"/>
    <w:rsid w:val="008F7649"/>
    <w:rsid w:val="008F7769"/>
    <w:rsid w:val="008F77F8"/>
    <w:rsid w:val="008F786E"/>
    <w:rsid w:val="008F7CC3"/>
    <w:rsid w:val="008F7D8A"/>
    <w:rsid w:val="00900448"/>
    <w:rsid w:val="00900507"/>
    <w:rsid w:val="0090057A"/>
    <w:rsid w:val="009005EF"/>
    <w:rsid w:val="009009D5"/>
    <w:rsid w:val="00900A64"/>
    <w:rsid w:val="00900AE9"/>
    <w:rsid w:val="00900BF7"/>
    <w:rsid w:val="00900C07"/>
    <w:rsid w:val="00900E59"/>
    <w:rsid w:val="00900F93"/>
    <w:rsid w:val="00901078"/>
    <w:rsid w:val="009010E8"/>
    <w:rsid w:val="0090136E"/>
    <w:rsid w:val="0090144B"/>
    <w:rsid w:val="0090167B"/>
    <w:rsid w:val="009016C7"/>
    <w:rsid w:val="00901752"/>
    <w:rsid w:val="00901999"/>
    <w:rsid w:val="009019FC"/>
    <w:rsid w:val="00901AEA"/>
    <w:rsid w:val="00902582"/>
    <w:rsid w:val="00902D64"/>
    <w:rsid w:val="00902EA7"/>
    <w:rsid w:val="00902EBC"/>
    <w:rsid w:val="0090347A"/>
    <w:rsid w:val="0090349A"/>
    <w:rsid w:val="00903842"/>
    <w:rsid w:val="00903E08"/>
    <w:rsid w:val="0090402F"/>
    <w:rsid w:val="0090429B"/>
    <w:rsid w:val="009045D1"/>
    <w:rsid w:val="009047C9"/>
    <w:rsid w:val="0090482B"/>
    <w:rsid w:val="009048F5"/>
    <w:rsid w:val="00904922"/>
    <w:rsid w:val="00904A6B"/>
    <w:rsid w:val="00904A79"/>
    <w:rsid w:val="00904BAE"/>
    <w:rsid w:val="00904EA8"/>
    <w:rsid w:val="00904F16"/>
    <w:rsid w:val="00905720"/>
    <w:rsid w:val="00905AE2"/>
    <w:rsid w:val="00905E34"/>
    <w:rsid w:val="00905EB6"/>
    <w:rsid w:val="00905EBF"/>
    <w:rsid w:val="0090600B"/>
    <w:rsid w:val="00906527"/>
    <w:rsid w:val="00906546"/>
    <w:rsid w:val="0090686B"/>
    <w:rsid w:val="00906CE7"/>
    <w:rsid w:val="00906F0D"/>
    <w:rsid w:val="00906FB1"/>
    <w:rsid w:val="00907445"/>
    <w:rsid w:val="009074B3"/>
    <w:rsid w:val="009076FC"/>
    <w:rsid w:val="00907C2D"/>
    <w:rsid w:val="00907D16"/>
    <w:rsid w:val="009102A3"/>
    <w:rsid w:val="00910416"/>
    <w:rsid w:val="009104FD"/>
    <w:rsid w:val="009106F3"/>
    <w:rsid w:val="0091071E"/>
    <w:rsid w:val="00910800"/>
    <w:rsid w:val="009108BC"/>
    <w:rsid w:val="00910A76"/>
    <w:rsid w:val="00910B43"/>
    <w:rsid w:val="00910CDF"/>
    <w:rsid w:val="009110AF"/>
    <w:rsid w:val="00911465"/>
    <w:rsid w:val="00911550"/>
    <w:rsid w:val="009115E6"/>
    <w:rsid w:val="00911739"/>
    <w:rsid w:val="00911912"/>
    <w:rsid w:val="00911A0F"/>
    <w:rsid w:val="00911D54"/>
    <w:rsid w:val="00911EAD"/>
    <w:rsid w:val="009120D3"/>
    <w:rsid w:val="009120DA"/>
    <w:rsid w:val="0091228E"/>
    <w:rsid w:val="00912386"/>
    <w:rsid w:val="0091238B"/>
    <w:rsid w:val="00912408"/>
    <w:rsid w:val="0091271A"/>
    <w:rsid w:val="009128B3"/>
    <w:rsid w:val="009129D8"/>
    <w:rsid w:val="00912AA3"/>
    <w:rsid w:val="00912BA0"/>
    <w:rsid w:val="00912CAE"/>
    <w:rsid w:val="009133C0"/>
    <w:rsid w:val="0091363D"/>
    <w:rsid w:val="0091379F"/>
    <w:rsid w:val="009137E8"/>
    <w:rsid w:val="0091394E"/>
    <w:rsid w:val="00913BEF"/>
    <w:rsid w:val="00913C91"/>
    <w:rsid w:val="00913E66"/>
    <w:rsid w:val="0091402B"/>
    <w:rsid w:val="009142D6"/>
    <w:rsid w:val="0091434B"/>
    <w:rsid w:val="0091495E"/>
    <w:rsid w:val="00914A9A"/>
    <w:rsid w:val="00914F21"/>
    <w:rsid w:val="00914F9D"/>
    <w:rsid w:val="00914FBC"/>
    <w:rsid w:val="009151D2"/>
    <w:rsid w:val="009154D0"/>
    <w:rsid w:val="0091550F"/>
    <w:rsid w:val="009159CD"/>
    <w:rsid w:val="00915B59"/>
    <w:rsid w:val="00915E83"/>
    <w:rsid w:val="00915F14"/>
    <w:rsid w:val="009160F3"/>
    <w:rsid w:val="00916462"/>
    <w:rsid w:val="00916712"/>
    <w:rsid w:val="00916874"/>
    <w:rsid w:val="0091693C"/>
    <w:rsid w:val="009169B6"/>
    <w:rsid w:val="00916B48"/>
    <w:rsid w:val="00916F9C"/>
    <w:rsid w:val="00916FF0"/>
    <w:rsid w:val="009173FD"/>
    <w:rsid w:val="00917451"/>
    <w:rsid w:val="0091758A"/>
    <w:rsid w:val="00917609"/>
    <w:rsid w:val="009176F5"/>
    <w:rsid w:val="00917758"/>
    <w:rsid w:val="009179F3"/>
    <w:rsid w:val="00917C10"/>
    <w:rsid w:val="00917C99"/>
    <w:rsid w:val="00920264"/>
    <w:rsid w:val="00920291"/>
    <w:rsid w:val="009204F6"/>
    <w:rsid w:val="00920550"/>
    <w:rsid w:val="009209BE"/>
    <w:rsid w:val="009209E5"/>
    <w:rsid w:val="00920BEC"/>
    <w:rsid w:val="00920DF6"/>
    <w:rsid w:val="00920EBE"/>
    <w:rsid w:val="00920F57"/>
    <w:rsid w:val="0092119F"/>
    <w:rsid w:val="0092122E"/>
    <w:rsid w:val="00921585"/>
    <w:rsid w:val="00921DF0"/>
    <w:rsid w:val="00921E3B"/>
    <w:rsid w:val="00921E43"/>
    <w:rsid w:val="00921FE0"/>
    <w:rsid w:val="009220DA"/>
    <w:rsid w:val="00922235"/>
    <w:rsid w:val="009222AB"/>
    <w:rsid w:val="009222C0"/>
    <w:rsid w:val="009223A9"/>
    <w:rsid w:val="009224EF"/>
    <w:rsid w:val="009225A4"/>
    <w:rsid w:val="00922800"/>
    <w:rsid w:val="0092292C"/>
    <w:rsid w:val="00922A92"/>
    <w:rsid w:val="00922BC9"/>
    <w:rsid w:val="00922CA2"/>
    <w:rsid w:val="00922CC7"/>
    <w:rsid w:val="00922CD4"/>
    <w:rsid w:val="00923000"/>
    <w:rsid w:val="00923158"/>
    <w:rsid w:val="0092331D"/>
    <w:rsid w:val="00923339"/>
    <w:rsid w:val="009235C9"/>
    <w:rsid w:val="0092360D"/>
    <w:rsid w:val="00923E12"/>
    <w:rsid w:val="00923FEE"/>
    <w:rsid w:val="00924080"/>
    <w:rsid w:val="00924142"/>
    <w:rsid w:val="009243A0"/>
    <w:rsid w:val="00924613"/>
    <w:rsid w:val="0092461B"/>
    <w:rsid w:val="009246AC"/>
    <w:rsid w:val="00924C05"/>
    <w:rsid w:val="00924E56"/>
    <w:rsid w:val="00924E62"/>
    <w:rsid w:val="009250E5"/>
    <w:rsid w:val="00925336"/>
    <w:rsid w:val="00925780"/>
    <w:rsid w:val="009258E7"/>
    <w:rsid w:val="009259FB"/>
    <w:rsid w:val="00925C04"/>
    <w:rsid w:val="00925E61"/>
    <w:rsid w:val="00925E8A"/>
    <w:rsid w:val="009263B7"/>
    <w:rsid w:val="009264B8"/>
    <w:rsid w:val="0092661C"/>
    <w:rsid w:val="00926A75"/>
    <w:rsid w:val="00926B0B"/>
    <w:rsid w:val="00926E26"/>
    <w:rsid w:val="00926F38"/>
    <w:rsid w:val="00927029"/>
    <w:rsid w:val="009274C6"/>
    <w:rsid w:val="00927745"/>
    <w:rsid w:val="00927854"/>
    <w:rsid w:val="0092792A"/>
    <w:rsid w:val="00927B13"/>
    <w:rsid w:val="00927B66"/>
    <w:rsid w:val="00927C25"/>
    <w:rsid w:val="00927D87"/>
    <w:rsid w:val="00930069"/>
    <w:rsid w:val="009302D4"/>
    <w:rsid w:val="00930518"/>
    <w:rsid w:val="00930526"/>
    <w:rsid w:val="00930583"/>
    <w:rsid w:val="009307E0"/>
    <w:rsid w:val="00930A78"/>
    <w:rsid w:val="00930CDE"/>
    <w:rsid w:val="00930F9C"/>
    <w:rsid w:val="0093108E"/>
    <w:rsid w:val="00931254"/>
    <w:rsid w:val="009313E4"/>
    <w:rsid w:val="00931488"/>
    <w:rsid w:val="009314D0"/>
    <w:rsid w:val="0093177A"/>
    <w:rsid w:val="00931A1F"/>
    <w:rsid w:val="00931A2A"/>
    <w:rsid w:val="00931A8E"/>
    <w:rsid w:val="00931BFC"/>
    <w:rsid w:val="00931EA1"/>
    <w:rsid w:val="00932093"/>
    <w:rsid w:val="009320C7"/>
    <w:rsid w:val="009320D4"/>
    <w:rsid w:val="009321A0"/>
    <w:rsid w:val="0093228B"/>
    <w:rsid w:val="00932306"/>
    <w:rsid w:val="00932507"/>
    <w:rsid w:val="0093258C"/>
    <w:rsid w:val="009327E4"/>
    <w:rsid w:val="009327EE"/>
    <w:rsid w:val="0093299F"/>
    <w:rsid w:val="00932A48"/>
    <w:rsid w:val="00933075"/>
    <w:rsid w:val="009331ED"/>
    <w:rsid w:val="0093326A"/>
    <w:rsid w:val="009332CE"/>
    <w:rsid w:val="009332DD"/>
    <w:rsid w:val="0093343C"/>
    <w:rsid w:val="009337E8"/>
    <w:rsid w:val="0093387C"/>
    <w:rsid w:val="00933B5B"/>
    <w:rsid w:val="00933B84"/>
    <w:rsid w:val="00933B8D"/>
    <w:rsid w:val="00933D67"/>
    <w:rsid w:val="009340DF"/>
    <w:rsid w:val="00934729"/>
    <w:rsid w:val="00934867"/>
    <w:rsid w:val="00934ACE"/>
    <w:rsid w:val="00934BA9"/>
    <w:rsid w:val="00934E99"/>
    <w:rsid w:val="0093508E"/>
    <w:rsid w:val="0093519F"/>
    <w:rsid w:val="00935677"/>
    <w:rsid w:val="0093570A"/>
    <w:rsid w:val="00935A34"/>
    <w:rsid w:val="00935A85"/>
    <w:rsid w:val="00935C11"/>
    <w:rsid w:val="00935EC4"/>
    <w:rsid w:val="00935FB8"/>
    <w:rsid w:val="00936220"/>
    <w:rsid w:val="009365B1"/>
    <w:rsid w:val="00936736"/>
    <w:rsid w:val="0093686E"/>
    <w:rsid w:val="00936FDD"/>
    <w:rsid w:val="009370C8"/>
    <w:rsid w:val="0093726D"/>
    <w:rsid w:val="00937577"/>
    <w:rsid w:val="009376C2"/>
    <w:rsid w:val="0093784B"/>
    <w:rsid w:val="0093791C"/>
    <w:rsid w:val="0093796E"/>
    <w:rsid w:val="0093798B"/>
    <w:rsid w:val="00937C2E"/>
    <w:rsid w:val="00937D4E"/>
    <w:rsid w:val="00937DAC"/>
    <w:rsid w:val="00937E1B"/>
    <w:rsid w:val="00940318"/>
    <w:rsid w:val="009403DC"/>
    <w:rsid w:val="00940437"/>
    <w:rsid w:val="0094046A"/>
    <w:rsid w:val="0094087A"/>
    <w:rsid w:val="00940AE0"/>
    <w:rsid w:val="00940B65"/>
    <w:rsid w:val="00940CEA"/>
    <w:rsid w:val="00940DBE"/>
    <w:rsid w:val="00940E4E"/>
    <w:rsid w:val="0094107F"/>
    <w:rsid w:val="0094121E"/>
    <w:rsid w:val="00941340"/>
    <w:rsid w:val="00941361"/>
    <w:rsid w:val="009414E0"/>
    <w:rsid w:val="009414FF"/>
    <w:rsid w:val="0094158A"/>
    <w:rsid w:val="009415FD"/>
    <w:rsid w:val="00941807"/>
    <w:rsid w:val="009418F0"/>
    <w:rsid w:val="0094191A"/>
    <w:rsid w:val="00941C3F"/>
    <w:rsid w:val="00941C8B"/>
    <w:rsid w:val="00941D80"/>
    <w:rsid w:val="00941E60"/>
    <w:rsid w:val="00941F09"/>
    <w:rsid w:val="00942164"/>
    <w:rsid w:val="009421CA"/>
    <w:rsid w:val="009421D1"/>
    <w:rsid w:val="0094226A"/>
    <w:rsid w:val="00942409"/>
    <w:rsid w:val="009424FD"/>
    <w:rsid w:val="00942544"/>
    <w:rsid w:val="0094273D"/>
    <w:rsid w:val="00942966"/>
    <w:rsid w:val="00942BE7"/>
    <w:rsid w:val="00942D1E"/>
    <w:rsid w:val="00942ED0"/>
    <w:rsid w:val="009432B4"/>
    <w:rsid w:val="009433A2"/>
    <w:rsid w:val="0094370D"/>
    <w:rsid w:val="00943A82"/>
    <w:rsid w:val="00943D8A"/>
    <w:rsid w:val="00943FAE"/>
    <w:rsid w:val="00944074"/>
    <w:rsid w:val="00944156"/>
    <w:rsid w:val="009444AE"/>
    <w:rsid w:val="0094472D"/>
    <w:rsid w:val="00944DB7"/>
    <w:rsid w:val="00944F70"/>
    <w:rsid w:val="009450F4"/>
    <w:rsid w:val="009452A5"/>
    <w:rsid w:val="009452E5"/>
    <w:rsid w:val="0094541E"/>
    <w:rsid w:val="009454A6"/>
    <w:rsid w:val="009455E8"/>
    <w:rsid w:val="009456D8"/>
    <w:rsid w:val="00945C01"/>
    <w:rsid w:val="00945E18"/>
    <w:rsid w:val="00945E8B"/>
    <w:rsid w:val="00945EC3"/>
    <w:rsid w:val="00945FAC"/>
    <w:rsid w:val="00945FB7"/>
    <w:rsid w:val="00946068"/>
    <w:rsid w:val="009465C6"/>
    <w:rsid w:val="00946648"/>
    <w:rsid w:val="009466D0"/>
    <w:rsid w:val="00946BF7"/>
    <w:rsid w:val="00946D5F"/>
    <w:rsid w:val="00947150"/>
    <w:rsid w:val="009473B2"/>
    <w:rsid w:val="00947436"/>
    <w:rsid w:val="00947473"/>
    <w:rsid w:val="009478AC"/>
    <w:rsid w:val="00947960"/>
    <w:rsid w:val="00947B45"/>
    <w:rsid w:val="009500BC"/>
    <w:rsid w:val="009500C0"/>
    <w:rsid w:val="00950192"/>
    <w:rsid w:val="00950401"/>
    <w:rsid w:val="00950769"/>
    <w:rsid w:val="00950978"/>
    <w:rsid w:val="009509F8"/>
    <w:rsid w:val="00950A21"/>
    <w:rsid w:val="00950ADD"/>
    <w:rsid w:val="00950D4C"/>
    <w:rsid w:val="00951138"/>
    <w:rsid w:val="00951254"/>
    <w:rsid w:val="0095129D"/>
    <w:rsid w:val="009512A8"/>
    <w:rsid w:val="0095185C"/>
    <w:rsid w:val="009518F4"/>
    <w:rsid w:val="00951C13"/>
    <w:rsid w:val="00951CE3"/>
    <w:rsid w:val="00951EB6"/>
    <w:rsid w:val="00951F6E"/>
    <w:rsid w:val="009522C9"/>
    <w:rsid w:val="00952355"/>
    <w:rsid w:val="009523F7"/>
    <w:rsid w:val="00952649"/>
    <w:rsid w:val="00952969"/>
    <w:rsid w:val="00952A2F"/>
    <w:rsid w:val="00952ACA"/>
    <w:rsid w:val="00952B55"/>
    <w:rsid w:val="00952E02"/>
    <w:rsid w:val="009531D8"/>
    <w:rsid w:val="00953326"/>
    <w:rsid w:val="0095352A"/>
    <w:rsid w:val="009537D5"/>
    <w:rsid w:val="009537FA"/>
    <w:rsid w:val="00953D65"/>
    <w:rsid w:val="00953E85"/>
    <w:rsid w:val="0095431B"/>
    <w:rsid w:val="00954343"/>
    <w:rsid w:val="0095446F"/>
    <w:rsid w:val="00954A36"/>
    <w:rsid w:val="00954D87"/>
    <w:rsid w:val="00954DBF"/>
    <w:rsid w:val="00954EE4"/>
    <w:rsid w:val="00954F1E"/>
    <w:rsid w:val="00954FEB"/>
    <w:rsid w:val="0095523C"/>
    <w:rsid w:val="009555EA"/>
    <w:rsid w:val="009557B9"/>
    <w:rsid w:val="009558A7"/>
    <w:rsid w:val="009558D6"/>
    <w:rsid w:val="009559E8"/>
    <w:rsid w:val="00955A1C"/>
    <w:rsid w:val="00955B37"/>
    <w:rsid w:val="00955B91"/>
    <w:rsid w:val="00955D1C"/>
    <w:rsid w:val="00955FFA"/>
    <w:rsid w:val="009560C9"/>
    <w:rsid w:val="00956225"/>
    <w:rsid w:val="009562C5"/>
    <w:rsid w:val="00956453"/>
    <w:rsid w:val="0095676E"/>
    <w:rsid w:val="0095699E"/>
    <w:rsid w:val="00956EEF"/>
    <w:rsid w:val="009570C7"/>
    <w:rsid w:val="00957244"/>
    <w:rsid w:val="009573C3"/>
    <w:rsid w:val="0095745D"/>
    <w:rsid w:val="0095768B"/>
    <w:rsid w:val="0095776F"/>
    <w:rsid w:val="00957A33"/>
    <w:rsid w:val="00957AD7"/>
    <w:rsid w:val="00957C03"/>
    <w:rsid w:val="00957C9F"/>
    <w:rsid w:val="00957D2A"/>
    <w:rsid w:val="00957DC1"/>
    <w:rsid w:val="00957F08"/>
    <w:rsid w:val="0096005E"/>
    <w:rsid w:val="009600F3"/>
    <w:rsid w:val="00960202"/>
    <w:rsid w:val="00960217"/>
    <w:rsid w:val="00960515"/>
    <w:rsid w:val="0096065D"/>
    <w:rsid w:val="0096075E"/>
    <w:rsid w:val="00960922"/>
    <w:rsid w:val="0096093E"/>
    <w:rsid w:val="00960A33"/>
    <w:rsid w:val="00960D7E"/>
    <w:rsid w:val="00961188"/>
    <w:rsid w:val="0096127F"/>
    <w:rsid w:val="00961535"/>
    <w:rsid w:val="0096165A"/>
    <w:rsid w:val="009618AA"/>
    <w:rsid w:val="00961BB7"/>
    <w:rsid w:val="00961DC5"/>
    <w:rsid w:val="0096205F"/>
    <w:rsid w:val="00962482"/>
    <w:rsid w:val="00962716"/>
    <w:rsid w:val="0096283E"/>
    <w:rsid w:val="00962969"/>
    <w:rsid w:val="00962BEF"/>
    <w:rsid w:val="00962CF6"/>
    <w:rsid w:val="00962E86"/>
    <w:rsid w:val="00962ED4"/>
    <w:rsid w:val="00962EFC"/>
    <w:rsid w:val="00962FAD"/>
    <w:rsid w:val="0096309F"/>
    <w:rsid w:val="00963172"/>
    <w:rsid w:val="00963238"/>
    <w:rsid w:val="0096326F"/>
    <w:rsid w:val="009634D0"/>
    <w:rsid w:val="009634D3"/>
    <w:rsid w:val="009634F1"/>
    <w:rsid w:val="00963909"/>
    <w:rsid w:val="00963DCE"/>
    <w:rsid w:val="0096411A"/>
    <w:rsid w:val="00964414"/>
    <w:rsid w:val="00964775"/>
    <w:rsid w:val="009648F5"/>
    <w:rsid w:val="00964A1E"/>
    <w:rsid w:val="00964A69"/>
    <w:rsid w:val="00964E32"/>
    <w:rsid w:val="0096556E"/>
    <w:rsid w:val="009655F7"/>
    <w:rsid w:val="0096576F"/>
    <w:rsid w:val="0096595B"/>
    <w:rsid w:val="00965B00"/>
    <w:rsid w:val="00965C0F"/>
    <w:rsid w:val="00966101"/>
    <w:rsid w:val="0096625E"/>
    <w:rsid w:val="00966524"/>
    <w:rsid w:val="009666DF"/>
    <w:rsid w:val="009667D6"/>
    <w:rsid w:val="0096685A"/>
    <w:rsid w:val="0096685B"/>
    <w:rsid w:val="009668FA"/>
    <w:rsid w:val="00966C29"/>
    <w:rsid w:val="00966C53"/>
    <w:rsid w:val="00966D85"/>
    <w:rsid w:val="00966F26"/>
    <w:rsid w:val="00966F95"/>
    <w:rsid w:val="00967071"/>
    <w:rsid w:val="00967097"/>
    <w:rsid w:val="00967192"/>
    <w:rsid w:val="0096756F"/>
    <w:rsid w:val="0096762D"/>
    <w:rsid w:val="009678C0"/>
    <w:rsid w:val="009679EE"/>
    <w:rsid w:val="00967A25"/>
    <w:rsid w:val="00967EE4"/>
    <w:rsid w:val="00967F0F"/>
    <w:rsid w:val="009701A7"/>
    <w:rsid w:val="009703C5"/>
    <w:rsid w:val="00970402"/>
    <w:rsid w:val="00970886"/>
    <w:rsid w:val="00970EE1"/>
    <w:rsid w:val="009710BA"/>
    <w:rsid w:val="009711E2"/>
    <w:rsid w:val="009712F3"/>
    <w:rsid w:val="00971444"/>
    <w:rsid w:val="00971580"/>
    <w:rsid w:val="00971BCF"/>
    <w:rsid w:val="00971D17"/>
    <w:rsid w:val="00971F17"/>
    <w:rsid w:val="0097224B"/>
    <w:rsid w:val="00972251"/>
    <w:rsid w:val="00972342"/>
    <w:rsid w:val="009726A3"/>
    <w:rsid w:val="009726CC"/>
    <w:rsid w:val="00972726"/>
    <w:rsid w:val="00972899"/>
    <w:rsid w:val="00972998"/>
    <w:rsid w:val="00972B29"/>
    <w:rsid w:val="00972C9C"/>
    <w:rsid w:val="00972EB4"/>
    <w:rsid w:val="00972FC7"/>
    <w:rsid w:val="00973015"/>
    <w:rsid w:val="00973267"/>
    <w:rsid w:val="009732F6"/>
    <w:rsid w:val="00973454"/>
    <w:rsid w:val="0097388C"/>
    <w:rsid w:val="0097396F"/>
    <w:rsid w:val="00973DB1"/>
    <w:rsid w:val="00973ECF"/>
    <w:rsid w:val="0097415C"/>
    <w:rsid w:val="00974386"/>
    <w:rsid w:val="00974A8A"/>
    <w:rsid w:val="00974AC0"/>
    <w:rsid w:val="00974AFD"/>
    <w:rsid w:val="00974D23"/>
    <w:rsid w:val="00974F6A"/>
    <w:rsid w:val="0097502E"/>
    <w:rsid w:val="009754A7"/>
    <w:rsid w:val="00975794"/>
    <w:rsid w:val="00975915"/>
    <w:rsid w:val="00975D62"/>
    <w:rsid w:val="00975F30"/>
    <w:rsid w:val="009768A8"/>
    <w:rsid w:val="00976AE5"/>
    <w:rsid w:val="00976E1B"/>
    <w:rsid w:val="0097716D"/>
    <w:rsid w:val="009773A9"/>
    <w:rsid w:val="009774E1"/>
    <w:rsid w:val="0097760F"/>
    <w:rsid w:val="00977640"/>
    <w:rsid w:val="00977799"/>
    <w:rsid w:val="0097785E"/>
    <w:rsid w:val="0097793C"/>
    <w:rsid w:val="00977B59"/>
    <w:rsid w:val="00977E01"/>
    <w:rsid w:val="00977E8A"/>
    <w:rsid w:val="00977EDB"/>
    <w:rsid w:val="0098002D"/>
    <w:rsid w:val="009800C5"/>
    <w:rsid w:val="0098013D"/>
    <w:rsid w:val="0098020E"/>
    <w:rsid w:val="009806BA"/>
    <w:rsid w:val="00980855"/>
    <w:rsid w:val="009808CA"/>
    <w:rsid w:val="00980AA5"/>
    <w:rsid w:val="00980B91"/>
    <w:rsid w:val="009810AF"/>
    <w:rsid w:val="00981834"/>
    <w:rsid w:val="00981880"/>
    <w:rsid w:val="009819C4"/>
    <w:rsid w:val="009819CC"/>
    <w:rsid w:val="00981CAF"/>
    <w:rsid w:val="00981FD9"/>
    <w:rsid w:val="00981FDC"/>
    <w:rsid w:val="00982252"/>
    <w:rsid w:val="00982286"/>
    <w:rsid w:val="009825B4"/>
    <w:rsid w:val="00982B71"/>
    <w:rsid w:val="00982C32"/>
    <w:rsid w:val="00982D80"/>
    <w:rsid w:val="00982E4F"/>
    <w:rsid w:val="009831D5"/>
    <w:rsid w:val="0098328C"/>
    <w:rsid w:val="009833C4"/>
    <w:rsid w:val="00983487"/>
    <w:rsid w:val="00983532"/>
    <w:rsid w:val="00983908"/>
    <w:rsid w:val="00983C0B"/>
    <w:rsid w:val="00983D21"/>
    <w:rsid w:val="00983D2D"/>
    <w:rsid w:val="00983E45"/>
    <w:rsid w:val="00983F77"/>
    <w:rsid w:val="009840A9"/>
    <w:rsid w:val="00984B33"/>
    <w:rsid w:val="00984DE1"/>
    <w:rsid w:val="0098509E"/>
    <w:rsid w:val="009851CC"/>
    <w:rsid w:val="0098521C"/>
    <w:rsid w:val="009852DD"/>
    <w:rsid w:val="009854EF"/>
    <w:rsid w:val="00985608"/>
    <w:rsid w:val="00985702"/>
    <w:rsid w:val="0098576C"/>
    <w:rsid w:val="009857FD"/>
    <w:rsid w:val="0098591C"/>
    <w:rsid w:val="009859A6"/>
    <w:rsid w:val="00985B03"/>
    <w:rsid w:val="00985D1D"/>
    <w:rsid w:val="00986170"/>
    <w:rsid w:val="009864D7"/>
    <w:rsid w:val="009864F4"/>
    <w:rsid w:val="00986571"/>
    <w:rsid w:val="009865D0"/>
    <w:rsid w:val="009866FC"/>
    <w:rsid w:val="00987178"/>
    <w:rsid w:val="009873F2"/>
    <w:rsid w:val="0098746B"/>
    <w:rsid w:val="00987638"/>
    <w:rsid w:val="0098764B"/>
    <w:rsid w:val="0098768D"/>
    <w:rsid w:val="009876E9"/>
    <w:rsid w:val="009877E2"/>
    <w:rsid w:val="009878E4"/>
    <w:rsid w:val="009879A0"/>
    <w:rsid w:val="00987E16"/>
    <w:rsid w:val="00990485"/>
    <w:rsid w:val="00990563"/>
    <w:rsid w:val="0099057C"/>
    <w:rsid w:val="0099059D"/>
    <w:rsid w:val="00990C29"/>
    <w:rsid w:val="00990C65"/>
    <w:rsid w:val="00990CC3"/>
    <w:rsid w:val="0099100C"/>
    <w:rsid w:val="0099120E"/>
    <w:rsid w:val="0099124A"/>
    <w:rsid w:val="0099184D"/>
    <w:rsid w:val="00991B00"/>
    <w:rsid w:val="00991BA3"/>
    <w:rsid w:val="00991BAA"/>
    <w:rsid w:val="00991C54"/>
    <w:rsid w:val="00991CD9"/>
    <w:rsid w:val="00991D7D"/>
    <w:rsid w:val="00992069"/>
    <w:rsid w:val="0099230F"/>
    <w:rsid w:val="009923AC"/>
    <w:rsid w:val="0099247C"/>
    <w:rsid w:val="00992817"/>
    <w:rsid w:val="00992819"/>
    <w:rsid w:val="00992931"/>
    <w:rsid w:val="00992B68"/>
    <w:rsid w:val="00992BBD"/>
    <w:rsid w:val="00992C97"/>
    <w:rsid w:val="00993344"/>
    <w:rsid w:val="00993345"/>
    <w:rsid w:val="009935E3"/>
    <w:rsid w:val="009937F7"/>
    <w:rsid w:val="0099396B"/>
    <w:rsid w:val="00993A25"/>
    <w:rsid w:val="00993ABC"/>
    <w:rsid w:val="00993AD6"/>
    <w:rsid w:val="009940A9"/>
    <w:rsid w:val="00994249"/>
    <w:rsid w:val="009943FB"/>
    <w:rsid w:val="009945A5"/>
    <w:rsid w:val="009946C5"/>
    <w:rsid w:val="009949CB"/>
    <w:rsid w:val="009949E6"/>
    <w:rsid w:val="00994A2C"/>
    <w:rsid w:val="00994A3B"/>
    <w:rsid w:val="00994C69"/>
    <w:rsid w:val="00994DB0"/>
    <w:rsid w:val="00994FBD"/>
    <w:rsid w:val="00994FF1"/>
    <w:rsid w:val="00995250"/>
    <w:rsid w:val="009957C7"/>
    <w:rsid w:val="0099598B"/>
    <w:rsid w:val="009959A5"/>
    <w:rsid w:val="00995D79"/>
    <w:rsid w:val="00996367"/>
    <w:rsid w:val="00996842"/>
    <w:rsid w:val="009968AD"/>
    <w:rsid w:val="009969E8"/>
    <w:rsid w:val="00996A07"/>
    <w:rsid w:val="00996BB4"/>
    <w:rsid w:val="00996CBE"/>
    <w:rsid w:val="00997002"/>
    <w:rsid w:val="009975C7"/>
    <w:rsid w:val="009975FD"/>
    <w:rsid w:val="00997EEC"/>
    <w:rsid w:val="00997F90"/>
    <w:rsid w:val="009A031A"/>
    <w:rsid w:val="009A032A"/>
    <w:rsid w:val="009A07BC"/>
    <w:rsid w:val="009A0D9D"/>
    <w:rsid w:val="009A10F8"/>
    <w:rsid w:val="009A1228"/>
    <w:rsid w:val="009A133A"/>
    <w:rsid w:val="009A13CD"/>
    <w:rsid w:val="009A16AB"/>
    <w:rsid w:val="009A17EB"/>
    <w:rsid w:val="009A1915"/>
    <w:rsid w:val="009A1DD0"/>
    <w:rsid w:val="009A1E8C"/>
    <w:rsid w:val="009A1F29"/>
    <w:rsid w:val="009A1F76"/>
    <w:rsid w:val="009A1FFB"/>
    <w:rsid w:val="009A229C"/>
    <w:rsid w:val="009A23A4"/>
    <w:rsid w:val="009A24F2"/>
    <w:rsid w:val="009A2692"/>
    <w:rsid w:val="009A26E1"/>
    <w:rsid w:val="009A273E"/>
    <w:rsid w:val="009A2946"/>
    <w:rsid w:val="009A2A01"/>
    <w:rsid w:val="009A2F76"/>
    <w:rsid w:val="009A3109"/>
    <w:rsid w:val="009A3242"/>
    <w:rsid w:val="009A327B"/>
    <w:rsid w:val="009A3292"/>
    <w:rsid w:val="009A33DA"/>
    <w:rsid w:val="009A3736"/>
    <w:rsid w:val="009A3A8F"/>
    <w:rsid w:val="009A3BA5"/>
    <w:rsid w:val="009A3CBB"/>
    <w:rsid w:val="009A3F8A"/>
    <w:rsid w:val="009A448C"/>
    <w:rsid w:val="009A44E6"/>
    <w:rsid w:val="009A485E"/>
    <w:rsid w:val="009A4BE6"/>
    <w:rsid w:val="009A4C6B"/>
    <w:rsid w:val="009A4CCB"/>
    <w:rsid w:val="009A4D23"/>
    <w:rsid w:val="009A506E"/>
    <w:rsid w:val="009A50F6"/>
    <w:rsid w:val="009A52FF"/>
    <w:rsid w:val="009A53BD"/>
    <w:rsid w:val="009A5540"/>
    <w:rsid w:val="009A5B5D"/>
    <w:rsid w:val="009A5BF7"/>
    <w:rsid w:val="009A5D4A"/>
    <w:rsid w:val="009A6107"/>
    <w:rsid w:val="009A615A"/>
    <w:rsid w:val="009A621E"/>
    <w:rsid w:val="009A629D"/>
    <w:rsid w:val="009A636C"/>
    <w:rsid w:val="009A6478"/>
    <w:rsid w:val="009A64BF"/>
    <w:rsid w:val="009A6600"/>
    <w:rsid w:val="009A6624"/>
    <w:rsid w:val="009A67C2"/>
    <w:rsid w:val="009A68C0"/>
    <w:rsid w:val="009A69F2"/>
    <w:rsid w:val="009A6CC5"/>
    <w:rsid w:val="009A6CC7"/>
    <w:rsid w:val="009A7175"/>
    <w:rsid w:val="009A7519"/>
    <w:rsid w:val="009A75AF"/>
    <w:rsid w:val="009A7641"/>
    <w:rsid w:val="009A778A"/>
    <w:rsid w:val="009A7A49"/>
    <w:rsid w:val="009A7CF0"/>
    <w:rsid w:val="009A7DFD"/>
    <w:rsid w:val="009B0105"/>
    <w:rsid w:val="009B01F3"/>
    <w:rsid w:val="009B09CD"/>
    <w:rsid w:val="009B0A61"/>
    <w:rsid w:val="009B0AEC"/>
    <w:rsid w:val="009B0B98"/>
    <w:rsid w:val="009B0B9D"/>
    <w:rsid w:val="009B0CC6"/>
    <w:rsid w:val="009B0D8C"/>
    <w:rsid w:val="009B0DFE"/>
    <w:rsid w:val="009B0F9F"/>
    <w:rsid w:val="009B1062"/>
    <w:rsid w:val="009B109B"/>
    <w:rsid w:val="009B10E0"/>
    <w:rsid w:val="009B12AA"/>
    <w:rsid w:val="009B18BD"/>
    <w:rsid w:val="009B1909"/>
    <w:rsid w:val="009B1E3F"/>
    <w:rsid w:val="009B1F77"/>
    <w:rsid w:val="009B1F91"/>
    <w:rsid w:val="009B2289"/>
    <w:rsid w:val="009B2385"/>
    <w:rsid w:val="009B25C9"/>
    <w:rsid w:val="009B2BF2"/>
    <w:rsid w:val="009B2CB3"/>
    <w:rsid w:val="009B2ECC"/>
    <w:rsid w:val="009B3004"/>
    <w:rsid w:val="009B31FB"/>
    <w:rsid w:val="009B32E6"/>
    <w:rsid w:val="009B3398"/>
    <w:rsid w:val="009B37C9"/>
    <w:rsid w:val="009B383E"/>
    <w:rsid w:val="009B3BF4"/>
    <w:rsid w:val="009B3DD2"/>
    <w:rsid w:val="009B3F01"/>
    <w:rsid w:val="009B43C4"/>
    <w:rsid w:val="009B447F"/>
    <w:rsid w:val="009B44FD"/>
    <w:rsid w:val="009B46B2"/>
    <w:rsid w:val="009B4A64"/>
    <w:rsid w:val="009B4DCB"/>
    <w:rsid w:val="009B506B"/>
    <w:rsid w:val="009B555C"/>
    <w:rsid w:val="009B5A8A"/>
    <w:rsid w:val="009B5CD6"/>
    <w:rsid w:val="009B610A"/>
    <w:rsid w:val="009B6216"/>
    <w:rsid w:val="009B62DA"/>
    <w:rsid w:val="009B67DE"/>
    <w:rsid w:val="009B69D5"/>
    <w:rsid w:val="009B6B6E"/>
    <w:rsid w:val="009B6D76"/>
    <w:rsid w:val="009B70E4"/>
    <w:rsid w:val="009B710B"/>
    <w:rsid w:val="009B73A2"/>
    <w:rsid w:val="009B74B7"/>
    <w:rsid w:val="009B7579"/>
    <w:rsid w:val="009B7706"/>
    <w:rsid w:val="009B797B"/>
    <w:rsid w:val="009B7AD5"/>
    <w:rsid w:val="009B7DB2"/>
    <w:rsid w:val="009B7DD6"/>
    <w:rsid w:val="009B7E3D"/>
    <w:rsid w:val="009B7EA0"/>
    <w:rsid w:val="009B7F2D"/>
    <w:rsid w:val="009C0149"/>
    <w:rsid w:val="009C058C"/>
    <w:rsid w:val="009C0678"/>
    <w:rsid w:val="009C07CA"/>
    <w:rsid w:val="009C0BBF"/>
    <w:rsid w:val="009C0BCC"/>
    <w:rsid w:val="009C0E31"/>
    <w:rsid w:val="009C0F29"/>
    <w:rsid w:val="009C102A"/>
    <w:rsid w:val="009C1107"/>
    <w:rsid w:val="009C127A"/>
    <w:rsid w:val="009C1537"/>
    <w:rsid w:val="009C19AD"/>
    <w:rsid w:val="009C1DC5"/>
    <w:rsid w:val="009C21B4"/>
    <w:rsid w:val="009C2246"/>
    <w:rsid w:val="009C23F1"/>
    <w:rsid w:val="009C23FA"/>
    <w:rsid w:val="009C2633"/>
    <w:rsid w:val="009C2A6A"/>
    <w:rsid w:val="009C2A7F"/>
    <w:rsid w:val="009C2BBC"/>
    <w:rsid w:val="009C2BFF"/>
    <w:rsid w:val="009C2FB9"/>
    <w:rsid w:val="009C36F6"/>
    <w:rsid w:val="009C3AF5"/>
    <w:rsid w:val="009C3E1C"/>
    <w:rsid w:val="009C4004"/>
    <w:rsid w:val="009C44A6"/>
    <w:rsid w:val="009C4569"/>
    <w:rsid w:val="009C4857"/>
    <w:rsid w:val="009C48EF"/>
    <w:rsid w:val="009C4CAD"/>
    <w:rsid w:val="009C5170"/>
    <w:rsid w:val="009C5430"/>
    <w:rsid w:val="009C54B5"/>
    <w:rsid w:val="009C5990"/>
    <w:rsid w:val="009C5C06"/>
    <w:rsid w:val="009C5D07"/>
    <w:rsid w:val="009C5F09"/>
    <w:rsid w:val="009C629C"/>
    <w:rsid w:val="009C62AD"/>
    <w:rsid w:val="009C62E3"/>
    <w:rsid w:val="009C639C"/>
    <w:rsid w:val="009C63C7"/>
    <w:rsid w:val="009C64E1"/>
    <w:rsid w:val="009C64F3"/>
    <w:rsid w:val="009C64FE"/>
    <w:rsid w:val="009C6919"/>
    <w:rsid w:val="009C6E4C"/>
    <w:rsid w:val="009C7E97"/>
    <w:rsid w:val="009C7F1C"/>
    <w:rsid w:val="009D00B5"/>
    <w:rsid w:val="009D02D3"/>
    <w:rsid w:val="009D033A"/>
    <w:rsid w:val="009D0412"/>
    <w:rsid w:val="009D044E"/>
    <w:rsid w:val="009D049F"/>
    <w:rsid w:val="009D055D"/>
    <w:rsid w:val="009D07A1"/>
    <w:rsid w:val="009D0995"/>
    <w:rsid w:val="009D0ABC"/>
    <w:rsid w:val="009D0E4F"/>
    <w:rsid w:val="009D13C8"/>
    <w:rsid w:val="009D154B"/>
    <w:rsid w:val="009D160B"/>
    <w:rsid w:val="009D1693"/>
    <w:rsid w:val="009D17D3"/>
    <w:rsid w:val="009D1914"/>
    <w:rsid w:val="009D1F77"/>
    <w:rsid w:val="009D1FC8"/>
    <w:rsid w:val="009D2129"/>
    <w:rsid w:val="009D216D"/>
    <w:rsid w:val="009D2456"/>
    <w:rsid w:val="009D24AE"/>
    <w:rsid w:val="009D25BD"/>
    <w:rsid w:val="009D266E"/>
    <w:rsid w:val="009D2787"/>
    <w:rsid w:val="009D27F5"/>
    <w:rsid w:val="009D2905"/>
    <w:rsid w:val="009D2A21"/>
    <w:rsid w:val="009D2ACA"/>
    <w:rsid w:val="009D2C60"/>
    <w:rsid w:val="009D2FFD"/>
    <w:rsid w:val="009D30E1"/>
    <w:rsid w:val="009D322C"/>
    <w:rsid w:val="009D32BD"/>
    <w:rsid w:val="009D358C"/>
    <w:rsid w:val="009D3A9B"/>
    <w:rsid w:val="009D3E45"/>
    <w:rsid w:val="009D4191"/>
    <w:rsid w:val="009D42A8"/>
    <w:rsid w:val="009D42EA"/>
    <w:rsid w:val="009D475E"/>
    <w:rsid w:val="009D49E2"/>
    <w:rsid w:val="009D4B85"/>
    <w:rsid w:val="009D4C89"/>
    <w:rsid w:val="009D4CFD"/>
    <w:rsid w:val="009D4D54"/>
    <w:rsid w:val="009D4D8B"/>
    <w:rsid w:val="009D520E"/>
    <w:rsid w:val="009D5380"/>
    <w:rsid w:val="009D562A"/>
    <w:rsid w:val="009D5855"/>
    <w:rsid w:val="009D58AC"/>
    <w:rsid w:val="009D58BD"/>
    <w:rsid w:val="009D58E3"/>
    <w:rsid w:val="009D5909"/>
    <w:rsid w:val="009D597E"/>
    <w:rsid w:val="009D5B42"/>
    <w:rsid w:val="009D5C0B"/>
    <w:rsid w:val="009D5D0A"/>
    <w:rsid w:val="009D5D5C"/>
    <w:rsid w:val="009D5F6D"/>
    <w:rsid w:val="009D5F7E"/>
    <w:rsid w:val="009D60A3"/>
    <w:rsid w:val="009D65D8"/>
    <w:rsid w:val="009D67B1"/>
    <w:rsid w:val="009D6B9D"/>
    <w:rsid w:val="009D6D78"/>
    <w:rsid w:val="009D7491"/>
    <w:rsid w:val="009D7804"/>
    <w:rsid w:val="009D7824"/>
    <w:rsid w:val="009D79C4"/>
    <w:rsid w:val="009D7B1F"/>
    <w:rsid w:val="009D7D0C"/>
    <w:rsid w:val="009D7DBB"/>
    <w:rsid w:val="009D7E50"/>
    <w:rsid w:val="009E002B"/>
    <w:rsid w:val="009E0154"/>
    <w:rsid w:val="009E0276"/>
    <w:rsid w:val="009E02E6"/>
    <w:rsid w:val="009E02EE"/>
    <w:rsid w:val="009E040B"/>
    <w:rsid w:val="009E0584"/>
    <w:rsid w:val="009E05D4"/>
    <w:rsid w:val="009E066A"/>
    <w:rsid w:val="009E08A3"/>
    <w:rsid w:val="009E08E0"/>
    <w:rsid w:val="009E0A96"/>
    <w:rsid w:val="009E0D56"/>
    <w:rsid w:val="009E1105"/>
    <w:rsid w:val="009E1179"/>
    <w:rsid w:val="009E12FA"/>
    <w:rsid w:val="009E13C2"/>
    <w:rsid w:val="009E1403"/>
    <w:rsid w:val="009E15D3"/>
    <w:rsid w:val="009E1A45"/>
    <w:rsid w:val="009E1B1B"/>
    <w:rsid w:val="009E1BAC"/>
    <w:rsid w:val="009E1C66"/>
    <w:rsid w:val="009E1DF2"/>
    <w:rsid w:val="009E228B"/>
    <w:rsid w:val="009E2813"/>
    <w:rsid w:val="009E2883"/>
    <w:rsid w:val="009E2916"/>
    <w:rsid w:val="009E2E19"/>
    <w:rsid w:val="009E321D"/>
    <w:rsid w:val="009E3627"/>
    <w:rsid w:val="009E37C1"/>
    <w:rsid w:val="009E397E"/>
    <w:rsid w:val="009E3B1F"/>
    <w:rsid w:val="009E3BF9"/>
    <w:rsid w:val="009E3C27"/>
    <w:rsid w:val="009E3DC9"/>
    <w:rsid w:val="009E3E7F"/>
    <w:rsid w:val="009E3EA9"/>
    <w:rsid w:val="009E3F4C"/>
    <w:rsid w:val="009E4162"/>
    <w:rsid w:val="009E41FC"/>
    <w:rsid w:val="009E4627"/>
    <w:rsid w:val="009E471B"/>
    <w:rsid w:val="009E4A6D"/>
    <w:rsid w:val="009E4C67"/>
    <w:rsid w:val="009E4C87"/>
    <w:rsid w:val="009E4E3F"/>
    <w:rsid w:val="009E50F3"/>
    <w:rsid w:val="009E5147"/>
    <w:rsid w:val="009E542C"/>
    <w:rsid w:val="009E55A8"/>
    <w:rsid w:val="009E5722"/>
    <w:rsid w:val="009E574C"/>
    <w:rsid w:val="009E5846"/>
    <w:rsid w:val="009E5A38"/>
    <w:rsid w:val="009E5C33"/>
    <w:rsid w:val="009E5D06"/>
    <w:rsid w:val="009E5D55"/>
    <w:rsid w:val="009E5E06"/>
    <w:rsid w:val="009E5E84"/>
    <w:rsid w:val="009E5F58"/>
    <w:rsid w:val="009E6013"/>
    <w:rsid w:val="009E6062"/>
    <w:rsid w:val="009E6344"/>
    <w:rsid w:val="009E6443"/>
    <w:rsid w:val="009E667B"/>
    <w:rsid w:val="009E667E"/>
    <w:rsid w:val="009E6A08"/>
    <w:rsid w:val="009E6B58"/>
    <w:rsid w:val="009E7102"/>
    <w:rsid w:val="009E7251"/>
    <w:rsid w:val="009E72E8"/>
    <w:rsid w:val="009E778B"/>
    <w:rsid w:val="009E7B7F"/>
    <w:rsid w:val="009E7CCC"/>
    <w:rsid w:val="009E7F12"/>
    <w:rsid w:val="009E7F97"/>
    <w:rsid w:val="009F03FD"/>
    <w:rsid w:val="009F05D0"/>
    <w:rsid w:val="009F06C9"/>
    <w:rsid w:val="009F0ABB"/>
    <w:rsid w:val="009F0BA9"/>
    <w:rsid w:val="009F1013"/>
    <w:rsid w:val="009F129F"/>
    <w:rsid w:val="009F1A78"/>
    <w:rsid w:val="009F1DBE"/>
    <w:rsid w:val="009F1ED6"/>
    <w:rsid w:val="009F2224"/>
    <w:rsid w:val="009F2356"/>
    <w:rsid w:val="009F2861"/>
    <w:rsid w:val="009F2B87"/>
    <w:rsid w:val="009F2CAE"/>
    <w:rsid w:val="009F2CEF"/>
    <w:rsid w:val="009F2D75"/>
    <w:rsid w:val="009F2E69"/>
    <w:rsid w:val="009F3117"/>
    <w:rsid w:val="009F33A7"/>
    <w:rsid w:val="009F33E9"/>
    <w:rsid w:val="009F34A4"/>
    <w:rsid w:val="009F36E3"/>
    <w:rsid w:val="009F383B"/>
    <w:rsid w:val="009F3A63"/>
    <w:rsid w:val="009F3FD4"/>
    <w:rsid w:val="009F44FA"/>
    <w:rsid w:val="009F45E0"/>
    <w:rsid w:val="009F4AFD"/>
    <w:rsid w:val="009F4CDA"/>
    <w:rsid w:val="009F4DB5"/>
    <w:rsid w:val="009F5059"/>
    <w:rsid w:val="009F55FC"/>
    <w:rsid w:val="009F573D"/>
    <w:rsid w:val="009F5A5F"/>
    <w:rsid w:val="009F5B2C"/>
    <w:rsid w:val="009F5B61"/>
    <w:rsid w:val="009F5FB3"/>
    <w:rsid w:val="009F6181"/>
    <w:rsid w:val="009F6237"/>
    <w:rsid w:val="009F6348"/>
    <w:rsid w:val="009F6480"/>
    <w:rsid w:val="009F648B"/>
    <w:rsid w:val="009F64B0"/>
    <w:rsid w:val="009F681B"/>
    <w:rsid w:val="009F68B1"/>
    <w:rsid w:val="009F6ECB"/>
    <w:rsid w:val="009F7090"/>
    <w:rsid w:val="009F7145"/>
    <w:rsid w:val="009F714C"/>
    <w:rsid w:val="009F7257"/>
    <w:rsid w:val="009F73BD"/>
    <w:rsid w:val="009F750A"/>
    <w:rsid w:val="009F7597"/>
    <w:rsid w:val="009F75DD"/>
    <w:rsid w:val="009F7959"/>
    <w:rsid w:val="009F79C5"/>
    <w:rsid w:val="009F7A3F"/>
    <w:rsid w:val="009F7A58"/>
    <w:rsid w:val="00A0029F"/>
    <w:rsid w:val="00A003B5"/>
    <w:rsid w:val="00A0043D"/>
    <w:rsid w:val="00A00793"/>
    <w:rsid w:val="00A00A84"/>
    <w:rsid w:val="00A00AB1"/>
    <w:rsid w:val="00A00B65"/>
    <w:rsid w:val="00A00DB2"/>
    <w:rsid w:val="00A00E5D"/>
    <w:rsid w:val="00A00FBA"/>
    <w:rsid w:val="00A01046"/>
    <w:rsid w:val="00A0158B"/>
    <w:rsid w:val="00A015C0"/>
    <w:rsid w:val="00A015C2"/>
    <w:rsid w:val="00A01826"/>
    <w:rsid w:val="00A018FB"/>
    <w:rsid w:val="00A0195F"/>
    <w:rsid w:val="00A019A2"/>
    <w:rsid w:val="00A01B5D"/>
    <w:rsid w:val="00A01D13"/>
    <w:rsid w:val="00A01D23"/>
    <w:rsid w:val="00A01DA5"/>
    <w:rsid w:val="00A02391"/>
    <w:rsid w:val="00A02396"/>
    <w:rsid w:val="00A025B3"/>
    <w:rsid w:val="00A0268D"/>
    <w:rsid w:val="00A02B10"/>
    <w:rsid w:val="00A02C05"/>
    <w:rsid w:val="00A02D07"/>
    <w:rsid w:val="00A02D45"/>
    <w:rsid w:val="00A03151"/>
    <w:rsid w:val="00A03188"/>
    <w:rsid w:val="00A032A1"/>
    <w:rsid w:val="00A033EA"/>
    <w:rsid w:val="00A036ED"/>
    <w:rsid w:val="00A036FB"/>
    <w:rsid w:val="00A03803"/>
    <w:rsid w:val="00A0392D"/>
    <w:rsid w:val="00A039CA"/>
    <w:rsid w:val="00A03ADD"/>
    <w:rsid w:val="00A03C0F"/>
    <w:rsid w:val="00A03DF4"/>
    <w:rsid w:val="00A03FD3"/>
    <w:rsid w:val="00A04116"/>
    <w:rsid w:val="00A041DC"/>
    <w:rsid w:val="00A0433D"/>
    <w:rsid w:val="00A04362"/>
    <w:rsid w:val="00A043DD"/>
    <w:rsid w:val="00A043FA"/>
    <w:rsid w:val="00A045AD"/>
    <w:rsid w:val="00A049F7"/>
    <w:rsid w:val="00A04BA9"/>
    <w:rsid w:val="00A04BF8"/>
    <w:rsid w:val="00A04F81"/>
    <w:rsid w:val="00A05123"/>
    <w:rsid w:val="00A051A6"/>
    <w:rsid w:val="00A052FF"/>
    <w:rsid w:val="00A0543F"/>
    <w:rsid w:val="00A056A8"/>
    <w:rsid w:val="00A05759"/>
    <w:rsid w:val="00A057F9"/>
    <w:rsid w:val="00A05910"/>
    <w:rsid w:val="00A05B04"/>
    <w:rsid w:val="00A05B98"/>
    <w:rsid w:val="00A05E13"/>
    <w:rsid w:val="00A06094"/>
    <w:rsid w:val="00A06174"/>
    <w:rsid w:val="00A0631B"/>
    <w:rsid w:val="00A06332"/>
    <w:rsid w:val="00A0652E"/>
    <w:rsid w:val="00A065AE"/>
    <w:rsid w:val="00A068AE"/>
    <w:rsid w:val="00A068D0"/>
    <w:rsid w:val="00A06B7E"/>
    <w:rsid w:val="00A06BCD"/>
    <w:rsid w:val="00A06CB5"/>
    <w:rsid w:val="00A06CCD"/>
    <w:rsid w:val="00A06F9B"/>
    <w:rsid w:val="00A06FA3"/>
    <w:rsid w:val="00A07033"/>
    <w:rsid w:val="00A071F1"/>
    <w:rsid w:val="00A07223"/>
    <w:rsid w:val="00A07256"/>
    <w:rsid w:val="00A07949"/>
    <w:rsid w:val="00A07B1B"/>
    <w:rsid w:val="00A07B9C"/>
    <w:rsid w:val="00A07D4F"/>
    <w:rsid w:val="00A07DC0"/>
    <w:rsid w:val="00A100B1"/>
    <w:rsid w:val="00A10285"/>
    <w:rsid w:val="00A10358"/>
    <w:rsid w:val="00A103C8"/>
    <w:rsid w:val="00A103EA"/>
    <w:rsid w:val="00A10424"/>
    <w:rsid w:val="00A1056F"/>
    <w:rsid w:val="00A1064B"/>
    <w:rsid w:val="00A1070A"/>
    <w:rsid w:val="00A1078E"/>
    <w:rsid w:val="00A10887"/>
    <w:rsid w:val="00A10960"/>
    <w:rsid w:val="00A10972"/>
    <w:rsid w:val="00A10B14"/>
    <w:rsid w:val="00A10C4F"/>
    <w:rsid w:val="00A10C59"/>
    <w:rsid w:val="00A10EE4"/>
    <w:rsid w:val="00A1113D"/>
    <w:rsid w:val="00A1125C"/>
    <w:rsid w:val="00A112CE"/>
    <w:rsid w:val="00A113A1"/>
    <w:rsid w:val="00A113E5"/>
    <w:rsid w:val="00A1140B"/>
    <w:rsid w:val="00A1156B"/>
    <w:rsid w:val="00A1167E"/>
    <w:rsid w:val="00A116C5"/>
    <w:rsid w:val="00A117B8"/>
    <w:rsid w:val="00A11A72"/>
    <w:rsid w:val="00A11B52"/>
    <w:rsid w:val="00A11BE7"/>
    <w:rsid w:val="00A11C31"/>
    <w:rsid w:val="00A11E7F"/>
    <w:rsid w:val="00A11F81"/>
    <w:rsid w:val="00A12071"/>
    <w:rsid w:val="00A125B2"/>
    <w:rsid w:val="00A12B4F"/>
    <w:rsid w:val="00A12D35"/>
    <w:rsid w:val="00A12F01"/>
    <w:rsid w:val="00A131E0"/>
    <w:rsid w:val="00A1328C"/>
    <w:rsid w:val="00A13547"/>
    <w:rsid w:val="00A1376C"/>
    <w:rsid w:val="00A138A5"/>
    <w:rsid w:val="00A13A07"/>
    <w:rsid w:val="00A13B11"/>
    <w:rsid w:val="00A13B74"/>
    <w:rsid w:val="00A13E02"/>
    <w:rsid w:val="00A13ED0"/>
    <w:rsid w:val="00A14440"/>
    <w:rsid w:val="00A144DD"/>
    <w:rsid w:val="00A1480D"/>
    <w:rsid w:val="00A14AEA"/>
    <w:rsid w:val="00A14B43"/>
    <w:rsid w:val="00A14D73"/>
    <w:rsid w:val="00A14EFC"/>
    <w:rsid w:val="00A150E2"/>
    <w:rsid w:val="00A15269"/>
    <w:rsid w:val="00A15276"/>
    <w:rsid w:val="00A152A0"/>
    <w:rsid w:val="00A156F1"/>
    <w:rsid w:val="00A15721"/>
    <w:rsid w:val="00A15731"/>
    <w:rsid w:val="00A15732"/>
    <w:rsid w:val="00A15CBB"/>
    <w:rsid w:val="00A15F99"/>
    <w:rsid w:val="00A16175"/>
    <w:rsid w:val="00A161FE"/>
    <w:rsid w:val="00A16575"/>
    <w:rsid w:val="00A16664"/>
    <w:rsid w:val="00A16873"/>
    <w:rsid w:val="00A16AA8"/>
    <w:rsid w:val="00A16AAC"/>
    <w:rsid w:val="00A16C79"/>
    <w:rsid w:val="00A1704A"/>
    <w:rsid w:val="00A1768D"/>
    <w:rsid w:val="00A177F7"/>
    <w:rsid w:val="00A20050"/>
    <w:rsid w:val="00A20427"/>
    <w:rsid w:val="00A20507"/>
    <w:rsid w:val="00A20645"/>
    <w:rsid w:val="00A2067B"/>
    <w:rsid w:val="00A20689"/>
    <w:rsid w:val="00A20867"/>
    <w:rsid w:val="00A213DC"/>
    <w:rsid w:val="00A2147E"/>
    <w:rsid w:val="00A21AC6"/>
    <w:rsid w:val="00A21C46"/>
    <w:rsid w:val="00A21FE3"/>
    <w:rsid w:val="00A21FF3"/>
    <w:rsid w:val="00A2217B"/>
    <w:rsid w:val="00A22193"/>
    <w:rsid w:val="00A221CB"/>
    <w:rsid w:val="00A22256"/>
    <w:rsid w:val="00A22661"/>
    <w:rsid w:val="00A22966"/>
    <w:rsid w:val="00A22B5E"/>
    <w:rsid w:val="00A22C4D"/>
    <w:rsid w:val="00A22CB8"/>
    <w:rsid w:val="00A23225"/>
    <w:rsid w:val="00A2322A"/>
    <w:rsid w:val="00A23290"/>
    <w:rsid w:val="00A23356"/>
    <w:rsid w:val="00A2347F"/>
    <w:rsid w:val="00A237E2"/>
    <w:rsid w:val="00A23874"/>
    <w:rsid w:val="00A23CE7"/>
    <w:rsid w:val="00A23F49"/>
    <w:rsid w:val="00A240DC"/>
    <w:rsid w:val="00A242BE"/>
    <w:rsid w:val="00A243A6"/>
    <w:rsid w:val="00A24787"/>
    <w:rsid w:val="00A249AE"/>
    <w:rsid w:val="00A24ADD"/>
    <w:rsid w:val="00A24B66"/>
    <w:rsid w:val="00A24C12"/>
    <w:rsid w:val="00A24CB9"/>
    <w:rsid w:val="00A24E8F"/>
    <w:rsid w:val="00A24F4C"/>
    <w:rsid w:val="00A2510D"/>
    <w:rsid w:val="00A2515E"/>
    <w:rsid w:val="00A251C3"/>
    <w:rsid w:val="00A252A3"/>
    <w:rsid w:val="00A253BB"/>
    <w:rsid w:val="00A256FF"/>
    <w:rsid w:val="00A259A3"/>
    <w:rsid w:val="00A25A72"/>
    <w:rsid w:val="00A25AB3"/>
    <w:rsid w:val="00A25B7D"/>
    <w:rsid w:val="00A25DB5"/>
    <w:rsid w:val="00A25DD5"/>
    <w:rsid w:val="00A26545"/>
    <w:rsid w:val="00A26589"/>
    <w:rsid w:val="00A2695F"/>
    <w:rsid w:val="00A269D2"/>
    <w:rsid w:val="00A26C39"/>
    <w:rsid w:val="00A26D2C"/>
    <w:rsid w:val="00A26F49"/>
    <w:rsid w:val="00A26F8E"/>
    <w:rsid w:val="00A27034"/>
    <w:rsid w:val="00A27057"/>
    <w:rsid w:val="00A2705C"/>
    <w:rsid w:val="00A271F1"/>
    <w:rsid w:val="00A27210"/>
    <w:rsid w:val="00A275A6"/>
    <w:rsid w:val="00A275B8"/>
    <w:rsid w:val="00A278DD"/>
    <w:rsid w:val="00A27AB5"/>
    <w:rsid w:val="00A27B46"/>
    <w:rsid w:val="00A3014D"/>
    <w:rsid w:val="00A30322"/>
    <w:rsid w:val="00A30438"/>
    <w:rsid w:val="00A30499"/>
    <w:rsid w:val="00A307C1"/>
    <w:rsid w:val="00A3082F"/>
    <w:rsid w:val="00A3118F"/>
    <w:rsid w:val="00A313F6"/>
    <w:rsid w:val="00A31507"/>
    <w:rsid w:val="00A3166D"/>
    <w:rsid w:val="00A3192F"/>
    <w:rsid w:val="00A31B8F"/>
    <w:rsid w:val="00A31BB6"/>
    <w:rsid w:val="00A31D67"/>
    <w:rsid w:val="00A320C6"/>
    <w:rsid w:val="00A322C4"/>
    <w:rsid w:val="00A32595"/>
    <w:rsid w:val="00A32DA6"/>
    <w:rsid w:val="00A32E1D"/>
    <w:rsid w:val="00A32FA2"/>
    <w:rsid w:val="00A32FE9"/>
    <w:rsid w:val="00A330E1"/>
    <w:rsid w:val="00A33764"/>
    <w:rsid w:val="00A33AAA"/>
    <w:rsid w:val="00A33D3C"/>
    <w:rsid w:val="00A33D7C"/>
    <w:rsid w:val="00A3434B"/>
    <w:rsid w:val="00A34415"/>
    <w:rsid w:val="00A3470B"/>
    <w:rsid w:val="00A34747"/>
    <w:rsid w:val="00A347AC"/>
    <w:rsid w:val="00A34935"/>
    <w:rsid w:val="00A34A32"/>
    <w:rsid w:val="00A34F07"/>
    <w:rsid w:val="00A35344"/>
    <w:rsid w:val="00A353EA"/>
    <w:rsid w:val="00A35494"/>
    <w:rsid w:val="00A35508"/>
    <w:rsid w:val="00A3550E"/>
    <w:rsid w:val="00A358A0"/>
    <w:rsid w:val="00A3591D"/>
    <w:rsid w:val="00A35E70"/>
    <w:rsid w:val="00A35F56"/>
    <w:rsid w:val="00A35F9A"/>
    <w:rsid w:val="00A36632"/>
    <w:rsid w:val="00A36AD3"/>
    <w:rsid w:val="00A36FB5"/>
    <w:rsid w:val="00A3738E"/>
    <w:rsid w:val="00A3755E"/>
    <w:rsid w:val="00A37793"/>
    <w:rsid w:val="00A37817"/>
    <w:rsid w:val="00A37919"/>
    <w:rsid w:val="00A37C75"/>
    <w:rsid w:val="00A37E7F"/>
    <w:rsid w:val="00A37FEF"/>
    <w:rsid w:val="00A400A4"/>
    <w:rsid w:val="00A4013A"/>
    <w:rsid w:val="00A401F6"/>
    <w:rsid w:val="00A40295"/>
    <w:rsid w:val="00A404A1"/>
    <w:rsid w:val="00A40783"/>
    <w:rsid w:val="00A40901"/>
    <w:rsid w:val="00A40A81"/>
    <w:rsid w:val="00A4101B"/>
    <w:rsid w:val="00A4118F"/>
    <w:rsid w:val="00A41334"/>
    <w:rsid w:val="00A41490"/>
    <w:rsid w:val="00A41714"/>
    <w:rsid w:val="00A41724"/>
    <w:rsid w:val="00A4179A"/>
    <w:rsid w:val="00A41904"/>
    <w:rsid w:val="00A419F9"/>
    <w:rsid w:val="00A41A62"/>
    <w:rsid w:val="00A41A67"/>
    <w:rsid w:val="00A41CAC"/>
    <w:rsid w:val="00A41E9D"/>
    <w:rsid w:val="00A4208A"/>
    <w:rsid w:val="00A42154"/>
    <w:rsid w:val="00A428FD"/>
    <w:rsid w:val="00A42A12"/>
    <w:rsid w:val="00A42C06"/>
    <w:rsid w:val="00A42D4A"/>
    <w:rsid w:val="00A42EF6"/>
    <w:rsid w:val="00A430AD"/>
    <w:rsid w:val="00A43178"/>
    <w:rsid w:val="00A432F7"/>
    <w:rsid w:val="00A4363C"/>
    <w:rsid w:val="00A438D5"/>
    <w:rsid w:val="00A43A0E"/>
    <w:rsid w:val="00A43C8B"/>
    <w:rsid w:val="00A43D6C"/>
    <w:rsid w:val="00A44355"/>
    <w:rsid w:val="00A44936"/>
    <w:rsid w:val="00A44C80"/>
    <w:rsid w:val="00A44EE6"/>
    <w:rsid w:val="00A45066"/>
    <w:rsid w:val="00A4518B"/>
    <w:rsid w:val="00A45450"/>
    <w:rsid w:val="00A45B5A"/>
    <w:rsid w:val="00A45D8C"/>
    <w:rsid w:val="00A45E3E"/>
    <w:rsid w:val="00A45FEE"/>
    <w:rsid w:val="00A4634C"/>
    <w:rsid w:val="00A47055"/>
    <w:rsid w:val="00A470D1"/>
    <w:rsid w:val="00A47438"/>
    <w:rsid w:val="00A475B1"/>
    <w:rsid w:val="00A47790"/>
    <w:rsid w:val="00A47FD4"/>
    <w:rsid w:val="00A500A5"/>
    <w:rsid w:val="00A50358"/>
    <w:rsid w:val="00A50690"/>
    <w:rsid w:val="00A50722"/>
    <w:rsid w:val="00A5074D"/>
    <w:rsid w:val="00A5085F"/>
    <w:rsid w:val="00A509F5"/>
    <w:rsid w:val="00A50A6E"/>
    <w:rsid w:val="00A50D14"/>
    <w:rsid w:val="00A51353"/>
    <w:rsid w:val="00A51394"/>
    <w:rsid w:val="00A515F2"/>
    <w:rsid w:val="00A516E0"/>
    <w:rsid w:val="00A51E9D"/>
    <w:rsid w:val="00A52146"/>
    <w:rsid w:val="00A52203"/>
    <w:rsid w:val="00A52519"/>
    <w:rsid w:val="00A52527"/>
    <w:rsid w:val="00A52697"/>
    <w:rsid w:val="00A52A93"/>
    <w:rsid w:val="00A52AC6"/>
    <w:rsid w:val="00A52AC7"/>
    <w:rsid w:val="00A52B28"/>
    <w:rsid w:val="00A52B5A"/>
    <w:rsid w:val="00A52C89"/>
    <w:rsid w:val="00A532C0"/>
    <w:rsid w:val="00A533BA"/>
    <w:rsid w:val="00A53537"/>
    <w:rsid w:val="00A5383F"/>
    <w:rsid w:val="00A538B6"/>
    <w:rsid w:val="00A5398A"/>
    <w:rsid w:val="00A53A1B"/>
    <w:rsid w:val="00A53AA9"/>
    <w:rsid w:val="00A54065"/>
    <w:rsid w:val="00A542C2"/>
    <w:rsid w:val="00A54661"/>
    <w:rsid w:val="00A54904"/>
    <w:rsid w:val="00A54949"/>
    <w:rsid w:val="00A54B77"/>
    <w:rsid w:val="00A54D87"/>
    <w:rsid w:val="00A55075"/>
    <w:rsid w:val="00A55085"/>
    <w:rsid w:val="00A55584"/>
    <w:rsid w:val="00A5576F"/>
    <w:rsid w:val="00A557F2"/>
    <w:rsid w:val="00A55D14"/>
    <w:rsid w:val="00A55ED1"/>
    <w:rsid w:val="00A56059"/>
    <w:rsid w:val="00A561AB"/>
    <w:rsid w:val="00A561D5"/>
    <w:rsid w:val="00A56221"/>
    <w:rsid w:val="00A563C6"/>
    <w:rsid w:val="00A565CD"/>
    <w:rsid w:val="00A56A9C"/>
    <w:rsid w:val="00A56E47"/>
    <w:rsid w:val="00A56EFC"/>
    <w:rsid w:val="00A5701E"/>
    <w:rsid w:val="00A5720B"/>
    <w:rsid w:val="00A57267"/>
    <w:rsid w:val="00A573AF"/>
    <w:rsid w:val="00A57543"/>
    <w:rsid w:val="00A578A5"/>
    <w:rsid w:val="00A579AB"/>
    <w:rsid w:val="00A57A53"/>
    <w:rsid w:val="00A57BFE"/>
    <w:rsid w:val="00A57C9B"/>
    <w:rsid w:val="00A57CB0"/>
    <w:rsid w:val="00A57E18"/>
    <w:rsid w:val="00A57EAE"/>
    <w:rsid w:val="00A60011"/>
    <w:rsid w:val="00A60037"/>
    <w:rsid w:val="00A60090"/>
    <w:rsid w:val="00A603C1"/>
    <w:rsid w:val="00A6058A"/>
    <w:rsid w:val="00A6089B"/>
    <w:rsid w:val="00A60B47"/>
    <w:rsid w:val="00A60E7A"/>
    <w:rsid w:val="00A61123"/>
    <w:rsid w:val="00A61181"/>
    <w:rsid w:val="00A6138D"/>
    <w:rsid w:val="00A613E7"/>
    <w:rsid w:val="00A6167A"/>
    <w:rsid w:val="00A6176B"/>
    <w:rsid w:val="00A61917"/>
    <w:rsid w:val="00A619C9"/>
    <w:rsid w:val="00A61BE5"/>
    <w:rsid w:val="00A62196"/>
    <w:rsid w:val="00A625AD"/>
    <w:rsid w:val="00A626F7"/>
    <w:rsid w:val="00A62821"/>
    <w:rsid w:val="00A629DD"/>
    <w:rsid w:val="00A62DC0"/>
    <w:rsid w:val="00A62F60"/>
    <w:rsid w:val="00A62F80"/>
    <w:rsid w:val="00A63113"/>
    <w:rsid w:val="00A63461"/>
    <w:rsid w:val="00A63510"/>
    <w:rsid w:val="00A6398A"/>
    <w:rsid w:val="00A63C5B"/>
    <w:rsid w:val="00A63C82"/>
    <w:rsid w:val="00A63D6B"/>
    <w:rsid w:val="00A63D8D"/>
    <w:rsid w:val="00A640F6"/>
    <w:rsid w:val="00A64116"/>
    <w:rsid w:val="00A641AC"/>
    <w:rsid w:val="00A6423D"/>
    <w:rsid w:val="00A64540"/>
    <w:rsid w:val="00A6458C"/>
    <w:rsid w:val="00A6482D"/>
    <w:rsid w:val="00A64A21"/>
    <w:rsid w:val="00A64B10"/>
    <w:rsid w:val="00A64BCA"/>
    <w:rsid w:val="00A64E70"/>
    <w:rsid w:val="00A64FE9"/>
    <w:rsid w:val="00A64FEA"/>
    <w:rsid w:val="00A65112"/>
    <w:rsid w:val="00A652E0"/>
    <w:rsid w:val="00A65571"/>
    <w:rsid w:val="00A656B1"/>
    <w:rsid w:val="00A657A9"/>
    <w:rsid w:val="00A65815"/>
    <w:rsid w:val="00A65984"/>
    <w:rsid w:val="00A65BD3"/>
    <w:rsid w:val="00A65CB9"/>
    <w:rsid w:val="00A65DAE"/>
    <w:rsid w:val="00A65E78"/>
    <w:rsid w:val="00A66029"/>
    <w:rsid w:val="00A66083"/>
    <w:rsid w:val="00A66247"/>
    <w:rsid w:val="00A664C0"/>
    <w:rsid w:val="00A666F1"/>
    <w:rsid w:val="00A669B7"/>
    <w:rsid w:val="00A66A50"/>
    <w:rsid w:val="00A66ADF"/>
    <w:rsid w:val="00A66CBC"/>
    <w:rsid w:val="00A66D97"/>
    <w:rsid w:val="00A66F86"/>
    <w:rsid w:val="00A674CA"/>
    <w:rsid w:val="00A675EA"/>
    <w:rsid w:val="00A67708"/>
    <w:rsid w:val="00A67731"/>
    <w:rsid w:val="00A67A05"/>
    <w:rsid w:val="00A7021F"/>
    <w:rsid w:val="00A70287"/>
    <w:rsid w:val="00A70366"/>
    <w:rsid w:val="00A7065E"/>
    <w:rsid w:val="00A706B1"/>
    <w:rsid w:val="00A70743"/>
    <w:rsid w:val="00A70837"/>
    <w:rsid w:val="00A708A7"/>
    <w:rsid w:val="00A70985"/>
    <w:rsid w:val="00A70EAF"/>
    <w:rsid w:val="00A70F6A"/>
    <w:rsid w:val="00A70F93"/>
    <w:rsid w:val="00A71065"/>
    <w:rsid w:val="00A718AA"/>
    <w:rsid w:val="00A71B0C"/>
    <w:rsid w:val="00A71FBA"/>
    <w:rsid w:val="00A720E3"/>
    <w:rsid w:val="00A7242F"/>
    <w:rsid w:val="00A72469"/>
    <w:rsid w:val="00A72712"/>
    <w:rsid w:val="00A729D1"/>
    <w:rsid w:val="00A72B69"/>
    <w:rsid w:val="00A72C95"/>
    <w:rsid w:val="00A72E78"/>
    <w:rsid w:val="00A72F6B"/>
    <w:rsid w:val="00A73162"/>
    <w:rsid w:val="00A73395"/>
    <w:rsid w:val="00A7342B"/>
    <w:rsid w:val="00A734F9"/>
    <w:rsid w:val="00A73635"/>
    <w:rsid w:val="00A736DF"/>
    <w:rsid w:val="00A73BC2"/>
    <w:rsid w:val="00A73D50"/>
    <w:rsid w:val="00A73E59"/>
    <w:rsid w:val="00A73F44"/>
    <w:rsid w:val="00A73FCC"/>
    <w:rsid w:val="00A740CD"/>
    <w:rsid w:val="00A7460F"/>
    <w:rsid w:val="00A747CA"/>
    <w:rsid w:val="00A74D80"/>
    <w:rsid w:val="00A7501B"/>
    <w:rsid w:val="00A7502E"/>
    <w:rsid w:val="00A75218"/>
    <w:rsid w:val="00A752C1"/>
    <w:rsid w:val="00A752C2"/>
    <w:rsid w:val="00A75439"/>
    <w:rsid w:val="00A75476"/>
    <w:rsid w:val="00A75489"/>
    <w:rsid w:val="00A75548"/>
    <w:rsid w:val="00A75593"/>
    <w:rsid w:val="00A75625"/>
    <w:rsid w:val="00A7569A"/>
    <w:rsid w:val="00A757E1"/>
    <w:rsid w:val="00A757E9"/>
    <w:rsid w:val="00A75A1D"/>
    <w:rsid w:val="00A75A5C"/>
    <w:rsid w:val="00A75D41"/>
    <w:rsid w:val="00A75DC9"/>
    <w:rsid w:val="00A75EF6"/>
    <w:rsid w:val="00A76008"/>
    <w:rsid w:val="00A7604C"/>
    <w:rsid w:val="00A761A8"/>
    <w:rsid w:val="00A7647C"/>
    <w:rsid w:val="00A76A68"/>
    <w:rsid w:val="00A76DFF"/>
    <w:rsid w:val="00A76E50"/>
    <w:rsid w:val="00A77079"/>
    <w:rsid w:val="00A770EA"/>
    <w:rsid w:val="00A771BC"/>
    <w:rsid w:val="00A7754D"/>
    <w:rsid w:val="00A777E8"/>
    <w:rsid w:val="00A77894"/>
    <w:rsid w:val="00A7791D"/>
    <w:rsid w:val="00A77AD8"/>
    <w:rsid w:val="00A77C24"/>
    <w:rsid w:val="00A77DC7"/>
    <w:rsid w:val="00A77FDA"/>
    <w:rsid w:val="00A80149"/>
    <w:rsid w:val="00A802C7"/>
    <w:rsid w:val="00A80336"/>
    <w:rsid w:val="00A804FC"/>
    <w:rsid w:val="00A8088E"/>
    <w:rsid w:val="00A81457"/>
    <w:rsid w:val="00A81522"/>
    <w:rsid w:val="00A81552"/>
    <w:rsid w:val="00A818D0"/>
    <w:rsid w:val="00A81B36"/>
    <w:rsid w:val="00A81E7E"/>
    <w:rsid w:val="00A81F56"/>
    <w:rsid w:val="00A81FA3"/>
    <w:rsid w:val="00A820AA"/>
    <w:rsid w:val="00A820F3"/>
    <w:rsid w:val="00A823B0"/>
    <w:rsid w:val="00A823D1"/>
    <w:rsid w:val="00A824E1"/>
    <w:rsid w:val="00A82557"/>
    <w:rsid w:val="00A825D6"/>
    <w:rsid w:val="00A82709"/>
    <w:rsid w:val="00A82887"/>
    <w:rsid w:val="00A82919"/>
    <w:rsid w:val="00A82CA7"/>
    <w:rsid w:val="00A82DEA"/>
    <w:rsid w:val="00A82F11"/>
    <w:rsid w:val="00A8309C"/>
    <w:rsid w:val="00A830AF"/>
    <w:rsid w:val="00A83308"/>
    <w:rsid w:val="00A834A5"/>
    <w:rsid w:val="00A836E9"/>
    <w:rsid w:val="00A83A27"/>
    <w:rsid w:val="00A83B7E"/>
    <w:rsid w:val="00A83EEF"/>
    <w:rsid w:val="00A8445A"/>
    <w:rsid w:val="00A84A83"/>
    <w:rsid w:val="00A84A9A"/>
    <w:rsid w:val="00A84BAB"/>
    <w:rsid w:val="00A84D45"/>
    <w:rsid w:val="00A84F5D"/>
    <w:rsid w:val="00A851BF"/>
    <w:rsid w:val="00A851F0"/>
    <w:rsid w:val="00A8539E"/>
    <w:rsid w:val="00A85546"/>
    <w:rsid w:val="00A8568A"/>
    <w:rsid w:val="00A856B7"/>
    <w:rsid w:val="00A85785"/>
    <w:rsid w:val="00A85804"/>
    <w:rsid w:val="00A85A5F"/>
    <w:rsid w:val="00A85D5E"/>
    <w:rsid w:val="00A86061"/>
    <w:rsid w:val="00A86093"/>
    <w:rsid w:val="00A86288"/>
    <w:rsid w:val="00A862A6"/>
    <w:rsid w:val="00A86335"/>
    <w:rsid w:val="00A86584"/>
    <w:rsid w:val="00A86602"/>
    <w:rsid w:val="00A8667F"/>
    <w:rsid w:val="00A866FA"/>
    <w:rsid w:val="00A86820"/>
    <w:rsid w:val="00A8693C"/>
    <w:rsid w:val="00A869D9"/>
    <w:rsid w:val="00A86C60"/>
    <w:rsid w:val="00A87063"/>
    <w:rsid w:val="00A8707A"/>
    <w:rsid w:val="00A87200"/>
    <w:rsid w:val="00A874EC"/>
    <w:rsid w:val="00A87895"/>
    <w:rsid w:val="00A87897"/>
    <w:rsid w:val="00A8798D"/>
    <w:rsid w:val="00A87BC8"/>
    <w:rsid w:val="00A87BEB"/>
    <w:rsid w:val="00A87C62"/>
    <w:rsid w:val="00A87F18"/>
    <w:rsid w:val="00A90005"/>
    <w:rsid w:val="00A900B7"/>
    <w:rsid w:val="00A901C5"/>
    <w:rsid w:val="00A9031C"/>
    <w:rsid w:val="00A90328"/>
    <w:rsid w:val="00A9036B"/>
    <w:rsid w:val="00A904C6"/>
    <w:rsid w:val="00A906AE"/>
    <w:rsid w:val="00A90985"/>
    <w:rsid w:val="00A91033"/>
    <w:rsid w:val="00A91617"/>
    <w:rsid w:val="00A91689"/>
    <w:rsid w:val="00A917A9"/>
    <w:rsid w:val="00A91B29"/>
    <w:rsid w:val="00A91D0C"/>
    <w:rsid w:val="00A91DCC"/>
    <w:rsid w:val="00A91E96"/>
    <w:rsid w:val="00A92214"/>
    <w:rsid w:val="00A92329"/>
    <w:rsid w:val="00A925CF"/>
    <w:rsid w:val="00A92815"/>
    <w:rsid w:val="00A92AC5"/>
    <w:rsid w:val="00A92BD7"/>
    <w:rsid w:val="00A9334D"/>
    <w:rsid w:val="00A934FD"/>
    <w:rsid w:val="00A93682"/>
    <w:rsid w:val="00A936D9"/>
    <w:rsid w:val="00A937E0"/>
    <w:rsid w:val="00A939B7"/>
    <w:rsid w:val="00A939D4"/>
    <w:rsid w:val="00A93C06"/>
    <w:rsid w:val="00A93C3C"/>
    <w:rsid w:val="00A93D42"/>
    <w:rsid w:val="00A9418F"/>
    <w:rsid w:val="00A941B5"/>
    <w:rsid w:val="00A9420F"/>
    <w:rsid w:val="00A9441A"/>
    <w:rsid w:val="00A9457D"/>
    <w:rsid w:val="00A94705"/>
    <w:rsid w:val="00A948F3"/>
    <w:rsid w:val="00A94AB9"/>
    <w:rsid w:val="00A94B9C"/>
    <w:rsid w:val="00A94CA7"/>
    <w:rsid w:val="00A950DB"/>
    <w:rsid w:val="00A952ED"/>
    <w:rsid w:val="00A95326"/>
    <w:rsid w:val="00A9552E"/>
    <w:rsid w:val="00A9563F"/>
    <w:rsid w:val="00A956E4"/>
    <w:rsid w:val="00A957BD"/>
    <w:rsid w:val="00A957D2"/>
    <w:rsid w:val="00A95825"/>
    <w:rsid w:val="00A958A5"/>
    <w:rsid w:val="00A9595E"/>
    <w:rsid w:val="00A95B80"/>
    <w:rsid w:val="00A95BD9"/>
    <w:rsid w:val="00A95C66"/>
    <w:rsid w:val="00A95DC5"/>
    <w:rsid w:val="00A96270"/>
    <w:rsid w:val="00A962A0"/>
    <w:rsid w:val="00A96D4F"/>
    <w:rsid w:val="00A96FC6"/>
    <w:rsid w:val="00A9702D"/>
    <w:rsid w:val="00A970BC"/>
    <w:rsid w:val="00A970F1"/>
    <w:rsid w:val="00A971FE"/>
    <w:rsid w:val="00A97253"/>
    <w:rsid w:val="00A974F7"/>
    <w:rsid w:val="00A97521"/>
    <w:rsid w:val="00A97704"/>
    <w:rsid w:val="00A97A90"/>
    <w:rsid w:val="00AA0476"/>
    <w:rsid w:val="00AA0774"/>
    <w:rsid w:val="00AA0A81"/>
    <w:rsid w:val="00AA0B40"/>
    <w:rsid w:val="00AA0C0B"/>
    <w:rsid w:val="00AA14AB"/>
    <w:rsid w:val="00AA16B6"/>
    <w:rsid w:val="00AA18C7"/>
    <w:rsid w:val="00AA1A30"/>
    <w:rsid w:val="00AA1D47"/>
    <w:rsid w:val="00AA1D65"/>
    <w:rsid w:val="00AA1D8C"/>
    <w:rsid w:val="00AA1DE6"/>
    <w:rsid w:val="00AA23A8"/>
    <w:rsid w:val="00AA23E2"/>
    <w:rsid w:val="00AA2640"/>
    <w:rsid w:val="00AA26B3"/>
    <w:rsid w:val="00AA289E"/>
    <w:rsid w:val="00AA28FD"/>
    <w:rsid w:val="00AA2B8E"/>
    <w:rsid w:val="00AA2EBB"/>
    <w:rsid w:val="00AA2EDC"/>
    <w:rsid w:val="00AA3022"/>
    <w:rsid w:val="00AA3229"/>
    <w:rsid w:val="00AA3434"/>
    <w:rsid w:val="00AA3657"/>
    <w:rsid w:val="00AA3A48"/>
    <w:rsid w:val="00AA3A92"/>
    <w:rsid w:val="00AA3D37"/>
    <w:rsid w:val="00AA4115"/>
    <w:rsid w:val="00AA4189"/>
    <w:rsid w:val="00AA4260"/>
    <w:rsid w:val="00AA4406"/>
    <w:rsid w:val="00AA440F"/>
    <w:rsid w:val="00AA4788"/>
    <w:rsid w:val="00AA47AC"/>
    <w:rsid w:val="00AA4802"/>
    <w:rsid w:val="00AA4952"/>
    <w:rsid w:val="00AA4C1A"/>
    <w:rsid w:val="00AA4EF8"/>
    <w:rsid w:val="00AA4FD1"/>
    <w:rsid w:val="00AA5279"/>
    <w:rsid w:val="00AA52CB"/>
    <w:rsid w:val="00AA5326"/>
    <w:rsid w:val="00AA58E1"/>
    <w:rsid w:val="00AA5922"/>
    <w:rsid w:val="00AA5A56"/>
    <w:rsid w:val="00AA5F09"/>
    <w:rsid w:val="00AA64E2"/>
    <w:rsid w:val="00AA64EB"/>
    <w:rsid w:val="00AA6584"/>
    <w:rsid w:val="00AA672D"/>
    <w:rsid w:val="00AA6AAE"/>
    <w:rsid w:val="00AA6D4E"/>
    <w:rsid w:val="00AA71E3"/>
    <w:rsid w:val="00AA72F6"/>
    <w:rsid w:val="00AA7457"/>
    <w:rsid w:val="00AA74FD"/>
    <w:rsid w:val="00AA7756"/>
    <w:rsid w:val="00AA797D"/>
    <w:rsid w:val="00AA7CF6"/>
    <w:rsid w:val="00AA7DD9"/>
    <w:rsid w:val="00AB0010"/>
    <w:rsid w:val="00AB01BC"/>
    <w:rsid w:val="00AB01F5"/>
    <w:rsid w:val="00AB03D1"/>
    <w:rsid w:val="00AB04C1"/>
    <w:rsid w:val="00AB09ED"/>
    <w:rsid w:val="00AB0DCB"/>
    <w:rsid w:val="00AB1111"/>
    <w:rsid w:val="00AB122C"/>
    <w:rsid w:val="00AB1401"/>
    <w:rsid w:val="00AB17B3"/>
    <w:rsid w:val="00AB1838"/>
    <w:rsid w:val="00AB1D8D"/>
    <w:rsid w:val="00AB23B6"/>
    <w:rsid w:val="00AB24C7"/>
    <w:rsid w:val="00AB269D"/>
    <w:rsid w:val="00AB27A4"/>
    <w:rsid w:val="00AB2884"/>
    <w:rsid w:val="00AB28F1"/>
    <w:rsid w:val="00AB292D"/>
    <w:rsid w:val="00AB2ACE"/>
    <w:rsid w:val="00AB2CFF"/>
    <w:rsid w:val="00AB3208"/>
    <w:rsid w:val="00AB3227"/>
    <w:rsid w:val="00AB3257"/>
    <w:rsid w:val="00AB342A"/>
    <w:rsid w:val="00AB354F"/>
    <w:rsid w:val="00AB3623"/>
    <w:rsid w:val="00AB3BDA"/>
    <w:rsid w:val="00AB3C12"/>
    <w:rsid w:val="00AB3F12"/>
    <w:rsid w:val="00AB451A"/>
    <w:rsid w:val="00AB4A17"/>
    <w:rsid w:val="00AB4B16"/>
    <w:rsid w:val="00AB4C53"/>
    <w:rsid w:val="00AB4DBE"/>
    <w:rsid w:val="00AB5083"/>
    <w:rsid w:val="00AB57D0"/>
    <w:rsid w:val="00AB59B3"/>
    <w:rsid w:val="00AB5B85"/>
    <w:rsid w:val="00AB5C97"/>
    <w:rsid w:val="00AB5FD9"/>
    <w:rsid w:val="00AB688F"/>
    <w:rsid w:val="00AB6938"/>
    <w:rsid w:val="00AB6DAB"/>
    <w:rsid w:val="00AB6E58"/>
    <w:rsid w:val="00AB7557"/>
    <w:rsid w:val="00AB7719"/>
    <w:rsid w:val="00AB78B5"/>
    <w:rsid w:val="00AB7A98"/>
    <w:rsid w:val="00AB7EF1"/>
    <w:rsid w:val="00AC0051"/>
    <w:rsid w:val="00AC026F"/>
    <w:rsid w:val="00AC0496"/>
    <w:rsid w:val="00AC0966"/>
    <w:rsid w:val="00AC0C2B"/>
    <w:rsid w:val="00AC0C92"/>
    <w:rsid w:val="00AC10CC"/>
    <w:rsid w:val="00AC115F"/>
    <w:rsid w:val="00AC132E"/>
    <w:rsid w:val="00AC13BE"/>
    <w:rsid w:val="00AC1824"/>
    <w:rsid w:val="00AC184F"/>
    <w:rsid w:val="00AC1F8F"/>
    <w:rsid w:val="00AC2189"/>
    <w:rsid w:val="00AC2238"/>
    <w:rsid w:val="00AC24D7"/>
    <w:rsid w:val="00AC260D"/>
    <w:rsid w:val="00AC2763"/>
    <w:rsid w:val="00AC28FF"/>
    <w:rsid w:val="00AC2B80"/>
    <w:rsid w:val="00AC2E51"/>
    <w:rsid w:val="00AC2ED9"/>
    <w:rsid w:val="00AC2FAF"/>
    <w:rsid w:val="00AC30F9"/>
    <w:rsid w:val="00AC320E"/>
    <w:rsid w:val="00AC3632"/>
    <w:rsid w:val="00AC3727"/>
    <w:rsid w:val="00AC3915"/>
    <w:rsid w:val="00AC3B61"/>
    <w:rsid w:val="00AC3C93"/>
    <w:rsid w:val="00AC3DC2"/>
    <w:rsid w:val="00AC3EE1"/>
    <w:rsid w:val="00AC41EC"/>
    <w:rsid w:val="00AC4275"/>
    <w:rsid w:val="00AC4731"/>
    <w:rsid w:val="00AC4C0C"/>
    <w:rsid w:val="00AC4EF0"/>
    <w:rsid w:val="00AC5282"/>
    <w:rsid w:val="00AC559E"/>
    <w:rsid w:val="00AC55A2"/>
    <w:rsid w:val="00AC562C"/>
    <w:rsid w:val="00AC585B"/>
    <w:rsid w:val="00AC58ED"/>
    <w:rsid w:val="00AC5960"/>
    <w:rsid w:val="00AC5F0A"/>
    <w:rsid w:val="00AC6139"/>
    <w:rsid w:val="00AC62D7"/>
    <w:rsid w:val="00AC63AA"/>
    <w:rsid w:val="00AC64D9"/>
    <w:rsid w:val="00AC6515"/>
    <w:rsid w:val="00AC654D"/>
    <w:rsid w:val="00AC6733"/>
    <w:rsid w:val="00AC6D56"/>
    <w:rsid w:val="00AC6D57"/>
    <w:rsid w:val="00AC6FA2"/>
    <w:rsid w:val="00AC7147"/>
    <w:rsid w:val="00AC7364"/>
    <w:rsid w:val="00AC746A"/>
    <w:rsid w:val="00AC7962"/>
    <w:rsid w:val="00AC7B4B"/>
    <w:rsid w:val="00AC7DA3"/>
    <w:rsid w:val="00AD0026"/>
    <w:rsid w:val="00AD00C8"/>
    <w:rsid w:val="00AD03F1"/>
    <w:rsid w:val="00AD0539"/>
    <w:rsid w:val="00AD0766"/>
    <w:rsid w:val="00AD093D"/>
    <w:rsid w:val="00AD0A24"/>
    <w:rsid w:val="00AD0DDA"/>
    <w:rsid w:val="00AD0E3F"/>
    <w:rsid w:val="00AD0E51"/>
    <w:rsid w:val="00AD0F8A"/>
    <w:rsid w:val="00AD11FC"/>
    <w:rsid w:val="00AD1213"/>
    <w:rsid w:val="00AD13E6"/>
    <w:rsid w:val="00AD16E2"/>
    <w:rsid w:val="00AD1768"/>
    <w:rsid w:val="00AD1863"/>
    <w:rsid w:val="00AD18CE"/>
    <w:rsid w:val="00AD1A28"/>
    <w:rsid w:val="00AD1CA9"/>
    <w:rsid w:val="00AD22E8"/>
    <w:rsid w:val="00AD2354"/>
    <w:rsid w:val="00AD2BFD"/>
    <w:rsid w:val="00AD2C5B"/>
    <w:rsid w:val="00AD2CBF"/>
    <w:rsid w:val="00AD2D5D"/>
    <w:rsid w:val="00AD2D7F"/>
    <w:rsid w:val="00AD2EFD"/>
    <w:rsid w:val="00AD2F94"/>
    <w:rsid w:val="00AD30C5"/>
    <w:rsid w:val="00AD3232"/>
    <w:rsid w:val="00AD3308"/>
    <w:rsid w:val="00AD333C"/>
    <w:rsid w:val="00AD3492"/>
    <w:rsid w:val="00AD357A"/>
    <w:rsid w:val="00AD3890"/>
    <w:rsid w:val="00AD3C47"/>
    <w:rsid w:val="00AD435C"/>
    <w:rsid w:val="00AD4414"/>
    <w:rsid w:val="00AD457C"/>
    <w:rsid w:val="00AD46E3"/>
    <w:rsid w:val="00AD5004"/>
    <w:rsid w:val="00AD56B0"/>
    <w:rsid w:val="00AD5B82"/>
    <w:rsid w:val="00AD5C33"/>
    <w:rsid w:val="00AD5E3D"/>
    <w:rsid w:val="00AD5E6A"/>
    <w:rsid w:val="00AD6345"/>
    <w:rsid w:val="00AD6554"/>
    <w:rsid w:val="00AD676F"/>
    <w:rsid w:val="00AD68FB"/>
    <w:rsid w:val="00AD6BA8"/>
    <w:rsid w:val="00AD6F1B"/>
    <w:rsid w:val="00AD6F7B"/>
    <w:rsid w:val="00AD7280"/>
    <w:rsid w:val="00AD73B3"/>
    <w:rsid w:val="00AD7440"/>
    <w:rsid w:val="00AD756D"/>
    <w:rsid w:val="00AD761C"/>
    <w:rsid w:val="00AD7638"/>
    <w:rsid w:val="00AD76D1"/>
    <w:rsid w:val="00AD784A"/>
    <w:rsid w:val="00AD791C"/>
    <w:rsid w:val="00AD7A17"/>
    <w:rsid w:val="00AD7C76"/>
    <w:rsid w:val="00AE0091"/>
    <w:rsid w:val="00AE02D3"/>
    <w:rsid w:val="00AE0490"/>
    <w:rsid w:val="00AE0625"/>
    <w:rsid w:val="00AE0679"/>
    <w:rsid w:val="00AE0858"/>
    <w:rsid w:val="00AE0A8A"/>
    <w:rsid w:val="00AE0BD5"/>
    <w:rsid w:val="00AE0C18"/>
    <w:rsid w:val="00AE0E1A"/>
    <w:rsid w:val="00AE0FDE"/>
    <w:rsid w:val="00AE1127"/>
    <w:rsid w:val="00AE117A"/>
    <w:rsid w:val="00AE1303"/>
    <w:rsid w:val="00AE1636"/>
    <w:rsid w:val="00AE1736"/>
    <w:rsid w:val="00AE1742"/>
    <w:rsid w:val="00AE1746"/>
    <w:rsid w:val="00AE189A"/>
    <w:rsid w:val="00AE1904"/>
    <w:rsid w:val="00AE1A63"/>
    <w:rsid w:val="00AE1A97"/>
    <w:rsid w:val="00AE1D9E"/>
    <w:rsid w:val="00AE1DBD"/>
    <w:rsid w:val="00AE1DC3"/>
    <w:rsid w:val="00AE237A"/>
    <w:rsid w:val="00AE2597"/>
    <w:rsid w:val="00AE25A7"/>
    <w:rsid w:val="00AE264E"/>
    <w:rsid w:val="00AE2701"/>
    <w:rsid w:val="00AE2A6E"/>
    <w:rsid w:val="00AE2BF9"/>
    <w:rsid w:val="00AE2E7E"/>
    <w:rsid w:val="00AE2FF0"/>
    <w:rsid w:val="00AE3218"/>
    <w:rsid w:val="00AE32F0"/>
    <w:rsid w:val="00AE3329"/>
    <w:rsid w:val="00AE3426"/>
    <w:rsid w:val="00AE36C6"/>
    <w:rsid w:val="00AE36E5"/>
    <w:rsid w:val="00AE38C8"/>
    <w:rsid w:val="00AE38F2"/>
    <w:rsid w:val="00AE3B7E"/>
    <w:rsid w:val="00AE3C2D"/>
    <w:rsid w:val="00AE3C49"/>
    <w:rsid w:val="00AE3EF7"/>
    <w:rsid w:val="00AE3FAA"/>
    <w:rsid w:val="00AE4086"/>
    <w:rsid w:val="00AE41E3"/>
    <w:rsid w:val="00AE4206"/>
    <w:rsid w:val="00AE42B5"/>
    <w:rsid w:val="00AE42BF"/>
    <w:rsid w:val="00AE4559"/>
    <w:rsid w:val="00AE4742"/>
    <w:rsid w:val="00AE4AE9"/>
    <w:rsid w:val="00AE5146"/>
    <w:rsid w:val="00AE53D8"/>
    <w:rsid w:val="00AE54FC"/>
    <w:rsid w:val="00AE5746"/>
    <w:rsid w:val="00AE5A1A"/>
    <w:rsid w:val="00AE5DFD"/>
    <w:rsid w:val="00AE5F40"/>
    <w:rsid w:val="00AE5F99"/>
    <w:rsid w:val="00AE60C4"/>
    <w:rsid w:val="00AE620B"/>
    <w:rsid w:val="00AE6824"/>
    <w:rsid w:val="00AE6938"/>
    <w:rsid w:val="00AE6B24"/>
    <w:rsid w:val="00AE6B61"/>
    <w:rsid w:val="00AE6E75"/>
    <w:rsid w:val="00AE6F60"/>
    <w:rsid w:val="00AE724E"/>
    <w:rsid w:val="00AE742F"/>
    <w:rsid w:val="00AE7473"/>
    <w:rsid w:val="00AE7591"/>
    <w:rsid w:val="00AE787A"/>
    <w:rsid w:val="00AE7F3B"/>
    <w:rsid w:val="00AF00C2"/>
    <w:rsid w:val="00AF011D"/>
    <w:rsid w:val="00AF0497"/>
    <w:rsid w:val="00AF0577"/>
    <w:rsid w:val="00AF065C"/>
    <w:rsid w:val="00AF0814"/>
    <w:rsid w:val="00AF0852"/>
    <w:rsid w:val="00AF086A"/>
    <w:rsid w:val="00AF0929"/>
    <w:rsid w:val="00AF09F6"/>
    <w:rsid w:val="00AF0C22"/>
    <w:rsid w:val="00AF0D78"/>
    <w:rsid w:val="00AF1181"/>
    <w:rsid w:val="00AF12C1"/>
    <w:rsid w:val="00AF136C"/>
    <w:rsid w:val="00AF180C"/>
    <w:rsid w:val="00AF18E2"/>
    <w:rsid w:val="00AF1BAE"/>
    <w:rsid w:val="00AF1CC1"/>
    <w:rsid w:val="00AF20BD"/>
    <w:rsid w:val="00AF2440"/>
    <w:rsid w:val="00AF28F0"/>
    <w:rsid w:val="00AF2AC8"/>
    <w:rsid w:val="00AF2B36"/>
    <w:rsid w:val="00AF2BEB"/>
    <w:rsid w:val="00AF2C38"/>
    <w:rsid w:val="00AF2E10"/>
    <w:rsid w:val="00AF3093"/>
    <w:rsid w:val="00AF30E4"/>
    <w:rsid w:val="00AF3132"/>
    <w:rsid w:val="00AF3143"/>
    <w:rsid w:val="00AF31FA"/>
    <w:rsid w:val="00AF321F"/>
    <w:rsid w:val="00AF3298"/>
    <w:rsid w:val="00AF3402"/>
    <w:rsid w:val="00AF34F2"/>
    <w:rsid w:val="00AF35BA"/>
    <w:rsid w:val="00AF36E5"/>
    <w:rsid w:val="00AF3883"/>
    <w:rsid w:val="00AF3EA9"/>
    <w:rsid w:val="00AF4228"/>
    <w:rsid w:val="00AF4496"/>
    <w:rsid w:val="00AF4A4D"/>
    <w:rsid w:val="00AF4D22"/>
    <w:rsid w:val="00AF4E39"/>
    <w:rsid w:val="00AF4EDE"/>
    <w:rsid w:val="00AF4F79"/>
    <w:rsid w:val="00AF4F8F"/>
    <w:rsid w:val="00AF53A4"/>
    <w:rsid w:val="00AF55E7"/>
    <w:rsid w:val="00AF57B9"/>
    <w:rsid w:val="00AF5BAD"/>
    <w:rsid w:val="00AF5C9C"/>
    <w:rsid w:val="00AF5CFD"/>
    <w:rsid w:val="00AF6176"/>
    <w:rsid w:val="00AF6402"/>
    <w:rsid w:val="00AF64FD"/>
    <w:rsid w:val="00AF6598"/>
    <w:rsid w:val="00AF65C9"/>
    <w:rsid w:val="00AF673B"/>
    <w:rsid w:val="00AF67BF"/>
    <w:rsid w:val="00AF67EF"/>
    <w:rsid w:val="00AF686C"/>
    <w:rsid w:val="00AF6AC8"/>
    <w:rsid w:val="00AF6D54"/>
    <w:rsid w:val="00AF75DC"/>
    <w:rsid w:val="00AF7B2B"/>
    <w:rsid w:val="00AF7E0E"/>
    <w:rsid w:val="00AF7E57"/>
    <w:rsid w:val="00AF7F27"/>
    <w:rsid w:val="00B005B7"/>
    <w:rsid w:val="00B005DC"/>
    <w:rsid w:val="00B00682"/>
    <w:rsid w:val="00B0077F"/>
    <w:rsid w:val="00B0086E"/>
    <w:rsid w:val="00B00EDD"/>
    <w:rsid w:val="00B00FAE"/>
    <w:rsid w:val="00B010E8"/>
    <w:rsid w:val="00B011DC"/>
    <w:rsid w:val="00B01731"/>
    <w:rsid w:val="00B01811"/>
    <w:rsid w:val="00B0185B"/>
    <w:rsid w:val="00B018B8"/>
    <w:rsid w:val="00B01925"/>
    <w:rsid w:val="00B01A9C"/>
    <w:rsid w:val="00B01B83"/>
    <w:rsid w:val="00B01C00"/>
    <w:rsid w:val="00B01EBD"/>
    <w:rsid w:val="00B01F6F"/>
    <w:rsid w:val="00B0202A"/>
    <w:rsid w:val="00B020A6"/>
    <w:rsid w:val="00B021C5"/>
    <w:rsid w:val="00B02695"/>
    <w:rsid w:val="00B027AF"/>
    <w:rsid w:val="00B02AD9"/>
    <w:rsid w:val="00B03040"/>
    <w:rsid w:val="00B033EA"/>
    <w:rsid w:val="00B03537"/>
    <w:rsid w:val="00B0372D"/>
    <w:rsid w:val="00B037D6"/>
    <w:rsid w:val="00B03921"/>
    <w:rsid w:val="00B03B39"/>
    <w:rsid w:val="00B03BD5"/>
    <w:rsid w:val="00B04015"/>
    <w:rsid w:val="00B040D9"/>
    <w:rsid w:val="00B041D4"/>
    <w:rsid w:val="00B04810"/>
    <w:rsid w:val="00B04ABE"/>
    <w:rsid w:val="00B04B4D"/>
    <w:rsid w:val="00B04CAA"/>
    <w:rsid w:val="00B04DA6"/>
    <w:rsid w:val="00B04DC5"/>
    <w:rsid w:val="00B04E08"/>
    <w:rsid w:val="00B053E6"/>
    <w:rsid w:val="00B05545"/>
    <w:rsid w:val="00B0564A"/>
    <w:rsid w:val="00B0596C"/>
    <w:rsid w:val="00B05975"/>
    <w:rsid w:val="00B05A6F"/>
    <w:rsid w:val="00B05C87"/>
    <w:rsid w:val="00B05CF9"/>
    <w:rsid w:val="00B05EA9"/>
    <w:rsid w:val="00B060D3"/>
    <w:rsid w:val="00B0610C"/>
    <w:rsid w:val="00B06213"/>
    <w:rsid w:val="00B0626C"/>
    <w:rsid w:val="00B065A1"/>
    <w:rsid w:val="00B0688F"/>
    <w:rsid w:val="00B06946"/>
    <w:rsid w:val="00B06B78"/>
    <w:rsid w:val="00B06B8A"/>
    <w:rsid w:val="00B06BF5"/>
    <w:rsid w:val="00B06E31"/>
    <w:rsid w:val="00B06E6B"/>
    <w:rsid w:val="00B06EFE"/>
    <w:rsid w:val="00B06FB9"/>
    <w:rsid w:val="00B070AE"/>
    <w:rsid w:val="00B07373"/>
    <w:rsid w:val="00B07541"/>
    <w:rsid w:val="00B076D6"/>
    <w:rsid w:val="00B077D6"/>
    <w:rsid w:val="00B07A47"/>
    <w:rsid w:val="00B07CC7"/>
    <w:rsid w:val="00B100BB"/>
    <w:rsid w:val="00B101AE"/>
    <w:rsid w:val="00B10343"/>
    <w:rsid w:val="00B10385"/>
    <w:rsid w:val="00B103D6"/>
    <w:rsid w:val="00B1047B"/>
    <w:rsid w:val="00B109CF"/>
    <w:rsid w:val="00B10A96"/>
    <w:rsid w:val="00B10CED"/>
    <w:rsid w:val="00B10D69"/>
    <w:rsid w:val="00B10E1A"/>
    <w:rsid w:val="00B11067"/>
    <w:rsid w:val="00B113B6"/>
    <w:rsid w:val="00B11615"/>
    <w:rsid w:val="00B116B2"/>
    <w:rsid w:val="00B116D1"/>
    <w:rsid w:val="00B1178D"/>
    <w:rsid w:val="00B119BA"/>
    <w:rsid w:val="00B11B9D"/>
    <w:rsid w:val="00B11BD5"/>
    <w:rsid w:val="00B11BE7"/>
    <w:rsid w:val="00B11E5B"/>
    <w:rsid w:val="00B11EFA"/>
    <w:rsid w:val="00B11FA7"/>
    <w:rsid w:val="00B11FAA"/>
    <w:rsid w:val="00B125C4"/>
    <w:rsid w:val="00B127A7"/>
    <w:rsid w:val="00B127C5"/>
    <w:rsid w:val="00B12979"/>
    <w:rsid w:val="00B12AF1"/>
    <w:rsid w:val="00B12BB9"/>
    <w:rsid w:val="00B12C3F"/>
    <w:rsid w:val="00B12FCE"/>
    <w:rsid w:val="00B133D2"/>
    <w:rsid w:val="00B13432"/>
    <w:rsid w:val="00B134F8"/>
    <w:rsid w:val="00B137BF"/>
    <w:rsid w:val="00B13F17"/>
    <w:rsid w:val="00B1403B"/>
    <w:rsid w:val="00B140B8"/>
    <w:rsid w:val="00B142A9"/>
    <w:rsid w:val="00B143B3"/>
    <w:rsid w:val="00B143DF"/>
    <w:rsid w:val="00B14643"/>
    <w:rsid w:val="00B147AE"/>
    <w:rsid w:val="00B147C1"/>
    <w:rsid w:val="00B147CF"/>
    <w:rsid w:val="00B14BDE"/>
    <w:rsid w:val="00B14CDE"/>
    <w:rsid w:val="00B14E4A"/>
    <w:rsid w:val="00B153BA"/>
    <w:rsid w:val="00B15590"/>
    <w:rsid w:val="00B1585D"/>
    <w:rsid w:val="00B15F7A"/>
    <w:rsid w:val="00B160B6"/>
    <w:rsid w:val="00B161A1"/>
    <w:rsid w:val="00B16203"/>
    <w:rsid w:val="00B162B1"/>
    <w:rsid w:val="00B165D5"/>
    <w:rsid w:val="00B16E05"/>
    <w:rsid w:val="00B16ED9"/>
    <w:rsid w:val="00B16F6F"/>
    <w:rsid w:val="00B17601"/>
    <w:rsid w:val="00B17633"/>
    <w:rsid w:val="00B17788"/>
    <w:rsid w:val="00B17A11"/>
    <w:rsid w:val="00B17C2D"/>
    <w:rsid w:val="00B17CCB"/>
    <w:rsid w:val="00B17E23"/>
    <w:rsid w:val="00B17FBF"/>
    <w:rsid w:val="00B20344"/>
    <w:rsid w:val="00B203EA"/>
    <w:rsid w:val="00B206CB"/>
    <w:rsid w:val="00B20889"/>
    <w:rsid w:val="00B20905"/>
    <w:rsid w:val="00B20BCF"/>
    <w:rsid w:val="00B20C21"/>
    <w:rsid w:val="00B20DB3"/>
    <w:rsid w:val="00B2107B"/>
    <w:rsid w:val="00B21201"/>
    <w:rsid w:val="00B2163A"/>
    <w:rsid w:val="00B21650"/>
    <w:rsid w:val="00B21655"/>
    <w:rsid w:val="00B219F3"/>
    <w:rsid w:val="00B21CB4"/>
    <w:rsid w:val="00B21CD5"/>
    <w:rsid w:val="00B21EAD"/>
    <w:rsid w:val="00B21F19"/>
    <w:rsid w:val="00B21FBA"/>
    <w:rsid w:val="00B222D3"/>
    <w:rsid w:val="00B223F7"/>
    <w:rsid w:val="00B224E3"/>
    <w:rsid w:val="00B22519"/>
    <w:rsid w:val="00B2289D"/>
    <w:rsid w:val="00B22D30"/>
    <w:rsid w:val="00B22F14"/>
    <w:rsid w:val="00B22F2B"/>
    <w:rsid w:val="00B22F4B"/>
    <w:rsid w:val="00B233F5"/>
    <w:rsid w:val="00B23483"/>
    <w:rsid w:val="00B235D3"/>
    <w:rsid w:val="00B23608"/>
    <w:rsid w:val="00B23638"/>
    <w:rsid w:val="00B2370F"/>
    <w:rsid w:val="00B2378C"/>
    <w:rsid w:val="00B23831"/>
    <w:rsid w:val="00B239EF"/>
    <w:rsid w:val="00B23A82"/>
    <w:rsid w:val="00B23BB9"/>
    <w:rsid w:val="00B23D6D"/>
    <w:rsid w:val="00B23EBF"/>
    <w:rsid w:val="00B24072"/>
    <w:rsid w:val="00B24258"/>
    <w:rsid w:val="00B24522"/>
    <w:rsid w:val="00B246F0"/>
    <w:rsid w:val="00B2496B"/>
    <w:rsid w:val="00B249CA"/>
    <w:rsid w:val="00B24B03"/>
    <w:rsid w:val="00B24B75"/>
    <w:rsid w:val="00B24B96"/>
    <w:rsid w:val="00B24F37"/>
    <w:rsid w:val="00B25108"/>
    <w:rsid w:val="00B252D4"/>
    <w:rsid w:val="00B253B1"/>
    <w:rsid w:val="00B2543C"/>
    <w:rsid w:val="00B256EB"/>
    <w:rsid w:val="00B25EC1"/>
    <w:rsid w:val="00B266D1"/>
    <w:rsid w:val="00B26AB3"/>
    <w:rsid w:val="00B26F5C"/>
    <w:rsid w:val="00B26FEE"/>
    <w:rsid w:val="00B270B7"/>
    <w:rsid w:val="00B271CD"/>
    <w:rsid w:val="00B2737C"/>
    <w:rsid w:val="00B2757B"/>
    <w:rsid w:val="00B279E2"/>
    <w:rsid w:val="00B27B11"/>
    <w:rsid w:val="00B27C40"/>
    <w:rsid w:val="00B27C50"/>
    <w:rsid w:val="00B27E87"/>
    <w:rsid w:val="00B3038A"/>
    <w:rsid w:val="00B3040B"/>
    <w:rsid w:val="00B30C2F"/>
    <w:rsid w:val="00B30F71"/>
    <w:rsid w:val="00B30F78"/>
    <w:rsid w:val="00B30FBD"/>
    <w:rsid w:val="00B30FC6"/>
    <w:rsid w:val="00B31269"/>
    <w:rsid w:val="00B3166F"/>
    <w:rsid w:val="00B31699"/>
    <w:rsid w:val="00B317C3"/>
    <w:rsid w:val="00B319E4"/>
    <w:rsid w:val="00B31AED"/>
    <w:rsid w:val="00B31D68"/>
    <w:rsid w:val="00B31F8E"/>
    <w:rsid w:val="00B31FC4"/>
    <w:rsid w:val="00B32094"/>
    <w:rsid w:val="00B32204"/>
    <w:rsid w:val="00B324CE"/>
    <w:rsid w:val="00B327FD"/>
    <w:rsid w:val="00B3291B"/>
    <w:rsid w:val="00B3326A"/>
    <w:rsid w:val="00B33965"/>
    <w:rsid w:val="00B33AD4"/>
    <w:rsid w:val="00B33C63"/>
    <w:rsid w:val="00B33E36"/>
    <w:rsid w:val="00B342F5"/>
    <w:rsid w:val="00B343A1"/>
    <w:rsid w:val="00B3468B"/>
    <w:rsid w:val="00B34699"/>
    <w:rsid w:val="00B34DB0"/>
    <w:rsid w:val="00B34E23"/>
    <w:rsid w:val="00B34E8E"/>
    <w:rsid w:val="00B34EBB"/>
    <w:rsid w:val="00B351A0"/>
    <w:rsid w:val="00B35275"/>
    <w:rsid w:val="00B353DE"/>
    <w:rsid w:val="00B3554C"/>
    <w:rsid w:val="00B3557F"/>
    <w:rsid w:val="00B35747"/>
    <w:rsid w:val="00B35769"/>
    <w:rsid w:val="00B35DC6"/>
    <w:rsid w:val="00B35E42"/>
    <w:rsid w:val="00B3603D"/>
    <w:rsid w:val="00B36093"/>
    <w:rsid w:val="00B36136"/>
    <w:rsid w:val="00B364C2"/>
    <w:rsid w:val="00B3650A"/>
    <w:rsid w:val="00B3657B"/>
    <w:rsid w:val="00B36762"/>
    <w:rsid w:val="00B36ADF"/>
    <w:rsid w:val="00B36BD3"/>
    <w:rsid w:val="00B36C3D"/>
    <w:rsid w:val="00B36D80"/>
    <w:rsid w:val="00B36FAC"/>
    <w:rsid w:val="00B37323"/>
    <w:rsid w:val="00B3748E"/>
    <w:rsid w:val="00B375DA"/>
    <w:rsid w:val="00B37807"/>
    <w:rsid w:val="00B378FF"/>
    <w:rsid w:val="00B37970"/>
    <w:rsid w:val="00B37D13"/>
    <w:rsid w:val="00B40104"/>
    <w:rsid w:val="00B402D6"/>
    <w:rsid w:val="00B4047E"/>
    <w:rsid w:val="00B404FA"/>
    <w:rsid w:val="00B4054F"/>
    <w:rsid w:val="00B40689"/>
    <w:rsid w:val="00B408CF"/>
    <w:rsid w:val="00B40A5A"/>
    <w:rsid w:val="00B40AA6"/>
    <w:rsid w:val="00B40D24"/>
    <w:rsid w:val="00B40E61"/>
    <w:rsid w:val="00B40FFD"/>
    <w:rsid w:val="00B41205"/>
    <w:rsid w:val="00B414A1"/>
    <w:rsid w:val="00B418FB"/>
    <w:rsid w:val="00B41AD0"/>
    <w:rsid w:val="00B41BA5"/>
    <w:rsid w:val="00B4207A"/>
    <w:rsid w:val="00B4213D"/>
    <w:rsid w:val="00B423D7"/>
    <w:rsid w:val="00B42D59"/>
    <w:rsid w:val="00B42D68"/>
    <w:rsid w:val="00B42EB8"/>
    <w:rsid w:val="00B43042"/>
    <w:rsid w:val="00B430ED"/>
    <w:rsid w:val="00B43176"/>
    <w:rsid w:val="00B434F5"/>
    <w:rsid w:val="00B43526"/>
    <w:rsid w:val="00B436CC"/>
    <w:rsid w:val="00B438E6"/>
    <w:rsid w:val="00B43B11"/>
    <w:rsid w:val="00B43B53"/>
    <w:rsid w:val="00B43B5C"/>
    <w:rsid w:val="00B43B86"/>
    <w:rsid w:val="00B43C53"/>
    <w:rsid w:val="00B43D09"/>
    <w:rsid w:val="00B43F26"/>
    <w:rsid w:val="00B43FB8"/>
    <w:rsid w:val="00B44469"/>
    <w:rsid w:val="00B44623"/>
    <w:rsid w:val="00B44A14"/>
    <w:rsid w:val="00B44B8C"/>
    <w:rsid w:val="00B44CEF"/>
    <w:rsid w:val="00B44EE1"/>
    <w:rsid w:val="00B45026"/>
    <w:rsid w:val="00B450FA"/>
    <w:rsid w:val="00B4539E"/>
    <w:rsid w:val="00B45593"/>
    <w:rsid w:val="00B455E5"/>
    <w:rsid w:val="00B45A2F"/>
    <w:rsid w:val="00B45AC5"/>
    <w:rsid w:val="00B45D98"/>
    <w:rsid w:val="00B460EF"/>
    <w:rsid w:val="00B46349"/>
    <w:rsid w:val="00B4634A"/>
    <w:rsid w:val="00B46516"/>
    <w:rsid w:val="00B46645"/>
    <w:rsid w:val="00B468B2"/>
    <w:rsid w:val="00B46B20"/>
    <w:rsid w:val="00B46BAD"/>
    <w:rsid w:val="00B46C27"/>
    <w:rsid w:val="00B46D6F"/>
    <w:rsid w:val="00B46E96"/>
    <w:rsid w:val="00B46EEB"/>
    <w:rsid w:val="00B46FD2"/>
    <w:rsid w:val="00B471B7"/>
    <w:rsid w:val="00B47581"/>
    <w:rsid w:val="00B476C7"/>
    <w:rsid w:val="00B47828"/>
    <w:rsid w:val="00B47C70"/>
    <w:rsid w:val="00B47EE4"/>
    <w:rsid w:val="00B47FB5"/>
    <w:rsid w:val="00B504DF"/>
    <w:rsid w:val="00B50954"/>
    <w:rsid w:val="00B50972"/>
    <w:rsid w:val="00B50AE9"/>
    <w:rsid w:val="00B50C6E"/>
    <w:rsid w:val="00B51344"/>
    <w:rsid w:val="00B5142D"/>
    <w:rsid w:val="00B515B8"/>
    <w:rsid w:val="00B518C2"/>
    <w:rsid w:val="00B51989"/>
    <w:rsid w:val="00B51A82"/>
    <w:rsid w:val="00B51BBA"/>
    <w:rsid w:val="00B51C58"/>
    <w:rsid w:val="00B51EFD"/>
    <w:rsid w:val="00B520EA"/>
    <w:rsid w:val="00B52170"/>
    <w:rsid w:val="00B52504"/>
    <w:rsid w:val="00B52515"/>
    <w:rsid w:val="00B525B6"/>
    <w:rsid w:val="00B52682"/>
    <w:rsid w:val="00B52A89"/>
    <w:rsid w:val="00B52C6B"/>
    <w:rsid w:val="00B52CFC"/>
    <w:rsid w:val="00B52E0A"/>
    <w:rsid w:val="00B52EE9"/>
    <w:rsid w:val="00B53054"/>
    <w:rsid w:val="00B530E6"/>
    <w:rsid w:val="00B534AE"/>
    <w:rsid w:val="00B5389B"/>
    <w:rsid w:val="00B53AAD"/>
    <w:rsid w:val="00B53B0F"/>
    <w:rsid w:val="00B53CC5"/>
    <w:rsid w:val="00B53D35"/>
    <w:rsid w:val="00B53D3B"/>
    <w:rsid w:val="00B53E40"/>
    <w:rsid w:val="00B53F30"/>
    <w:rsid w:val="00B54102"/>
    <w:rsid w:val="00B5412B"/>
    <w:rsid w:val="00B542FC"/>
    <w:rsid w:val="00B54853"/>
    <w:rsid w:val="00B5499C"/>
    <w:rsid w:val="00B549BB"/>
    <w:rsid w:val="00B54A9B"/>
    <w:rsid w:val="00B54D48"/>
    <w:rsid w:val="00B553E0"/>
    <w:rsid w:val="00B5549C"/>
    <w:rsid w:val="00B5598B"/>
    <w:rsid w:val="00B55A2A"/>
    <w:rsid w:val="00B55B09"/>
    <w:rsid w:val="00B55FA9"/>
    <w:rsid w:val="00B560C8"/>
    <w:rsid w:val="00B56306"/>
    <w:rsid w:val="00B564B8"/>
    <w:rsid w:val="00B564F8"/>
    <w:rsid w:val="00B56527"/>
    <w:rsid w:val="00B56A56"/>
    <w:rsid w:val="00B56B81"/>
    <w:rsid w:val="00B56B94"/>
    <w:rsid w:val="00B56D42"/>
    <w:rsid w:val="00B56D8B"/>
    <w:rsid w:val="00B56E17"/>
    <w:rsid w:val="00B56E27"/>
    <w:rsid w:val="00B56E8B"/>
    <w:rsid w:val="00B56F33"/>
    <w:rsid w:val="00B56FA0"/>
    <w:rsid w:val="00B56FE6"/>
    <w:rsid w:val="00B57006"/>
    <w:rsid w:val="00B5715B"/>
    <w:rsid w:val="00B5751D"/>
    <w:rsid w:val="00B575AA"/>
    <w:rsid w:val="00B5762D"/>
    <w:rsid w:val="00B5765D"/>
    <w:rsid w:val="00B57663"/>
    <w:rsid w:val="00B577B3"/>
    <w:rsid w:val="00B57D8F"/>
    <w:rsid w:val="00B57D94"/>
    <w:rsid w:val="00B57FE7"/>
    <w:rsid w:val="00B60300"/>
    <w:rsid w:val="00B60488"/>
    <w:rsid w:val="00B605A5"/>
    <w:rsid w:val="00B606EC"/>
    <w:rsid w:val="00B60B4A"/>
    <w:rsid w:val="00B60DA0"/>
    <w:rsid w:val="00B6108C"/>
    <w:rsid w:val="00B611DB"/>
    <w:rsid w:val="00B61212"/>
    <w:rsid w:val="00B61283"/>
    <w:rsid w:val="00B61308"/>
    <w:rsid w:val="00B61806"/>
    <w:rsid w:val="00B61A66"/>
    <w:rsid w:val="00B61C3E"/>
    <w:rsid w:val="00B61CD2"/>
    <w:rsid w:val="00B61E9B"/>
    <w:rsid w:val="00B61F37"/>
    <w:rsid w:val="00B62570"/>
    <w:rsid w:val="00B62594"/>
    <w:rsid w:val="00B6269D"/>
    <w:rsid w:val="00B629E5"/>
    <w:rsid w:val="00B62B49"/>
    <w:rsid w:val="00B62D12"/>
    <w:rsid w:val="00B62E40"/>
    <w:rsid w:val="00B6316D"/>
    <w:rsid w:val="00B631EF"/>
    <w:rsid w:val="00B6337D"/>
    <w:rsid w:val="00B63760"/>
    <w:rsid w:val="00B63790"/>
    <w:rsid w:val="00B63A64"/>
    <w:rsid w:val="00B63BF7"/>
    <w:rsid w:val="00B63D30"/>
    <w:rsid w:val="00B63EDA"/>
    <w:rsid w:val="00B63F49"/>
    <w:rsid w:val="00B64194"/>
    <w:rsid w:val="00B64393"/>
    <w:rsid w:val="00B6454B"/>
    <w:rsid w:val="00B64769"/>
    <w:rsid w:val="00B6482F"/>
    <w:rsid w:val="00B648EA"/>
    <w:rsid w:val="00B6494C"/>
    <w:rsid w:val="00B64FAE"/>
    <w:rsid w:val="00B651A5"/>
    <w:rsid w:val="00B65319"/>
    <w:rsid w:val="00B65343"/>
    <w:rsid w:val="00B6558A"/>
    <w:rsid w:val="00B655E6"/>
    <w:rsid w:val="00B6578C"/>
    <w:rsid w:val="00B659A2"/>
    <w:rsid w:val="00B65AF3"/>
    <w:rsid w:val="00B65CA1"/>
    <w:rsid w:val="00B65D3B"/>
    <w:rsid w:val="00B65DF3"/>
    <w:rsid w:val="00B65FF7"/>
    <w:rsid w:val="00B66144"/>
    <w:rsid w:val="00B661AC"/>
    <w:rsid w:val="00B6628E"/>
    <w:rsid w:val="00B66452"/>
    <w:rsid w:val="00B665C2"/>
    <w:rsid w:val="00B66708"/>
    <w:rsid w:val="00B6685B"/>
    <w:rsid w:val="00B66937"/>
    <w:rsid w:val="00B669B9"/>
    <w:rsid w:val="00B66BFD"/>
    <w:rsid w:val="00B66DFE"/>
    <w:rsid w:val="00B66E0F"/>
    <w:rsid w:val="00B66EC4"/>
    <w:rsid w:val="00B66F0D"/>
    <w:rsid w:val="00B67019"/>
    <w:rsid w:val="00B671C5"/>
    <w:rsid w:val="00B67C1A"/>
    <w:rsid w:val="00B702B8"/>
    <w:rsid w:val="00B70436"/>
    <w:rsid w:val="00B7062C"/>
    <w:rsid w:val="00B70668"/>
    <w:rsid w:val="00B706F2"/>
    <w:rsid w:val="00B70919"/>
    <w:rsid w:val="00B7098F"/>
    <w:rsid w:val="00B709D3"/>
    <w:rsid w:val="00B70F27"/>
    <w:rsid w:val="00B71105"/>
    <w:rsid w:val="00B7135F"/>
    <w:rsid w:val="00B7141F"/>
    <w:rsid w:val="00B71475"/>
    <w:rsid w:val="00B714C2"/>
    <w:rsid w:val="00B716FE"/>
    <w:rsid w:val="00B71795"/>
    <w:rsid w:val="00B718D3"/>
    <w:rsid w:val="00B72504"/>
    <w:rsid w:val="00B72507"/>
    <w:rsid w:val="00B72B35"/>
    <w:rsid w:val="00B72BC5"/>
    <w:rsid w:val="00B72E84"/>
    <w:rsid w:val="00B72FF4"/>
    <w:rsid w:val="00B73108"/>
    <w:rsid w:val="00B731FA"/>
    <w:rsid w:val="00B7366D"/>
    <w:rsid w:val="00B73949"/>
    <w:rsid w:val="00B73C6A"/>
    <w:rsid w:val="00B73D77"/>
    <w:rsid w:val="00B73E76"/>
    <w:rsid w:val="00B743BD"/>
    <w:rsid w:val="00B749B6"/>
    <w:rsid w:val="00B74C28"/>
    <w:rsid w:val="00B74E6F"/>
    <w:rsid w:val="00B74EA8"/>
    <w:rsid w:val="00B74F80"/>
    <w:rsid w:val="00B7536F"/>
    <w:rsid w:val="00B75767"/>
    <w:rsid w:val="00B758C0"/>
    <w:rsid w:val="00B75A61"/>
    <w:rsid w:val="00B75ACF"/>
    <w:rsid w:val="00B75BC4"/>
    <w:rsid w:val="00B75BDA"/>
    <w:rsid w:val="00B75BEB"/>
    <w:rsid w:val="00B75CC4"/>
    <w:rsid w:val="00B75E61"/>
    <w:rsid w:val="00B75E72"/>
    <w:rsid w:val="00B75E76"/>
    <w:rsid w:val="00B7627E"/>
    <w:rsid w:val="00B76685"/>
    <w:rsid w:val="00B76773"/>
    <w:rsid w:val="00B7696E"/>
    <w:rsid w:val="00B769C4"/>
    <w:rsid w:val="00B76A88"/>
    <w:rsid w:val="00B76E26"/>
    <w:rsid w:val="00B770E4"/>
    <w:rsid w:val="00B77135"/>
    <w:rsid w:val="00B771A1"/>
    <w:rsid w:val="00B771F5"/>
    <w:rsid w:val="00B772C4"/>
    <w:rsid w:val="00B77308"/>
    <w:rsid w:val="00B77557"/>
    <w:rsid w:val="00B777CF"/>
    <w:rsid w:val="00B77A1B"/>
    <w:rsid w:val="00B77AB5"/>
    <w:rsid w:val="00B77B61"/>
    <w:rsid w:val="00B77C00"/>
    <w:rsid w:val="00B77C0D"/>
    <w:rsid w:val="00B77D27"/>
    <w:rsid w:val="00B80320"/>
    <w:rsid w:val="00B805F1"/>
    <w:rsid w:val="00B80660"/>
    <w:rsid w:val="00B80974"/>
    <w:rsid w:val="00B80AA2"/>
    <w:rsid w:val="00B80CE8"/>
    <w:rsid w:val="00B80E56"/>
    <w:rsid w:val="00B80E84"/>
    <w:rsid w:val="00B81128"/>
    <w:rsid w:val="00B812CC"/>
    <w:rsid w:val="00B81713"/>
    <w:rsid w:val="00B81816"/>
    <w:rsid w:val="00B8195D"/>
    <w:rsid w:val="00B81DEE"/>
    <w:rsid w:val="00B82079"/>
    <w:rsid w:val="00B823E6"/>
    <w:rsid w:val="00B8287B"/>
    <w:rsid w:val="00B833EC"/>
    <w:rsid w:val="00B835FC"/>
    <w:rsid w:val="00B836EA"/>
    <w:rsid w:val="00B8397B"/>
    <w:rsid w:val="00B83A6D"/>
    <w:rsid w:val="00B83ACC"/>
    <w:rsid w:val="00B83F67"/>
    <w:rsid w:val="00B84678"/>
    <w:rsid w:val="00B84712"/>
    <w:rsid w:val="00B84A0B"/>
    <w:rsid w:val="00B84A13"/>
    <w:rsid w:val="00B84B18"/>
    <w:rsid w:val="00B84C4B"/>
    <w:rsid w:val="00B84EA3"/>
    <w:rsid w:val="00B8511D"/>
    <w:rsid w:val="00B85247"/>
    <w:rsid w:val="00B8542F"/>
    <w:rsid w:val="00B8588A"/>
    <w:rsid w:val="00B858F6"/>
    <w:rsid w:val="00B85BC7"/>
    <w:rsid w:val="00B85C65"/>
    <w:rsid w:val="00B85D81"/>
    <w:rsid w:val="00B85F73"/>
    <w:rsid w:val="00B8604C"/>
    <w:rsid w:val="00B860E9"/>
    <w:rsid w:val="00B863E5"/>
    <w:rsid w:val="00B865A0"/>
    <w:rsid w:val="00B86805"/>
    <w:rsid w:val="00B86866"/>
    <w:rsid w:val="00B8692A"/>
    <w:rsid w:val="00B8698A"/>
    <w:rsid w:val="00B86A90"/>
    <w:rsid w:val="00B86C0A"/>
    <w:rsid w:val="00B86D61"/>
    <w:rsid w:val="00B86E28"/>
    <w:rsid w:val="00B86E45"/>
    <w:rsid w:val="00B86EBC"/>
    <w:rsid w:val="00B8718A"/>
    <w:rsid w:val="00B8736E"/>
    <w:rsid w:val="00B8770D"/>
    <w:rsid w:val="00B87B66"/>
    <w:rsid w:val="00B87DCC"/>
    <w:rsid w:val="00B87E88"/>
    <w:rsid w:val="00B90105"/>
    <w:rsid w:val="00B9043E"/>
    <w:rsid w:val="00B90698"/>
    <w:rsid w:val="00B907EE"/>
    <w:rsid w:val="00B90AFC"/>
    <w:rsid w:val="00B90D81"/>
    <w:rsid w:val="00B91002"/>
    <w:rsid w:val="00B910FF"/>
    <w:rsid w:val="00B91239"/>
    <w:rsid w:val="00B9135F"/>
    <w:rsid w:val="00B914DE"/>
    <w:rsid w:val="00B91634"/>
    <w:rsid w:val="00B9196B"/>
    <w:rsid w:val="00B91C0D"/>
    <w:rsid w:val="00B91CA7"/>
    <w:rsid w:val="00B91E12"/>
    <w:rsid w:val="00B91FAE"/>
    <w:rsid w:val="00B92343"/>
    <w:rsid w:val="00B92581"/>
    <w:rsid w:val="00B928DE"/>
    <w:rsid w:val="00B929C1"/>
    <w:rsid w:val="00B93062"/>
    <w:rsid w:val="00B93094"/>
    <w:rsid w:val="00B931BA"/>
    <w:rsid w:val="00B93242"/>
    <w:rsid w:val="00B9327D"/>
    <w:rsid w:val="00B9340B"/>
    <w:rsid w:val="00B937FB"/>
    <w:rsid w:val="00B93B66"/>
    <w:rsid w:val="00B94263"/>
    <w:rsid w:val="00B94296"/>
    <w:rsid w:val="00B94563"/>
    <w:rsid w:val="00B94695"/>
    <w:rsid w:val="00B9533A"/>
    <w:rsid w:val="00B95776"/>
    <w:rsid w:val="00B95885"/>
    <w:rsid w:val="00B95A67"/>
    <w:rsid w:val="00B95DE3"/>
    <w:rsid w:val="00B96117"/>
    <w:rsid w:val="00B96118"/>
    <w:rsid w:val="00B96C99"/>
    <w:rsid w:val="00B9750D"/>
    <w:rsid w:val="00B9778F"/>
    <w:rsid w:val="00B9786E"/>
    <w:rsid w:val="00B97C2B"/>
    <w:rsid w:val="00B97E54"/>
    <w:rsid w:val="00B97F63"/>
    <w:rsid w:val="00BA0082"/>
    <w:rsid w:val="00BA01A4"/>
    <w:rsid w:val="00BA04BC"/>
    <w:rsid w:val="00BA05AF"/>
    <w:rsid w:val="00BA062C"/>
    <w:rsid w:val="00BA07BF"/>
    <w:rsid w:val="00BA099A"/>
    <w:rsid w:val="00BA0A57"/>
    <w:rsid w:val="00BA0AA4"/>
    <w:rsid w:val="00BA0AC2"/>
    <w:rsid w:val="00BA0B07"/>
    <w:rsid w:val="00BA0CC3"/>
    <w:rsid w:val="00BA0D5D"/>
    <w:rsid w:val="00BA10E9"/>
    <w:rsid w:val="00BA16E4"/>
    <w:rsid w:val="00BA1B07"/>
    <w:rsid w:val="00BA1B72"/>
    <w:rsid w:val="00BA1FA4"/>
    <w:rsid w:val="00BA202D"/>
    <w:rsid w:val="00BA21A9"/>
    <w:rsid w:val="00BA2309"/>
    <w:rsid w:val="00BA2C5E"/>
    <w:rsid w:val="00BA2CA9"/>
    <w:rsid w:val="00BA2EF2"/>
    <w:rsid w:val="00BA2F15"/>
    <w:rsid w:val="00BA3139"/>
    <w:rsid w:val="00BA3263"/>
    <w:rsid w:val="00BA37D8"/>
    <w:rsid w:val="00BA43E7"/>
    <w:rsid w:val="00BA4491"/>
    <w:rsid w:val="00BA44AA"/>
    <w:rsid w:val="00BA4D33"/>
    <w:rsid w:val="00BA4E3D"/>
    <w:rsid w:val="00BA4E59"/>
    <w:rsid w:val="00BA577D"/>
    <w:rsid w:val="00BA57CD"/>
    <w:rsid w:val="00BA57E3"/>
    <w:rsid w:val="00BA5844"/>
    <w:rsid w:val="00BA5897"/>
    <w:rsid w:val="00BA6097"/>
    <w:rsid w:val="00BA6159"/>
    <w:rsid w:val="00BA6178"/>
    <w:rsid w:val="00BA626E"/>
    <w:rsid w:val="00BA632D"/>
    <w:rsid w:val="00BA65E0"/>
    <w:rsid w:val="00BA65F7"/>
    <w:rsid w:val="00BA6730"/>
    <w:rsid w:val="00BA6CB2"/>
    <w:rsid w:val="00BA70DB"/>
    <w:rsid w:val="00BA72CF"/>
    <w:rsid w:val="00BA7549"/>
    <w:rsid w:val="00BA755E"/>
    <w:rsid w:val="00BA75BC"/>
    <w:rsid w:val="00BA769A"/>
    <w:rsid w:val="00BA7744"/>
    <w:rsid w:val="00BA778C"/>
    <w:rsid w:val="00BA7802"/>
    <w:rsid w:val="00BA794A"/>
    <w:rsid w:val="00BA7A8E"/>
    <w:rsid w:val="00BA7E74"/>
    <w:rsid w:val="00BB009F"/>
    <w:rsid w:val="00BB03B2"/>
    <w:rsid w:val="00BB08D1"/>
    <w:rsid w:val="00BB09D4"/>
    <w:rsid w:val="00BB0C96"/>
    <w:rsid w:val="00BB0D5D"/>
    <w:rsid w:val="00BB0EA6"/>
    <w:rsid w:val="00BB12C8"/>
    <w:rsid w:val="00BB1806"/>
    <w:rsid w:val="00BB18EF"/>
    <w:rsid w:val="00BB1E2A"/>
    <w:rsid w:val="00BB1ED4"/>
    <w:rsid w:val="00BB2178"/>
    <w:rsid w:val="00BB2253"/>
    <w:rsid w:val="00BB2674"/>
    <w:rsid w:val="00BB281D"/>
    <w:rsid w:val="00BB2BF4"/>
    <w:rsid w:val="00BB2CB2"/>
    <w:rsid w:val="00BB2D51"/>
    <w:rsid w:val="00BB313A"/>
    <w:rsid w:val="00BB33B1"/>
    <w:rsid w:val="00BB35BE"/>
    <w:rsid w:val="00BB3AFD"/>
    <w:rsid w:val="00BB3C25"/>
    <w:rsid w:val="00BB3C32"/>
    <w:rsid w:val="00BB3D89"/>
    <w:rsid w:val="00BB3EA3"/>
    <w:rsid w:val="00BB3FBE"/>
    <w:rsid w:val="00BB3FD1"/>
    <w:rsid w:val="00BB400D"/>
    <w:rsid w:val="00BB42C3"/>
    <w:rsid w:val="00BB43DF"/>
    <w:rsid w:val="00BB4429"/>
    <w:rsid w:val="00BB4AA4"/>
    <w:rsid w:val="00BB4B35"/>
    <w:rsid w:val="00BB4C00"/>
    <w:rsid w:val="00BB4CB9"/>
    <w:rsid w:val="00BB4D33"/>
    <w:rsid w:val="00BB4D3F"/>
    <w:rsid w:val="00BB4D94"/>
    <w:rsid w:val="00BB4E99"/>
    <w:rsid w:val="00BB4EA5"/>
    <w:rsid w:val="00BB52EB"/>
    <w:rsid w:val="00BB53A5"/>
    <w:rsid w:val="00BB54E7"/>
    <w:rsid w:val="00BB5A48"/>
    <w:rsid w:val="00BB5B91"/>
    <w:rsid w:val="00BB5D4B"/>
    <w:rsid w:val="00BB6235"/>
    <w:rsid w:val="00BB62FA"/>
    <w:rsid w:val="00BB6DB8"/>
    <w:rsid w:val="00BB6E56"/>
    <w:rsid w:val="00BB703E"/>
    <w:rsid w:val="00BB71D2"/>
    <w:rsid w:val="00BB7291"/>
    <w:rsid w:val="00BB73C9"/>
    <w:rsid w:val="00BB7491"/>
    <w:rsid w:val="00BB7509"/>
    <w:rsid w:val="00BB7B9F"/>
    <w:rsid w:val="00BB7BA5"/>
    <w:rsid w:val="00BB7CB1"/>
    <w:rsid w:val="00BB7D00"/>
    <w:rsid w:val="00BB7E69"/>
    <w:rsid w:val="00BB7F94"/>
    <w:rsid w:val="00BC025C"/>
    <w:rsid w:val="00BC0314"/>
    <w:rsid w:val="00BC07E7"/>
    <w:rsid w:val="00BC0860"/>
    <w:rsid w:val="00BC09AA"/>
    <w:rsid w:val="00BC0A68"/>
    <w:rsid w:val="00BC0A89"/>
    <w:rsid w:val="00BC1182"/>
    <w:rsid w:val="00BC1306"/>
    <w:rsid w:val="00BC13D8"/>
    <w:rsid w:val="00BC14C9"/>
    <w:rsid w:val="00BC1528"/>
    <w:rsid w:val="00BC163E"/>
    <w:rsid w:val="00BC1699"/>
    <w:rsid w:val="00BC175E"/>
    <w:rsid w:val="00BC1A2C"/>
    <w:rsid w:val="00BC1A57"/>
    <w:rsid w:val="00BC2158"/>
    <w:rsid w:val="00BC2416"/>
    <w:rsid w:val="00BC249C"/>
    <w:rsid w:val="00BC2574"/>
    <w:rsid w:val="00BC2762"/>
    <w:rsid w:val="00BC2F9E"/>
    <w:rsid w:val="00BC3372"/>
    <w:rsid w:val="00BC39DE"/>
    <w:rsid w:val="00BC3A01"/>
    <w:rsid w:val="00BC3A3F"/>
    <w:rsid w:val="00BC4324"/>
    <w:rsid w:val="00BC43C9"/>
    <w:rsid w:val="00BC4555"/>
    <w:rsid w:val="00BC46AB"/>
    <w:rsid w:val="00BC49E7"/>
    <w:rsid w:val="00BC4B4B"/>
    <w:rsid w:val="00BC4BF9"/>
    <w:rsid w:val="00BC4E4A"/>
    <w:rsid w:val="00BC5566"/>
    <w:rsid w:val="00BC589F"/>
    <w:rsid w:val="00BC599E"/>
    <w:rsid w:val="00BC59AC"/>
    <w:rsid w:val="00BC5B18"/>
    <w:rsid w:val="00BC5DF1"/>
    <w:rsid w:val="00BC5E29"/>
    <w:rsid w:val="00BC62C2"/>
    <w:rsid w:val="00BC6AF9"/>
    <w:rsid w:val="00BC6B03"/>
    <w:rsid w:val="00BC6B2F"/>
    <w:rsid w:val="00BC6D5B"/>
    <w:rsid w:val="00BC7274"/>
    <w:rsid w:val="00BC76CC"/>
    <w:rsid w:val="00BC7708"/>
    <w:rsid w:val="00BC7761"/>
    <w:rsid w:val="00BC778B"/>
    <w:rsid w:val="00BC79D9"/>
    <w:rsid w:val="00BC7B6F"/>
    <w:rsid w:val="00BC7BBC"/>
    <w:rsid w:val="00BC7BD5"/>
    <w:rsid w:val="00BC7BE9"/>
    <w:rsid w:val="00BC7D97"/>
    <w:rsid w:val="00BD021C"/>
    <w:rsid w:val="00BD0400"/>
    <w:rsid w:val="00BD0486"/>
    <w:rsid w:val="00BD08C2"/>
    <w:rsid w:val="00BD09DB"/>
    <w:rsid w:val="00BD09E6"/>
    <w:rsid w:val="00BD0A43"/>
    <w:rsid w:val="00BD0A75"/>
    <w:rsid w:val="00BD0D6D"/>
    <w:rsid w:val="00BD0DC0"/>
    <w:rsid w:val="00BD0F9D"/>
    <w:rsid w:val="00BD100D"/>
    <w:rsid w:val="00BD1136"/>
    <w:rsid w:val="00BD1606"/>
    <w:rsid w:val="00BD169B"/>
    <w:rsid w:val="00BD1966"/>
    <w:rsid w:val="00BD1BB3"/>
    <w:rsid w:val="00BD1DA8"/>
    <w:rsid w:val="00BD20E1"/>
    <w:rsid w:val="00BD215A"/>
    <w:rsid w:val="00BD23EC"/>
    <w:rsid w:val="00BD2510"/>
    <w:rsid w:val="00BD2A5F"/>
    <w:rsid w:val="00BD2CDD"/>
    <w:rsid w:val="00BD2F58"/>
    <w:rsid w:val="00BD34D9"/>
    <w:rsid w:val="00BD35C6"/>
    <w:rsid w:val="00BD37F1"/>
    <w:rsid w:val="00BD3B78"/>
    <w:rsid w:val="00BD3BE3"/>
    <w:rsid w:val="00BD3D56"/>
    <w:rsid w:val="00BD3DE2"/>
    <w:rsid w:val="00BD3E64"/>
    <w:rsid w:val="00BD3E9C"/>
    <w:rsid w:val="00BD3F97"/>
    <w:rsid w:val="00BD4202"/>
    <w:rsid w:val="00BD4652"/>
    <w:rsid w:val="00BD4707"/>
    <w:rsid w:val="00BD4916"/>
    <w:rsid w:val="00BD4F27"/>
    <w:rsid w:val="00BD505B"/>
    <w:rsid w:val="00BD53DE"/>
    <w:rsid w:val="00BD54EB"/>
    <w:rsid w:val="00BD5533"/>
    <w:rsid w:val="00BD562F"/>
    <w:rsid w:val="00BD56A8"/>
    <w:rsid w:val="00BD581F"/>
    <w:rsid w:val="00BD5843"/>
    <w:rsid w:val="00BD5BF8"/>
    <w:rsid w:val="00BD5D51"/>
    <w:rsid w:val="00BD60FE"/>
    <w:rsid w:val="00BD6291"/>
    <w:rsid w:val="00BD63A3"/>
    <w:rsid w:val="00BD6443"/>
    <w:rsid w:val="00BD644D"/>
    <w:rsid w:val="00BD66F8"/>
    <w:rsid w:val="00BD6C2F"/>
    <w:rsid w:val="00BD6FE4"/>
    <w:rsid w:val="00BD7009"/>
    <w:rsid w:val="00BD705D"/>
    <w:rsid w:val="00BD71F7"/>
    <w:rsid w:val="00BD7267"/>
    <w:rsid w:val="00BD7443"/>
    <w:rsid w:val="00BD7466"/>
    <w:rsid w:val="00BD750C"/>
    <w:rsid w:val="00BD752C"/>
    <w:rsid w:val="00BD75AD"/>
    <w:rsid w:val="00BD75D1"/>
    <w:rsid w:val="00BD767E"/>
    <w:rsid w:val="00BD77A0"/>
    <w:rsid w:val="00BD79BB"/>
    <w:rsid w:val="00BD7ABA"/>
    <w:rsid w:val="00BE01AF"/>
    <w:rsid w:val="00BE0257"/>
    <w:rsid w:val="00BE047B"/>
    <w:rsid w:val="00BE04F3"/>
    <w:rsid w:val="00BE05E8"/>
    <w:rsid w:val="00BE0887"/>
    <w:rsid w:val="00BE0B29"/>
    <w:rsid w:val="00BE0DE0"/>
    <w:rsid w:val="00BE1236"/>
    <w:rsid w:val="00BE1395"/>
    <w:rsid w:val="00BE139D"/>
    <w:rsid w:val="00BE13AC"/>
    <w:rsid w:val="00BE1546"/>
    <w:rsid w:val="00BE1853"/>
    <w:rsid w:val="00BE188B"/>
    <w:rsid w:val="00BE1C8A"/>
    <w:rsid w:val="00BE1F02"/>
    <w:rsid w:val="00BE2446"/>
    <w:rsid w:val="00BE2486"/>
    <w:rsid w:val="00BE24E6"/>
    <w:rsid w:val="00BE25B4"/>
    <w:rsid w:val="00BE3436"/>
    <w:rsid w:val="00BE34B6"/>
    <w:rsid w:val="00BE369C"/>
    <w:rsid w:val="00BE37DB"/>
    <w:rsid w:val="00BE3B77"/>
    <w:rsid w:val="00BE3D01"/>
    <w:rsid w:val="00BE3D23"/>
    <w:rsid w:val="00BE4090"/>
    <w:rsid w:val="00BE42D0"/>
    <w:rsid w:val="00BE475B"/>
    <w:rsid w:val="00BE4D20"/>
    <w:rsid w:val="00BE4E1A"/>
    <w:rsid w:val="00BE4EFA"/>
    <w:rsid w:val="00BE4F6D"/>
    <w:rsid w:val="00BE4FD8"/>
    <w:rsid w:val="00BE56DB"/>
    <w:rsid w:val="00BE5975"/>
    <w:rsid w:val="00BE5C28"/>
    <w:rsid w:val="00BE5C7A"/>
    <w:rsid w:val="00BE5DA7"/>
    <w:rsid w:val="00BE5E98"/>
    <w:rsid w:val="00BE6142"/>
    <w:rsid w:val="00BE63AA"/>
    <w:rsid w:val="00BE6466"/>
    <w:rsid w:val="00BE6727"/>
    <w:rsid w:val="00BE699D"/>
    <w:rsid w:val="00BE6BD1"/>
    <w:rsid w:val="00BE6D60"/>
    <w:rsid w:val="00BE6EE9"/>
    <w:rsid w:val="00BE7263"/>
    <w:rsid w:val="00BE7337"/>
    <w:rsid w:val="00BE7403"/>
    <w:rsid w:val="00BE756A"/>
    <w:rsid w:val="00BE75DB"/>
    <w:rsid w:val="00BE778C"/>
    <w:rsid w:val="00BE793F"/>
    <w:rsid w:val="00BE7B10"/>
    <w:rsid w:val="00BE7C20"/>
    <w:rsid w:val="00BE7CC3"/>
    <w:rsid w:val="00BE7DFA"/>
    <w:rsid w:val="00BE7EDA"/>
    <w:rsid w:val="00BE7F7C"/>
    <w:rsid w:val="00BF0026"/>
    <w:rsid w:val="00BF0102"/>
    <w:rsid w:val="00BF0377"/>
    <w:rsid w:val="00BF058A"/>
    <w:rsid w:val="00BF0667"/>
    <w:rsid w:val="00BF0A60"/>
    <w:rsid w:val="00BF0C29"/>
    <w:rsid w:val="00BF0D34"/>
    <w:rsid w:val="00BF0EE6"/>
    <w:rsid w:val="00BF102B"/>
    <w:rsid w:val="00BF14F7"/>
    <w:rsid w:val="00BF15C7"/>
    <w:rsid w:val="00BF18D2"/>
    <w:rsid w:val="00BF213A"/>
    <w:rsid w:val="00BF216D"/>
    <w:rsid w:val="00BF2683"/>
    <w:rsid w:val="00BF27AD"/>
    <w:rsid w:val="00BF28FF"/>
    <w:rsid w:val="00BF2943"/>
    <w:rsid w:val="00BF298B"/>
    <w:rsid w:val="00BF2A53"/>
    <w:rsid w:val="00BF2ACA"/>
    <w:rsid w:val="00BF2AFC"/>
    <w:rsid w:val="00BF2B15"/>
    <w:rsid w:val="00BF2C5F"/>
    <w:rsid w:val="00BF3039"/>
    <w:rsid w:val="00BF3172"/>
    <w:rsid w:val="00BF3200"/>
    <w:rsid w:val="00BF3203"/>
    <w:rsid w:val="00BF33CD"/>
    <w:rsid w:val="00BF348D"/>
    <w:rsid w:val="00BF3993"/>
    <w:rsid w:val="00BF3C03"/>
    <w:rsid w:val="00BF3DC1"/>
    <w:rsid w:val="00BF44EB"/>
    <w:rsid w:val="00BF49AF"/>
    <w:rsid w:val="00BF4B50"/>
    <w:rsid w:val="00BF4D88"/>
    <w:rsid w:val="00BF4E70"/>
    <w:rsid w:val="00BF4E8B"/>
    <w:rsid w:val="00BF5402"/>
    <w:rsid w:val="00BF5998"/>
    <w:rsid w:val="00BF5B5A"/>
    <w:rsid w:val="00BF5CDB"/>
    <w:rsid w:val="00BF5F30"/>
    <w:rsid w:val="00BF5FD2"/>
    <w:rsid w:val="00BF604A"/>
    <w:rsid w:val="00BF6219"/>
    <w:rsid w:val="00BF6381"/>
    <w:rsid w:val="00BF6475"/>
    <w:rsid w:val="00BF6497"/>
    <w:rsid w:val="00BF6573"/>
    <w:rsid w:val="00BF65C3"/>
    <w:rsid w:val="00BF660A"/>
    <w:rsid w:val="00BF66C4"/>
    <w:rsid w:val="00BF6742"/>
    <w:rsid w:val="00BF68D3"/>
    <w:rsid w:val="00BF69AF"/>
    <w:rsid w:val="00BF6B85"/>
    <w:rsid w:val="00BF6BA6"/>
    <w:rsid w:val="00BF6C67"/>
    <w:rsid w:val="00BF6F58"/>
    <w:rsid w:val="00BF72A2"/>
    <w:rsid w:val="00BF78A4"/>
    <w:rsid w:val="00BF7BA9"/>
    <w:rsid w:val="00C00069"/>
    <w:rsid w:val="00C0015C"/>
    <w:rsid w:val="00C002B8"/>
    <w:rsid w:val="00C002C8"/>
    <w:rsid w:val="00C00A5E"/>
    <w:rsid w:val="00C00D42"/>
    <w:rsid w:val="00C00E21"/>
    <w:rsid w:val="00C00F17"/>
    <w:rsid w:val="00C00FE1"/>
    <w:rsid w:val="00C0131D"/>
    <w:rsid w:val="00C01489"/>
    <w:rsid w:val="00C01543"/>
    <w:rsid w:val="00C0179E"/>
    <w:rsid w:val="00C0197C"/>
    <w:rsid w:val="00C01A0B"/>
    <w:rsid w:val="00C01A90"/>
    <w:rsid w:val="00C01AD0"/>
    <w:rsid w:val="00C01C81"/>
    <w:rsid w:val="00C01D25"/>
    <w:rsid w:val="00C02078"/>
    <w:rsid w:val="00C023B5"/>
    <w:rsid w:val="00C02878"/>
    <w:rsid w:val="00C0293C"/>
    <w:rsid w:val="00C029AC"/>
    <w:rsid w:val="00C02EA1"/>
    <w:rsid w:val="00C02EFD"/>
    <w:rsid w:val="00C02FD9"/>
    <w:rsid w:val="00C032CB"/>
    <w:rsid w:val="00C03445"/>
    <w:rsid w:val="00C038CC"/>
    <w:rsid w:val="00C03AD0"/>
    <w:rsid w:val="00C03C25"/>
    <w:rsid w:val="00C03CB8"/>
    <w:rsid w:val="00C03CE0"/>
    <w:rsid w:val="00C03E9A"/>
    <w:rsid w:val="00C041D0"/>
    <w:rsid w:val="00C04258"/>
    <w:rsid w:val="00C04454"/>
    <w:rsid w:val="00C04456"/>
    <w:rsid w:val="00C04531"/>
    <w:rsid w:val="00C048D0"/>
    <w:rsid w:val="00C04C65"/>
    <w:rsid w:val="00C04CB7"/>
    <w:rsid w:val="00C04DE0"/>
    <w:rsid w:val="00C04E5A"/>
    <w:rsid w:val="00C04E9B"/>
    <w:rsid w:val="00C05228"/>
    <w:rsid w:val="00C05542"/>
    <w:rsid w:val="00C0576E"/>
    <w:rsid w:val="00C0583E"/>
    <w:rsid w:val="00C05B6F"/>
    <w:rsid w:val="00C05BE5"/>
    <w:rsid w:val="00C05ED0"/>
    <w:rsid w:val="00C06238"/>
    <w:rsid w:val="00C062B3"/>
    <w:rsid w:val="00C062E9"/>
    <w:rsid w:val="00C0638B"/>
    <w:rsid w:val="00C06488"/>
    <w:rsid w:val="00C0679E"/>
    <w:rsid w:val="00C067C6"/>
    <w:rsid w:val="00C06ACF"/>
    <w:rsid w:val="00C06E9A"/>
    <w:rsid w:val="00C070F2"/>
    <w:rsid w:val="00C07248"/>
    <w:rsid w:val="00C072A0"/>
    <w:rsid w:val="00C07397"/>
    <w:rsid w:val="00C074A1"/>
    <w:rsid w:val="00C07582"/>
    <w:rsid w:val="00C075D3"/>
    <w:rsid w:val="00C07858"/>
    <w:rsid w:val="00C078E9"/>
    <w:rsid w:val="00C079C1"/>
    <w:rsid w:val="00C07EF5"/>
    <w:rsid w:val="00C108CB"/>
    <w:rsid w:val="00C1093D"/>
    <w:rsid w:val="00C10DC7"/>
    <w:rsid w:val="00C10DF7"/>
    <w:rsid w:val="00C10F41"/>
    <w:rsid w:val="00C11AA2"/>
    <w:rsid w:val="00C11B10"/>
    <w:rsid w:val="00C11D35"/>
    <w:rsid w:val="00C11D9F"/>
    <w:rsid w:val="00C11E60"/>
    <w:rsid w:val="00C11F78"/>
    <w:rsid w:val="00C12325"/>
    <w:rsid w:val="00C1232D"/>
    <w:rsid w:val="00C12347"/>
    <w:rsid w:val="00C12498"/>
    <w:rsid w:val="00C124C5"/>
    <w:rsid w:val="00C124F0"/>
    <w:rsid w:val="00C12733"/>
    <w:rsid w:val="00C12984"/>
    <w:rsid w:val="00C129E8"/>
    <w:rsid w:val="00C129FC"/>
    <w:rsid w:val="00C12AD0"/>
    <w:rsid w:val="00C12B01"/>
    <w:rsid w:val="00C12F7B"/>
    <w:rsid w:val="00C12F8A"/>
    <w:rsid w:val="00C131DA"/>
    <w:rsid w:val="00C1334F"/>
    <w:rsid w:val="00C135D5"/>
    <w:rsid w:val="00C136C9"/>
    <w:rsid w:val="00C1381B"/>
    <w:rsid w:val="00C138BC"/>
    <w:rsid w:val="00C13A73"/>
    <w:rsid w:val="00C13B71"/>
    <w:rsid w:val="00C13BFA"/>
    <w:rsid w:val="00C13E49"/>
    <w:rsid w:val="00C140FA"/>
    <w:rsid w:val="00C141A4"/>
    <w:rsid w:val="00C141AA"/>
    <w:rsid w:val="00C1426C"/>
    <w:rsid w:val="00C14719"/>
    <w:rsid w:val="00C14798"/>
    <w:rsid w:val="00C14B3E"/>
    <w:rsid w:val="00C14F2E"/>
    <w:rsid w:val="00C14FF5"/>
    <w:rsid w:val="00C14FFC"/>
    <w:rsid w:val="00C151A3"/>
    <w:rsid w:val="00C15220"/>
    <w:rsid w:val="00C153FF"/>
    <w:rsid w:val="00C1561B"/>
    <w:rsid w:val="00C157A4"/>
    <w:rsid w:val="00C159C5"/>
    <w:rsid w:val="00C159ED"/>
    <w:rsid w:val="00C15DF5"/>
    <w:rsid w:val="00C16112"/>
    <w:rsid w:val="00C1646D"/>
    <w:rsid w:val="00C1651A"/>
    <w:rsid w:val="00C166F5"/>
    <w:rsid w:val="00C16807"/>
    <w:rsid w:val="00C168B6"/>
    <w:rsid w:val="00C1691A"/>
    <w:rsid w:val="00C16A10"/>
    <w:rsid w:val="00C16A72"/>
    <w:rsid w:val="00C16CA8"/>
    <w:rsid w:val="00C16CAA"/>
    <w:rsid w:val="00C17117"/>
    <w:rsid w:val="00C1732E"/>
    <w:rsid w:val="00C17492"/>
    <w:rsid w:val="00C17647"/>
    <w:rsid w:val="00C176B4"/>
    <w:rsid w:val="00C1771F"/>
    <w:rsid w:val="00C177FE"/>
    <w:rsid w:val="00C17A73"/>
    <w:rsid w:val="00C17D9E"/>
    <w:rsid w:val="00C17E81"/>
    <w:rsid w:val="00C20155"/>
    <w:rsid w:val="00C2050F"/>
    <w:rsid w:val="00C20BBF"/>
    <w:rsid w:val="00C210AB"/>
    <w:rsid w:val="00C21397"/>
    <w:rsid w:val="00C21434"/>
    <w:rsid w:val="00C216D2"/>
    <w:rsid w:val="00C21CC3"/>
    <w:rsid w:val="00C21D8E"/>
    <w:rsid w:val="00C21DE9"/>
    <w:rsid w:val="00C2229E"/>
    <w:rsid w:val="00C225D2"/>
    <w:rsid w:val="00C2280D"/>
    <w:rsid w:val="00C2291C"/>
    <w:rsid w:val="00C22A24"/>
    <w:rsid w:val="00C22F81"/>
    <w:rsid w:val="00C230DA"/>
    <w:rsid w:val="00C232E5"/>
    <w:rsid w:val="00C2392F"/>
    <w:rsid w:val="00C23A83"/>
    <w:rsid w:val="00C23B0A"/>
    <w:rsid w:val="00C23E19"/>
    <w:rsid w:val="00C24060"/>
    <w:rsid w:val="00C24293"/>
    <w:rsid w:val="00C242E5"/>
    <w:rsid w:val="00C24535"/>
    <w:rsid w:val="00C246A0"/>
    <w:rsid w:val="00C24878"/>
    <w:rsid w:val="00C24AA8"/>
    <w:rsid w:val="00C24B99"/>
    <w:rsid w:val="00C24CDC"/>
    <w:rsid w:val="00C24D02"/>
    <w:rsid w:val="00C24E1A"/>
    <w:rsid w:val="00C254A3"/>
    <w:rsid w:val="00C254C7"/>
    <w:rsid w:val="00C254F8"/>
    <w:rsid w:val="00C25BF9"/>
    <w:rsid w:val="00C25C0C"/>
    <w:rsid w:val="00C25EB0"/>
    <w:rsid w:val="00C26396"/>
    <w:rsid w:val="00C264EB"/>
    <w:rsid w:val="00C26674"/>
    <w:rsid w:val="00C26950"/>
    <w:rsid w:val="00C26C5C"/>
    <w:rsid w:val="00C26C88"/>
    <w:rsid w:val="00C26D72"/>
    <w:rsid w:val="00C26EC9"/>
    <w:rsid w:val="00C27223"/>
    <w:rsid w:val="00C272C7"/>
    <w:rsid w:val="00C272EF"/>
    <w:rsid w:val="00C2751F"/>
    <w:rsid w:val="00C275AD"/>
    <w:rsid w:val="00C275C3"/>
    <w:rsid w:val="00C27904"/>
    <w:rsid w:val="00C279DA"/>
    <w:rsid w:val="00C27A5A"/>
    <w:rsid w:val="00C27AD7"/>
    <w:rsid w:val="00C27CFF"/>
    <w:rsid w:val="00C27D06"/>
    <w:rsid w:val="00C27D9E"/>
    <w:rsid w:val="00C27E0F"/>
    <w:rsid w:val="00C27F05"/>
    <w:rsid w:val="00C27FDE"/>
    <w:rsid w:val="00C27FE0"/>
    <w:rsid w:val="00C27FF1"/>
    <w:rsid w:val="00C30104"/>
    <w:rsid w:val="00C3015E"/>
    <w:rsid w:val="00C30293"/>
    <w:rsid w:val="00C30571"/>
    <w:rsid w:val="00C30585"/>
    <w:rsid w:val="00C30A7A"/>
    <w:rsid w:val="00C30B63"/>
    <w:rsid w:val="00C310F0"/>
    <w:rsid w:val="00C3118B"/>
    <w:rsid w:val="00C3170E"/>
    <w:rsid w:val="00C317DF"/>
    <w:rsid w:val="00C3184C"/>
    <w:rsid w:val="00C31962"/>
    <w:rsid w:val="00C31979"/>
    <w:rsid w:val="00C31E92"/>
    <w:rsid w:val="00C32398"/>
    <w:rsid w:val="00C32598"/>
    <w:rsid w:val="00C32646"/>
    <w:rsid w:val="00C32696"/>
    <w:rsid w:val="00C3279E"/>
    <w:rsid w:val="00C32819"/>
    <w:rsid w:val="00C32FB3"/>
    <w:rsid w:val="00C330BA"/>
    <w:rsid w:val="00C33619"/>
    <w:rsid w:val="00C33B11"/>
    <w:rsid w:val="00C33E9F"/>
    <w:rsid w:val="00C341F8"/>
    <w:rsid w:val="00C34908"/>
    <w:rsid w:val="00C34A81"/>
    <w:rsid w:val="00C35016"/>
    <w:rsid w:val="00C3502E"/>
    <w:rsid w:val="00C3525E"/>
    <w:rsid w:val="00C3557A"/>
    <w:rsid w:val="00C356FD"/>
    <w:rsid w:val="00C358CB"/>
    <w:rsid w:val="00C35936"/>
    <w:rsid w:val="00C3595E"/>
    <w:rsid w:val="00C359B1"/>
    <w:rsid w:val="00C35B36"/>
    <w:rsid w:val="00C35D2E"/>
    <w:rsid w:val="00C35FB3"/>
    <w:rsid w:val="00C36072"/>
    <w:rsid w:val="00C364B7"/>
    <w:rsid w:val="00C36624"/>
    <w:rsid w:val="00C36750"/>
    <w:rsid w:val="00C36763"/>
    <w:rsid w:val="00C36A5C"/>
    <w:rsid w:val="00C36C6C"/>
    <w:rsid w:val="00C3721A"/>
    <w:rsid w:val="00C3735E"/>
    <w:rsid w:val="00C37383"/>
    <w:rsid w:val="00C3746B"/>
    <w:rsid w:val="00C37539"/>
    <w:rsid w:val="00C375D7"/>
    <w:rsid w:val="00C37718"/>
    <w:rsid w:val="00C37877"/>
    <w:rsid w:val="00C37921"/>
    <w:rsid w:val="00C37C1D"/>
    <w:rsid w:val="00C37CAA"/>
    <w:rsid w:val="00C37CE4"/>
    <w:rsid w:val="00C37D1C"/>
    <w:rsid w:val="00C37D5F"/>
    <w:rsid w:val="00C37DA0"/>
    <w:rsid w:val="00C37E0B"/>
    <w:rsid w:val="00C40009"/>
    <w:rsid w:val="00C40020"/>
    <w:rsid w:val="00C40219"/>
    <w:rsid w:val="00C4049F"/>
    <w:rsid w:val="00C40627"/>
    <w:rsid w:val="00C4064C"/>
    <w:rsid w:val="00C407A9"/>
    <w:rsid w:val="00C4088E"/>
    <w:rsid w:val="00C40892"/>
    <w:rsid w:val="00C4096A"/>
    <w:rsid w:val="00C40CF3"/>
    <w:rsid w:val="00C4118D"/>
    <w:rsid w:val="00C411E7"/>
    <w:rsid w:val="00C412CD"/>
    <w:rsid w:val="00C416B6"/>
    <w:rsid w:val="00C41728"/>
    <w:rsid w:val="00C419C9"/>
    <w:rsid w:val="00C41CE6"/>
    <w:rsid w:val="00C41E3C"/>
    <w:rsid w:val="00C41E62"/>
    <w:rsid w:val="00C41F74"/>
    <w:rsid w:val="00C41FBD"/>
    <w:rsid w:val="00C42374"/>
    <w:rsid w:val="00C424AF"/>
    <w:rsid w:val="00C42AFE"/>
    <w:rsid w:val="00C42D10"/>
    <w:rsid w:val="00C42D2D"/>
    <w:rsid w:val="00C43195"/>
    <w:rsid w:val="00C43280"/>
    <w:rsid w:val="00C43358"/>
    <w:rsid w:val="00C43543"/>
    <w:rsid w:val="00C4354D"/>
    <w:rsid w:val="00C4395F"/>
    <w:rsid w:val="00C4396C"/>
    <w:rsid w:val="00C43B0A"/>
    <w:rsid w:val="00C43BD9"/>
    <w:rsid w:val="00C43C36"/>
    <w:rsid w:val="00C43D51"/>
    <w:rsid w:val="00C441D8"/>
    <w:rsid w:val="00C4428A"/>
    <w:rsid w:val="00C446E6"/>
    <w:rsid w:val="00C447DA"/>
    <w:rsid w:val="00C448AF"/>
    <w:rsid w:val="00C44AC0"/>
    <w:rsid w:val="00C44B76"/>
    <w:rsid w:val="00C44C62"/>
    <w:rsid w:val="00C44F14"/>
    <w:rsid w:val="00C45069"/>
    <w:rsid w:val="00C451B6"/>
    <w:rsid w:val="00C4523F"/>
    <w:rsid w:val="00C4527F"/>
    <w:rsid w:val="00C45409"/>
    <w:rsid w:val="00C45486"/>
    <w:rsid w:val="00C45708"/>
    <w:rsid w:val="00C45816"/>
    <w:rsid w:val="00C45987"/>
    <w:rsid w:val="00C45AAF"/>
    <w:rsid w:val="00C45DA8"/>
    <w:rsid w:val="00C45E63"/>
    <w:rsid w:val="00C46044"/>
    <w:rsid w:val="00C460CA"/>
    <w:rsid w:val="00C460EF"/>
    <w:rsid w:val="00C46100"/>
    <w:rsid w:val="00C46408"/>
    <w:rsid w:val="00C46465"/>
    <w:rsid w:val="00C46510"/>
    <w:rsid w:val="00C4656B"/>
    <w:rsid w:val="00C468C6"/>
    <w:rsid w:val="00C4693D"/>
    <w:rsid w:val="00C46A35"/>
    <w:rsid w:val="00C46B89"/>
    <w:rsid w:val="00C46B96"/>
    <w:rsid w:val="00C46C0E"/>
    <w:rsid w:val="00C46DC4"/>
    <w:rsid w:val="00C46E0F"/>
    <w:rsid w:val="00C46FCE"/>
    <w:rsid w:val="00C47395"/>
    <w:rsid w:val="00C474BF"/>
    <w:rsid w:val="00C4763A"/>
    <w:rsid w:val="00C47A46"/>
    <w:rsid w:val="00C47C4B"/>
    <w:rsid w:val="00C47D8B"/>
    <w:rsid w:val="00C47DE0"/>
    <w:rsid w:val="00C47DF5"/>
    <w:rsid w:val="00C47E46"/>
    <w:rsid w:val="00C500B9"/>
    <w:rsid w:val="00C500F1"/>
    <w:rsid w:val="00C50277"/>
    <w:rsid w:val="00C502DE"/>
    <w:rsid w:val="00C502FA"/>
    <w:rsid w:val="00C50ABC"/>
    <w:rsid w:val="00C50EC2"/>
    <w:rsid w:val="00C50F8C"/>
    <w:rsid w:val="00C50FBB"/>
    <w:rsid w:val="00C50FC7"/>
    <w:rsid w:val="00C51168"/>
    <w:rsid w:val="00C5128A"/>
    <w:rsid w:val="00C513B4"/>
    <w:rsid w:val="00C513E5"/>
    <w:rsid w:val="00C51674"/>
    <w:rsid w:val="00C516ED"/>
    <w:rsid w:val="00C51940"/>
    <w:rsid w:val="00C51A05"/>
    <w:rsid w:val="00C51E6A"/>
    <w:rsid w:val="00C51EB0"/>
    <w:rsid w:val="00C52269"/>
    <w:rsid w:val="00C52271"/>
    <w:rsid w:val="00C52568"/>
    <w:rsid w:val="00C52659"/>
    <w:rsid w:val="00C52667"/>
    <w:rsid w:val="00C52A0C"/>
    <w:rsid w:val="00C52CB1"/>
    <w:rsid w:val="00C52E7E"/>
    <w:rsid w:val="00C52F0B"/>
    <w:rsid w:val="00C52F24"/>
    <w:rsid w:val="00C532E2"/>
    <w:rsid w:val="00C533CB"/>
    <w:rsid w:val="00C53A43"/>
    <w:rsid w:val="00C53C89"/>
    <w:rsid w:val="00C53F3A"/>
    <w:rsid w:val="00C54142"/>
    <w:rsid w:val="00C543ED"/>
    <w:rsid w:val="00C54413"/>
    <w:rsid w:val="00C54589"/>
    <w:rsid w:val="00C54E8A"/>
    <w:rsid w:val="00C55618"/>
    <w:rsid w:val="00C55902"/>
    <w:rsid w:val="00C5592E"/>
    <w:rsid w:val="00C55C50"/>
    <w:rsid w:val="00C55E34"/>
    <w:rsid w:val="00C5609A"/>
    <w:rsid w:val="00C565E1"/>
    <w:rsid w:val="00C56A96"/>
    <w:rsid w:val="00C56CB5"/>
    <w:rsid w:val="00C572C1"/>
    <w:rsid w:val="00C57359"/>
    <w:rsid w:val="00C57480"/>
    <w:rsid w:val="00C57585"/>
    <w:rsid w:val="00C577EB"/>
    <w:rsid w:val="00C57855"/>
    <w:rsid w:val="00C57A17"/>
    <w:rsid w:val="00C57B47"/>
    <w:rsid w:val="00C60024"/>
    <w:rsid w:val="00C60081"/>
    <w:rsid w:val="00C60650"/>
    <w:rsid w:val="00C60AA1"/>
    <w:rsid w:val="00C60D92"/>
    <w:rsid w:val="00C60DCB"/>
    <w:rsid w:val="00C60E7E"/>
    <w:rsid w:val="00C60EDC"/>
    <w:rsid w:val="00C61149"/>
    <w:rsid w:val="00C61166"/>
    <w:rsid w:val="00C612A2"/>
    <w:rsid w:val="00C613AD"/>
    <w:rsid w:val="00C613CB"/>
    <w:rsid w:val="00C615E6"/>
    <w:rsid w:val="00C616EB"/>
    <w:rsid w:val="00C61873"/>
    <w:rsid w:val="00C619F4"/>
    <w:rsid w:val="00C61A21"/>
    <w:rsid w:val="00C61C0D"/>
    <w:rsid w:val="00C61ED7"/>
    <w:rsid w:val="00C61FB7"/>
    <w:rsid w:val="00C61FBF"/>
    <w:rsid w:val="00C61FFC"/>
    <w:rsid w:val="00C6215B"/>
    <w:rsid w:val="00C62339"/>
    <w:rsid w:val="00C62380"/>
    <w:rsid w:val="00C62433"/>
    <w:rsid w:val="00C624EC"/>
    <w:rsid w:val="00C627C7"/>
    <w:rsid w:val="00C62891"/>
    <w:rsid w:val="00C6289E"/>
    <w:rsid w:val="00C628DC"/>
    <w:rsid w:val="00C629CC"/>
    <w:rsid w:val="00C62AA7"/>
    <w:rsid w:val="00C62EBE"/>
    <w:rsid w:val="00C63444"/>
    <w:rsid w:val="00C634C2"/>
    <w:rsid w:val="00C63533"/>
    <w:rsid w:val="00C6397E"/>
    <w:rsid w:val="00C639CB"/>
    <w:rsid w:val="00C639E4"/>
    <w:rsid w:val="00C642CB"/>
    <w:rsid w:val="00C642E7"/>
    <w:rsid w:val="00C64509"/>
    <w:rsid w:val="00C6450D"/>
    <w:rsid w:val="00C648FE"/>
    <w:rsid w:val="00C649E1"/>
    <w:rsid w:val="00C64A93"/>
    <w:rsid w:val="00C64C21"/>
    <w:rsid w:val="00C64C6D"/>
    <w:rsid w:val="00C64D67"/>
    <w:rsid w:val="00C64D9B"/>
    <w:rsid w:val="00C64F3E"/>
    <w:rsid w:val="00C65009"/>
    <w:rsid w:val="00C650E2"/>
    <w:rsid w:val="00C65291"/>
    <w:rsid w:val="00C65638"/>
    <w:rsid w:val="00C656C5"/>
    <w:rsid w:val="00C659F8"/>
    <w:rsid w:val="00C65A36"/>
    <w:rsid w:val="00C65A5A"/>
    <w:rsid w:val="00C65B66"/>
    <w:rsid w:val="00C65D25"/>
    <w:rsid w:val="00C65E3E"/>
    <w:rsid w:val="00C66079"/>
    <w:rsid w:val="00C661F6"/>
    <w:rsid w:val="00C66299"/>
    <w:rsid w:val="00C6693E"/>
    <w:rsid w:val="00C66F57"/>
    <w:rsid w:val="00C671A0"/>
    <w:rsid w:val="00C6727F"/>
    <w:rsid w:val="00C67351"/>
    <w:rsid w:val="00C67616"/>
    <w:rsid w:val="00C67822"/>
    <w:rsid w:val="00C67B9F"/>
    <w:rsid w:val="00C67BF5"/>
    <w:rsid w:val="00C70020"/>
    <w:rsid w:val="00C70136"/>
    <w:rsid w:val="00C7028E"/>
    <w:rsid w:val="00C70C8E"/>
    <w:rsid w:val="00C70F95"/>
    <w:rsid w:val="00C7111E"/>
    <w:rsid w:val="00C7137E"/>
    <w:rsid w:val="00C7140F"/>
    <w:rsid w:val="00C714C0"/>
    <w:rsid w:val="00C7168A"/>
    <w:rsid w:val="00C71868"/>
    <w:rsid w:val="00C71A51"/>
    <w:rsid w:val="00C71AD9"/>
    <w:rsid w:val="00C71AEC"/>
    <w:rsid w:val="00C71B3C"/>
    <w:rsid w:val="00C71B80"/>
    <w:rsid w:val="00C71D72"/>
    <w:rsid w:val="00C72103"/>
    <w:rsid w:val="00C72126"/>
    <w:rsid w:val="00C721A1"/>
    <w:rsid w:val="00C72580"/>
    <w:rsid w:val="00C7277D"/>
    <w:rsid w:val="00C72F87"/>
    <w:rsid w:val="00C72FA6"/>
    <w:rsid w:val="00C7312D"/>
    <w:rsid w:val="00C73250"/>
    <w:rsid w:val="00C73631"/>
    <w:rsid w:val="00C73A5A"/>
    <w:rsid w:val="00C73C3B"/>
    <w:rsid w:val="00C73DB5"/>
    <w:rsid w:val="00C73EF0"/>
    <w:rsid w:val="00C73FB4"/>
    <w:rsid w:val="00C740CD"/>
    <w:rsid w:val="00C746AD"/>
    <w:rsid w:val="00C7479F"/>
    <w:rsid w:val="00C747BC"/>
    <w:rsid w:val="00C74941"/>
    <w:rsid w:val="00C74D5D"/>
    <w:rsid w:val="00C74F11"/>
    <w:rsid w:val="00C7508F"/>
    <w:rsid w:val="00C75539"/>
    <w:rsid w:val="00C75570"/>
    <w:rsid w:val="00C75663"/>
    <w:rsid w:val="00C756D1"/>
    <w:rsid w:val="00C75744"/>
    <w:rsid w:val="00C75757"/>
    <w:rsid w:val="00C75E01"/>
    <w:rsid w:val="00C75EE1"/>
    <w:rsid w:val="00C7604D"/>
    <w:rsid w:val="00C7623E"/>
    <w:rsid w:val="00C76545"/>
    <w:rsid w:val="00C76923"/>
    <w:rsid w:val="00C76C8E"/>
    <w:rsid w:val="00C76D70"/>
    <w:rsid w:val="00C7700B"/>
    <w:rsid w:val="00C77161"/>
    <w:rsid w:val="00C77351"/>
    <w:rsid w:val="00C773EC"/>
    <w:rsid w:val="00C774B6"/>
    <w:rsid w:val="00C7764A"/>
    <w:rsid w:val="00C777F7"/>
    <w:rsid w:val="00C77A75"/>
    <w:rsid w:val="00C77B83"/>
    <w:rsid w:val="00C77B8E"/>
    <w:rsid w:val="00C77BF2"/>
    <w:rsid w:val="00C77D2A"/>
    <w:rsid w:val="00C77FBA"/>
    <w:rsid w:val="00C80172"/>
    <w:rsid w:val="00C80646"/>
    <w:rsid w:val="00C80852"/>
    <w:rsid w:val="00C809A3"/>
    <w:rsid w:val="00C80A46"/>
    <w:rsid w:val="00C81123"/>
    <w:rsid w:val="00C81237"/>
    <w:rsid w:val="00C81399"/>
    <w:rsid w:val="00C81430"/>
    <w:rsid w:val="00C81472"/>
    <w:rsid w:val="00C8183F"/>
    <w:rsid w:val="00C81989"/>
    <w:rsid w:val="00C81EE3"/>
    <w:rsid w:val="00C82249"/>
    <w:rsid w:val="00C82A31"/>
    <w:rsid w:val="00C82CD1"/>
    <w:rsid w:val="00C82FAF"/>
    <w:rsid w:val="00C83151"/>
    <w:rsid w:val="00C832AE"/>
    <w:rsid w:val="00C837D7"/>
    <w:rsid w:val="00C838A0"/>
    <w:rsid w:val="00C8392B"/>
    <w:rsid w:val="00C83AFF"/>
    <w:rsid w:val="00C83BC8"/>
    <w:rsid w:val="00C83D3B"/>
    <w:rsid w:val="00C84013"/>
    <w:rsid w:val="00C84926"/>
    <w:rsid w:val="00C849FC"/>
    <w:rsid w:val="00C84E9B"/>
    <w:rsid w:val="00C84F87"/>
    <w:rsid w:val="00C84FC9"/>
    <w:rsid w:val="00C84FEB"/>
    <w:rsid w:val="00C8533B"/>
    <w:rsid w:val="00C8568A"/>
    <w:rsid w:val="00C85755"/>
    <w:rsid w:val="00C8582E"/>
    <w:rsid w:val="00C8585F"/>
    <w:rsid w:val="00C85AAF"/>
    <w:rsid w:val="00C85AFD"/>
    <w:rsid w:val="00C85D98"/>
    <w:rsid w:val="00C85EBE"/>
    <w:rsid w:val="00C85F89"/>
    <w:rsid w:val="00C8604C"/>
    <w:rsid w:val="00C86110"/>
    <w:rsid w:val="00C86255"/>
    <w:rsid w:val="00C8648E"/>
    <w:rsid w:val="00C86A49"/>
    <w:rsid w:val="00C86D84"/>
    <w:rsid w:val="00C86DFD"/>
    <w:rsid w:val="00C86E59"/>
    <w:rsid w:val="00C86EFC"/>
    <w:rsid w:val="00C86F63"/>
    <w:rsid w:val="00C8709C"/>
    <w:rsid w:val="00C8720D"/>
    <w:rsid w:val="00C87394"/>
    <w:rsid w:val="00C873B1"/>
    <w:rsid w:val="00C874B4"/>
    <w:rsid w:val="00C87686"/>
    <w:rsid w:val="00C878CE"/>
    <w:rsid w:val="00C87A65"/>
    <w:rsid w:val="00C87B0F"/>
    <w:rsid w:val="00C87E16"/>
    <w:rsid w:val="00C90025"/>
    <w:rsid w:val="00C90320"/>
    <w:rsid w:val="00C9034C"/>
    <w:rsid w:val="00C906E4"/>
    <w:rsid w:val="00C90917"/>
    <w:rsid w:val="00C90C34"/>
    <w:rsid w:val="00C9121C"/>
    <w:rsid w:val="00C91260"/>
    <w:rsid w:val="00C91A49"/>
    <w:rsid w:val="00C91A6A"/>
    <w:rsid w:val="00C91BF7"/>
    <w:rsid w:val="00C91C45"/>
    <w:rsid w:val="00C91C56"/>
    <w:rsid w:val="00C91D44"/>
    <w:rsid w:val="00C91D9B"/>
    <w:rsid w:val="00C91EDC"/>
    <w:rsid w:val="00C91F44"/>
    <w:rsid w:val="00C91F99"/>
    <w:rsid w:val="00C92155"/>
    <w:rsid w:val="00C92169"/>
    <w:rsid w:val="00C921FE"/>
    <w:rsid w:val="00C92380"/>
    <w:rsid w:val="00C923AD"/>
    <w:rsid w:val="00C9241C"/>
    <w:rsid w:val="00C92619"/>
    <w:rsid w:val="00C928E2"/>
    <w:rsid w:val="00C92937"/>
    <w:rsid w:val="00C92A46"/>
    <w:rsid w:val="00C92D51"/>
    <w:rsid w:val="00C92E53"/>
    <w:rsid w:val="00C92F83"/>
    <w:rsid w:val="00C930AD"/>
    <w:rsid w:val="00C93166"/>
    <w:rsid w:val="00C93299"/>
    <w:rsid w:val="00C93E5B"/>
    <w:rsid w:val="00C93E5D"/>
    <w:rsid w:val="00C93FDC"/>
    <w:rsid w:val="00C940FA"/>
    <w:rsid w:val="00C94316"/>
    <w:rsid w:val="00C94367"/>
    <w:rsid w:val="00C9467D"/>
    <w:rsid w:val="00C9483F"/>
    <w:rsid w:val="00C94935"/>
    <w:rsid w:val="00C94D3F"/>
    <w:rsid w:val="00C94EA4"/>
    <w:rsid w:val="00C95036"/>
    <w:rsid w:val="00C9507F"/>
    <w:rsid w:val="00C95460"/>
    <w:rsid w:val="00C9558D"/>
    <w:rsid w:val="00C95681"/>
    <w:rsid w:val="00C957B2"/>
    <w:rsid w:val="00C95A54"/>
    <w:rsid w:val="00C95E64"/>
    <w:rsid w:val="00C9601B"/>
    <w:rsid w:val="00C9607C"/>
    <w:rsid w:val="00C9609E"/>
    <w:rsid w:val="00C96318"/>
    <w:rsid w:val="00C964DC"/>
    <w:rsid w:val="00C968D9"/>
    <w:rsid w:val="00C970CF"/>
    <w:rsid w:val="00C97270"/>
    <w:rsid w:val="00C972A9"/>
    <w:rsid w:val="00C97AD5"/>
    <w:rsid w:val="00C97B16"/>
    <w:rsid w:val="00C97D20"/>
    <w:rsid w:val="00C97FA0"/>
    <w:rsid w:val="00CA0003"/>
    <w:rsid w:val="00CA0176"/>
    <w:rsid w:val="00CA023E"/>
    <w:rsid w:val="00CA0252"/>
    <w:rsid w:val="00CA02A4"/>
    <w:rsid w:val="00CA0314"/>
    <w:rsid w:val="00CA05C9"/>
    <w:rsid w:val="00CA05ED"/>
    <w:rsid w:val="00CA069A"/>
    <w:rsid w:val="00CA09A5"/>
    <w:rsid w:val="00CA0B39"/>
    <w:rsid w:val="00CA0DE4"/>
    <w:rsid w:val="00CA0ED0"/>
    <w:rsid w:val="00CA10C8"/>
    <w:rsid w:val="00CA11C4"/>
    <w:rsid w:val="00CA124C"/>
    <w:rsid w:val="00CA1477"/>
    <w:rsid w:val="00CA1511"/>
    <w:rsid w:val="00CA15F4"/>
    <w:rsid w:val="00CA171D"/>
    <w:rsid w:val="00CA2121"/>
    <w:rsid w:val="00CA213C"/>
    <w:rsid w:val="00CA3358"/>
    <w:rsid w:val="00CA3468"/>
    <w:rsid w:val="00CA3523"/>
    <w:rsid w:val="00CA37DA"/>
    <w:rsid w:val="00CA3996"/>
    <w:rsid w:val="00CA3AB3"/>
    <w:rsid w:val="00CA3ADB"/>
    <w:rsid w:val="00CA3AF7"/>
    <w:rsid w:val="00CA3C11"/>
    <w:rsid w:val="00CA3F33"/>
    <w:rsid w:val="00CA3FB0"/>
    <w:rsid w:val="00CA40A9"/>
    <w:rsid w:val="00CA453C"/>
    <w:rsid w:val="00CA4741"/>
    <w:rsid w:val="00CA47A4"/>
    <w:rsid w:val="00CA4A62"/>
    <w:rsid w:val="00CA4B08"/>
    <w:rsid w:val="00CA4C21"/>
    <w:rsid w:val="00CA4E50"/>
    <w:rsid w:val="00CA579B"/>
    <w:rsid w:val="00CA57DC"/>
    <w:rsid w:val="00CA5862"/>
    <w:rsid w:val="00CA5A24"/>
    <w:rsid w:val="00CA5CF9"/>
    <w:rsid w:val="00CA5D87"/>
    <w:rsid w:val="00CA5EAD"/>
    <w:rsid w:val="00CA5ED4"/>
    <w:rsid w:val="00CA5ED9"/>
    <w:rsid w:val="00CA5FAE"/>
    <w:rsid w:val="00CA5FB0"/>
    <w:rsid w:val="00CA6643"/>
    <w:rsid w:val="00CA66BE"/>
    <w:rsid w:val="00CA66FB"/>
    <w:rsid w:val="00CA67D1"/>
    <w:rsid w:val="00CA6802"/>
    <w:rsid w:val="00CA685E"/>
    <w:rsid w:val="00CA6B7A"/>
    <w:rsid w:val="00CA6C51"/>
    <w:rsid w:val="00CA6CC1"/>
    <w:rsid w:val="00CA6D34"/>
    <w:rsid w:val="00CA6E70"/>
    <w:rsid w:val="00CA6F7B"/>
    <w:rsid w:val="00CA733C"/>
    <w:rsid w:val="00CA73F0"/>
    <w:rsid w:val="00CA79DD"/>
    <w:rsid w:val="00CB00DB"/>
    <w:rsid w:val="00CB01BE"/>
    <w:rsid w:val="00CB01D4"/>
    <w:rsid w:val="00CB0331"/>
    <w:rsid w:val="00CB03F7"/>
    <w:rsid w:val="00CB06C3"/>
    <w:rsid w:val="00CB0CED"/>
    <w:rsid w:val="00CB1069"/>
    <w:rsid w:val="00CB2063"/>
    <w:rsid w:val="00CB215E"/>
    <w:rsid w:val="00CB22CB"/>
    <w:rsid w:val="00CB22CF"/>
    <w:rsid w:val="00CB2636"/>
    <w:rsid w:val="00CB2790"/>
    <w:rsid w:val="00CB279E"/>
    <w:rsid w:val="00CB2D0D"/>
    <w:rsid w:val="00CB2D0F"/>
    <w:rsid w:val="00CB3152"/>
    <w:rsid w:val="00CB327E"/>
    <w:rsid w:val="00CB32DA"/>
    <w:rsid w:val="00CB338F"/>
    <w:rsid w:val="00CB370F"/>
    <w:rsid w:val="00CB3748"/>
    <w:rsid w:val="00CB3888"/>
    <w:rsid w:val="00CB3920"/>
    <w:rsid w:val="00CB3986"/>
    <w:rsid w:val="00CB3ACA"/>
    <w:rsid w:val="00CB3B06"/>
    <w:rsid w:val="00CB3B19"/>
    <w:rsid w:val="00CB3BE2"/>
    <w:rsid w:val="00CB3C0C"/>
    <w:rsid w:val="00CB3DF8"/>
    <w:rsid w:val="00CB3ECC"/>
    <w:rsid w:val="00CB4292"/>
    <w:rsid w:val="00CB42F3"/>
    <w:rsid w:val="00CB4366"/>
    <w:rsid w:val="00CB4539"/>
    <w:rsid w:val="00CB45C4"/>
    <w:rsid w:val="00CB4721"/>
    <w:rsid w:val="00CB4964"/>
    <w:rsid w:val="00CB4C1A"/>
    <w:rsid w:val="00CB4F10"/>
    <w:rsid w:val="00CB4F29"/>
    <w:rsid w:val="00CB5000"/>
    <w:rsid w:val="00CB5096"/>
    <w:rsid w:val="00CB50B1"/>
    <w:rsid w:val="00CB5654"/>
    <w:rsid w:val="00CB5AB0"/>
    <w:rsid w:val="00CB5AC1"/>
    <w:rsid w:val="00CB5BA8"/>
    <w:rsid w:val="00CB5D00"/>
    <w:rsid w:val="00CB5D52"/>
    <w:rsid w:val="00CB62E2"/>
    <w:rsid w:val="00CB6383"/>
    <w:rsid w:val="00CB67B4"/>
    <w:rsid w:val="00CB67CB"/>
    <w:rsid w:val="00CB6BEC"/>
    <w:rsid w:val="00CB6E87"/>
    <w:rsid w:val="00CB7028"/>
    <w:rsid w:val="00CB70E4"/>
    <w:rsid w:val="00CB7250"/>
    <w:rsid w:val="00CB733C"/>
    <w:rsid w:val="00CB7547"/>
    <w:rsid w:val="00CB754B"/>
    <w:rsid w:val="00CB7605"/>
    <w:rsid w:val="00CC0458"/>
    <w:rsid w:val="00CC049F"/>
    <w:rsid w:val="00CC08E1"/>
    <w:rsid w:val="00CC11F8"/>
    <w:rsid w:val="00CC129F"/>
    <w:rsid w:val="00CC1377"/>
    <w:rsid w:val="00CC13BD"/>
    <w:rsid w:val="00CC17FD"/>
    <w:rsid w:val="00CC1C8A"/>
    <w:rsid w:val="00CC1EC3"/>
    <w:rsid w:val="00CC2231"/>
    <w:rsid w:val="00CC2357"/>
    <w:rsid w:val="00CC240B"/>
    <w:rsid w:val="00CC24B5"/>
    <w:rsid w:val="00CC272E"/>
    <w:rsid w:val="00CC2773"/>
    <w:rsid w:val="00CC2922"/>
    <w:rsid w:val="00CC2A4B"/>
    <w:rsid w:val="00CC2C2F"/>
    <w:rsid w:val="00CC2E15"/>
    <w:rsid w:val="00CC2E1F"/>
    <w:rsid w:val="00CC2F57"/>
    <w:rsid w:val="00CC2F5F"/>
    <w:rsid w:val="00CC3098"/>
    <w:rsid w:val="00CC313B"/>
    <w:rsid w:val="00CC324A"/>
    <w:rsid w:val="00CC337A"/>
    <w:rsid w:val="00CC3858"/>
    <w:rsid w:val="00CC3913"/>
    <w:rsid w:val="00CC3928"/>
    <w:rsid w:val="00CC39D4"/>
    <w:rsid w:val="00CC3D88"/>
    <w:rsid w:val="00CC3FAB"/>
    <w:rsid w:val="00CC4021"/>
    <w:rsid w:val="00CC40BF"/>
    <w:rsid w:val="00CC412B"/>
    <w:rsid w:val="00CC42BC"/>
    <w:rsid w:val="00CC44A7"/>
    <w:rsid w:val="00CC4650"/>
    <w:rsid w:val="00CC4723"/>
    <w:rsid w:val="00CC47BC"/>
    <w:rsid w:val="00CC47D5"/>
    <w:rsid w:val="00CC492C"/>
    <w:rsid w:val="00CC49E1"/>
    <w:rsid w:val="00CC4D97"/>
    <w:rsid w:val="00CC4E21"/>
    <w:rsid w:val="00CC4F3E"/>
    <w:rsid w:val="00CC5263"/>
    <w:rsid w:val="00CC54F8"/>
    <w:rsid w:val="00CC5641"/>
    <w:rsid w:val="00CC57A2"/>
    <w:rsid w:val="00CC5860"/>
    <w:rsid w:val="00CC58F1"/>
    <w:rsid w:val="00CC58F9"/>
    <w:rsid w:val="00CC5A0E"/>
    <w:rsid w:val="00CC5D2B"/>
    <w:rsid w:val="00CC5D2E"/>
    <w:rsid w:val="00CC6055"/>
    <w:rsid w:val="00CC6282"/>
    <w:rsid w:val="00CC659D"/>
    <w:rsid w:val="00CC6799"/>
    <w:rsid w:val="00CC6838"/>
    <w:rsid w:val="00CC6975"/>
    <w:rsid w:val="00CC6BF6"/>
    <w:rsid w:val="00CC6C20"/>
    <w:rsid w:val="00CC6D91"/>
    <w:rsid w:val="00CC6DA3"/>
    <w:rsid w:val="00CC708B"/>
    <w:rsid w:val="00CC73C4"/>
    <w:rsid w:val="00CC7447"/>
    <w:rsid w:val="00CC7450"/>
    <w:rsid w:val="00CC76A4"/>
    <w:rsid w:val="00CC7A96"/>
    <w:rsid w:val="00CC7B84"/>
    <w:rsid w:val="00CC7D1A"/>
    <w:rsid w:val="00CD0001"/>
    <w:rsid w:val="00CD039D"/>
    <w:rsid w:val="00CD073C"/>
    <w:rsid w:val="00CD0755"/>
    <w:rsid w:val="00CD0898"/>
    <w:rsid w:val="00CD092A"/>
    <w:rsid w:val="00CD0AAC"/>
    <w:rsid w:val="00CD1111"/>
    <w:rsid w:val="00CD13EF"/>
    <w:rsid w:val="00CD14D3"/>
    <w:rsid w:val="00CD15CA"/>
    <w:rsid w:val="00CD15F8"/>
    <w:rsid w:val="00CD1B08"/>
    <w:rsid w:val="00CD1B41"/>
    <w:rsid w:val="00CD1BD1"/>
    <w:rsid w:val="00CD1DB7"/>
    <w:rsid w:val="00CD1ECE"/>
    <w:rsid w:val="00CD2006"/>
    <w:rsid w:val="00CD207A"/>
    <w:rsid w:val="00CD222B"/>
    <w:rsid w:val="00CD24A6"/>
    <w:rsid w:val="00CD25D2"/>
    <w:rsid w:val="00CD2881"/>
    <w:rsid w:val="00CD29C2"/>
    <w:rsid w:val="00CD2ACA"/>
    <w:rsid w:val="00CD2B1E"/>
    <w:rsid w:val="00CD2BE6"/>
    <w:rsid w:val="00CD2BEE"/>
    <w:rsid w:val="00CD2C80"/>
    <w:rsid w:val="00CD2EE2"/>
    <w:rsid w:val="00CD369E"/>
    <w:rsid w:val="00CD38E8"/>
    <w:rsid w:val="00CD3A89"/>
    <w:rsid w:val="00CD3B8D"/>
    <w:rsid w:val="00CD3CB9"/>
    <w:rsid w:val="00CD3DB8"/>
    <w:rsid w:val="00CD3DF9"/>
    <w:rsid w:val="00CD3EDB"/>
    <w:rsid w:val="00CD415A"/>
    <w:rsid w:val="00CD457D"/>
    <w:rsid w:val="00CD46B1"/>
    <w:rsid w:val="00CD48F4"/>
    <w:rsid w:val="00CD49A5"/>
    <w:rsid w:val="00CD4A39"/>
    <w:rsid w:val="00CD4ACF"/>
    <w:rsid w:val="00CD4BAE"/>
    <w:rsid w:val="00CD4C31"/>
    <w:rsid w:val="00CD4C4F"/>
    <w:rsid w:val="00CD4C73"/>
    <w:rsid w:val="00CD4F75"/>
    <w:rsid w:val="00CD5373"/>
    <w:rsid w:val="00CD55DD"/>
    <w:rsid w:val="00CD56C7"/>
    <w:rsid w:val="00CD5D77"/>
    <w:rsid w:val="00CD5F8F"/>
    <w:rsid w:val="00CD61AE"/>
    <w:rsid w:val="00CD6224"/>
    <w:rsid w:val="00CD6370"/>
    <w:rsid w:val="00CD6384"/>
    <w:rsid w:val="00CD6700"/>
    <w:rsid w:val="00CD67C0"/>
    <w:rsid w:val="00CD69D2"/>
    <w:rsid w:val="00CD6A4C"/>
    <w:rsid w:val="00CD6B3A"/>
    <w:rsid w:val="00CD6E41"/>
    <w:rsid w:val="00CD6EA2"/>
    <w:rsid w:val="00CD6F1F"/>
    <w:rsid w:val="00CD7064"/>
    <w:rsid w:val="00CD72B3"/>
    <w:rsid w:val="00CD756B"/>
    <w:rsid w:val="00CD7CDB"/>
    <w:rsid w:val="00CD7D6F"/>
    <w:rsid w:val="00CD7E2F"/>
    <w:rsid w:val="00CD7EB4"/>
    <w:rsid w:val="00CD7F01"/>
    <w:rsid w:val="00CE0011"/>
    <w:rsid w:val="00CE06ED"/>
    <w:rsid w:val="00CE0B56"/>
    <w:rsid w:val="00CE0C6F"/>
    <w:rsid w:val="00CE0D09"/>
    <w:rsid w:val="00CE0D31"/>
    <w:rsid w:val="00CE1187"/>
    <w:rsid w:val="00CE11DE"/>
    <w:rsid w:val="00CE12BC"/>
    <w:rsid w:val="00CE1583"/>
    <w:rsid w:val="00CE1810"/>
    <w:rsid w:val="00CE1AF0"/>
    <w:rsid w:val="00CE1E35"/>
    <w:rsid w:val="00CE1FD7"/>
    <w:rsid w:val="00CE2186"/>
    <w:rsid w:val="00CE21D6"/>
    <w:rsid w:val="00CE22BD"/>
    <w:rsid w:val="00CE2717"/>
    <w:rsid w:val="00CE2786"/>
    <w:rsid w:val="00CE27B2"/>
    <w:rsid w:val="00CE27E5"/>
    <w:rsid w:val="00CE29DD"/>
    <w:rsid w:val="00CE2E78"/>
    <w:rsid w:val="00CE2EEC"/>
    <w:rsid w:val="00CE3190"/>
    <w:rsid w:val="00CE33DA"/>
    <w:rsid w:val="00CE3498"/>
    <w:rsid w:val="00CE34E1"/>
    <w:rsid w:val="00CE34F6"/>
    <w:rsid w:val="00CE3C50"/>
    <w:rsid w:val="00CE3CB7"/>
    <w:rsid w:val="00CE3D3B"/>
    <w:rsid w:val="00CE3F05"/>
    <w:rsid w:val="00CE3F6D"/>
    <w:rsid w:val="00CE4113"/>
    <w:rsid w:val="00CE4351"/>
    <w:rsid w:val="00CE4558"/>
    <w:rsid w:val="00CE4987"/>
    <w:rsid w:val="00CE4C55"/>
    <w:rsid w:val="00CE4EA7"/>
    <w:rsid w:val="00CE4EF8"/>
    <w:rsid w:val="00CE4FBC"/>
    <w:rsid w:val="00CE502B"/>
    <w:rsid w:val="00CE538E"/>
    <w:rsid w:val="00CE5431"/>
    <w:rsid w:val="00CE54E0"/>
    <w:rsid w:val="00CE5623"/>
    <w:rsid w:val="00CE5ADB"/>
    <w:rsid w:val="00CE5EBF"/>
    <w:rsid w:val="00CE5F71"/>
    <w:rsid w:val="00CE6161"/>
    <w:rsid w:val="00CE633E"/>
    <w:rsid w:val="00CE64D8"/>
    <w:rsid w:val="00CE6667"/>
    <w:rsid w:val="00CE66B9"/>
    <w:rsid w:val="00CE6CCD"/>
    <w:rsid w:val="00CE734E"/>
    <w:rsid w:val="00CE742E"/>
    <w:rsid w:val="00CE76BE"/>
    <w:rsid w:val="00CE77DA"/>
    <w:rsid w:val="00CE7806"/>
    <w:rsid w:val="00CE7A47"/>
    <w:rsid w:val="00CE7ABC"/>
    <w:rsid w:val="00CE7D77"/>
    <w:rsid w:val="00CE7FDF"/>
    <w:rsid w:val="00CF008D"/>
    <w:rsid w:val="00CF0219"/>
    <w:rsid w:val="00CF025A"/>
    <w:rsid w:val="00CF04CF"/>
    <w:rsid w:val="00CF05A2"/>
    <w:rsid w:val="00CF0796"/>
    <w:rsid w:val="00CF0CD8"/>
    <w:rsid w:val="00CF113A"/>
    <w:rsid w:val="00CF1199"/>
    <w:rsid w:val="00CF11EB"/>
    <w:rsid w:val="00CF1243"/>
    <w:rsid w:val="00CF1335"/>
    <w:rsid w:val="00CF17DD"/>
    <w:rsid w:val="00CF19EC"/>
    <w:rsid w:val="00CF215F"/>
    <w:rsid w:val="00CF2414"/>
    <w:rsid w:val="00CF262B"/>
    <w:rsid w:val="00CF26D7"/>
    <w:rsid w:val="00CF28E0"/>
    <w:rsid w:val="00CF2913"/>
    <w:rsid w:val="00CF299A"/>
    <w:rsid w:val="00CF2F04"/>
    <w:rsid w:val="00CF2F1A"/>
    <w:rsid w:val="00CF30E7"/>
    <w:rsid w:val="00CF3224"/>
    <w:rsid w:val="00CF358C"/>
    <w:rsid w:val="00CF3802"/>
    <w:rsid w:val="00CF416C"/>
    <w:rsid w:val="00CF4209"/>
    <w:rsid w:val="00CF4643"/>
    <w:rsid w:val="00CF4A16"/>
    <w:rsid w:val="00CF4BAE"/>
    <w:rsid w:val="00CF4D7B"/>
    <w:rsid w:val="00CF4D81"/>
    <w:rsid w:val="00CF4DAA"/>
    <w:rsid w:val="00CF5377"/>
    <w:rsid w:val="00CF53B3"/>
    <w:rsid w:val="00CF5559"/>
    <w:rsid w:val="00CF5F01"/>
    <w:rsid w:val="00CF5FAB"/>
    <w:rsid w:val="00CF63B3"/>
    <w:rsid w:val="00CF65EB"/>
    <w:rsid w:val="00CF6CBD"/>
    <w:rsid w:val="00CF6DDA"/>
    <w:rsid w:val="00CF6E7A"/>
    <w:rsid w:val="00CF70F0"/>
    <w:rsid w:val="00CF711B"/>
    <w:rsid w:val="00CF7401"/>
    <w:rsid w:val="00CF758E"/>
    <w:rsid w:val="00CF75D1"/>
    <w:rsid w:val="00CF75D6"/>
    <w:rsid w:val="00CF763C"/>
    <w:rsid w:val="00CF7888"/>
    <w:rsid w:val="00CF788D"/>
    <w:rsid w:val="00CF79DC"/>
    <w:rsid w:val="00CF7CAA"/>
    <w:rsid w:val="00CF7DCD"/>
    <w:rsid w:val="00CF7DD2"/>
    <w:rsid w:val="00CF7ECD"/>
    <w:rsid w:val="00CF7F2D"/>
    <w:rsid w:val="00D00247"/>
    <w:rsid w:val="00D0037E"/>
    <w:rsid w:val="00D00387"/>
    <w:rsid w:val="00D003CE"/>
    <w:rsid w:val="00D0081A"/>
    <w:rsid w:val="00D008B0"/>
    <w:rsid w:val="00D008F5"/>
    <w:rsid w:val="00D00F19"/>
    <w:rsid w:val="00D011F0"/>
    <w:rsid w:val="00D0130A"/>
    <w:rsid w:val="00D015E2"/>
    <w:rsid w:val="00D01659"/>
    <w:rsid w:val="00D01A3D"/>
    <w:rsid w:val="00D01B57"/>
    <w:rsid w:val="00D01B67"/>
    <w:rsid w:val="00D01B76"/>
    <w:rsid w:val="00D01F2F"/>
    <w:rsid w:val="00D01FC5"/>
    <w:rsid w:val="00D02427"/>
    <w:rsid w:val="00D02596"/>
    <w:rsid w:val="00D0274A"/>
    <w:rsid w:val="00D027CE"/>
    <w:rsid w:val="00D02AEB"/>
    <w:rsid w:val="00D02B8F"/>
    <w:rsid w:val="00D02EC9"/>
    <w:rsid w:val="00D02F39"/>
    <w:rsid w:val="00D0316B"/>
    <w:rsid w:val="00D031DE"/>
    <w:rsid w:val="00D0333D"/>
    <w:rsid w:val="00D0351B"/>
    <w:rsid w:val="00D0387F"/>
    <w:rsid w:val="00D0392F"/>
    <w:rsid w:val="00D03982"/>
    <w:rsid w:val="00D03C07"/>
    <w:rsid w:val="00D03C4A"/>
    <w:rsid w:val="00D03FEF"/>
    <w:rsid w:val="00D0402B"/>
    <w:rsid w:val="00D04662"/>
    <w:rsid w:val="00D047B4"/>
    <w:rsid w:val="00D047C4"/>
    <w:rsid w:val="00D0496A"/>
    <w:rsid w:val="00D04A6F"/>
    <w:rsid w:val="00D04DDA"/>
    <w:rsid w:val="00D04E2D"/>
    <w:rsid w:val="00D04FA5"/>
    <w:rsid w:val="00D050B8"/>
    <w:rsid w:val="00D0513E"/>
    <w:rsid w:val="00D05375"/>
    <w:rsid w:val="00D05653"/>
    <w:rsid w:val="00D0573D"/>
    <w:rsid w:val="00D057FB"/>
    <w:rsid w:val="00D05CCF"/>
    <w:rsid w:val="00D05D57"/>
    <w:rsid w:val="00D05ED6"/>
    <w:rsid w:val="00D06045"/>
    <w:rsid w:val="00D06281"/>
    <w:rsid w:val="00D0663B"/>
    <w:rsid w:val="00D06712"/>
    <w:rsid w:val="00D073E6"/>
    <w:rsid w:val="00D0746D"/>
    <w:rsid w:val="00D0756C"/>
    <w:rsid w:val="00D07694"/>
    <w:rsid w:val="00D0797F"/>
    <w:rsid w:val="00D07C90"/>
    <w:rsid w:val="00D07CA2"/>
    <w:rsid w:val="00D07E08"/>
    <w:rsid w:val="00D10167"/>
    <w:rsid w:val="00D10451"/>
    <w:rsid w:val="00D10768"/>
    <w:rsid w:val="00D10CF3"/>
    <w:rsid w:val="00D10EAB"/>
    <w:rsid w:val="00D11638"/>
    <w:rsid w:val="00D1175F"/>
    <w:rsid w:val="00D1187D"/>
    <w:rsid w:val="00D118F2"/>
    <w:rsid w:val="00D11A5A"/>
    <w:rsid w:val="00D11F0A"/>
    <w:rsid w:val="00D11F1B"/>
    <w:rsid w:val="00D12033"/>
    <w:rsid w:val="00D121FA"/>
    <w:rsid w:val="00D1224C"/>
    <w:rsid w:val="00D1244A"/>
    <w:rsid w:val="00D125D0"/>
    <w:rsid w:val="00D128C2"/>
    <w:rsid w:val="00D12908"/>
    <w:rsid w:val="00D12A9B"/>
    <w:rsid w:val="00D12D33"/>
    <w:rsid w:val="00D12FAB"/>
    <w:rsid w:val="00D131C5"/>
    <w:rsid w:val="00D13577"/>
    <w:rsid w:val="00D138C5"/>
    <w:rsid w:val="00D138FC"/>
    <w:rsid w:val="00D139E5"/>
    <w:rsid w:val="00D13AD5"/>
    <w:rsid w:val="00D13B69"/>
    <w:rsid w:val="00D13F51"/>
    <w:rsid w:val="00D14070"/>
    <w:rsid w:val="00D141E6"/>
    <w:rsid w:val="00D142BC"/>
    <w:rsid w:val="00D14806"/>
    <w:rsid w:val="00D1487F"/>
    <w:rsid w:val="00D14994"/>
    <w:rsid w:val="00D14A64"/>
    <w:rsid w:val="00D14CB5"/>
    <w:rsid w:val="00D14EC7"/>
    <w:rsid w:val="00D150CD"/>
    <w:rsid w:val="00D152B3"/>
    <w:rsid w:val="00D15413"/>
    <w:rsid w:val="00D15538"/>
    <w:rsid w:val="00D15728"/>
    <w:rsid w:val="00D1585D"/>
    <w:rsid w:val="00D1587C"/>
    <w:rsid w:val="00D15BBB"/>
    <w:rsid w:val="00D15BE6"/>
    <w:rsid w:val="00D15D79"/>
    <w:rsid w:val="00D15E9F"/>
    <w:rsid w:val="00D15F99"/>
    <w:rsid w:val="00D1628B"/>
    <w:rsid w:val="00D16401"/>
    <w:rsid w:val="00D16480"/>
    <w:rsid w:val="00D165E2"/>
    <w:rsid w:val="00D16657"/>
    <w:rsid w:val="00D16B06"/>
    <w:rsid w:val="00D16CDA"/>
    <w:rsid w:val="00D16D2C"/>
    <w:rsid w:val="00D17195"/>
    <w:rsid w:val="00D172C2"/>
    <w:rsid w:val="00D1740E"/>
    <w:rsid w:val="00D17BBE"/>
    <w:rsid w:val="00D17E9B"/>
    <w:rsid w:val="00D17FA3"/>
    <w:rsid w:val="00D202F2"/>
    <w:rsid w:val="00D203D3"/>
    <w:rsid w:val="00D2073B"/>
    <w:rsid w:val="00D20B47"/>
    <w:rsid w:val="00D20D66"/>
    <w:rsid w:val="00D21255"/>
    <w:rsid w:val="00D212FC"/>
    <w:rsid w:val="00D21618"/>
    <w:rsid w:val="00D21ACA"/>
    <w:rsid w:val="00D21C7C"/>
    <w:rsid w:val="00D21E2B"/>
    <w:rsid w:val="00D21EEB"/>
    <w:rsid w:val="00D21F05"/>
    <w:rsid w:val="00D22134"/>
    <w:rsid w:val="00D22149"/>
    <w:rsid w:val="00D221B0"/>
    <w:rsid w:val="00D221B6"/>
    <w:rsid w:val="00D222AE"/>
    <w:rsid w:val="00D222C6"/>
    <w:rsid w:val="00D22387"/>
    <w:rsid w:val="00D223A9"/>
    <w:rsid w:val="00D2247E"/>
    <w:rsid w:val="00D22502"/>
    <w:rsid w:val="00D22518"/>
    <w:rsid w:val="00D227AA"/>
    <w:rsid w:val="00D22BBA"/>
    <w:rsid w:val="00D22F71"/>
    <w:rsid w:val="00D23109"/>
    <w:rsid w:val="00D2340A"/>
    <w:rsid w:val="00D234C2"/>
    <w:rsid w:val="00D237A0"/>
    <w:rsid w:val="00D237DF"/>
    <w:rsid w:val="00D239F8"/>
    <w:rsid w:val="00D23B6D"/>
    <w:rsid w:val="00D23BF2"/>
    <w:rsid w:val="00D23C7E"/>
    <w:rsid w:val="00D23D92"/>
    <w:rsid w:val="00D24041"/>
    <w:rsid w:val="00D241ED"/>
    <w:rsid w:val="00D243FC"/>
    <w:rsid w:val="00D24599"/>
    <w:rsid w:val="00D24B7E"/>
    <w:rsid w:val="00D24BC8"/>
    <w:rsid w:val="00D24CEE"/>
    <w:rsid w:val="00D24D75"/>
    <w:rsid w:val="00D25172"/>
    <w:rsid w:val="00D25442"/>
    <w:rsid w:val="00D2561B"/>
    <w:rsid w:val="00D257F4"/>
    <w:rsid w:val="00D25C9D"/>
    <w:rsid w:val="00D25CAB"/>
    <w:rsid w:val="00D25E71"/>
    <w:rsid w:val="00D261FE"/>
    <w:rsid w:val="00D262F5"/>
    <w:rsid w:val="00D264F0"/>
    <w:rsid w:val="00D267BE"/>
    <w:rsid w:val="00D268D4"/>
    <w:rsid w:val="00D26C4B"/>
    <w:rsid w:val="00D26D32"/>
    <w:rsid w:val="00D27022"/>
    <w:rsid w:val="00D270AD"/>
    <w:rsid w:val="00D277A7"/>
    <w:rsid w:val="00D2781D"/>
    <w:rsid w:val="00D278EF"/>
    <w:rsid w:val="00D27983"/>
    <w:rsid w:val="00D27B09"/>
    <w:rsid w:val="00D27B2F"/>
    <w:rsid w:val="00D27C13"/>
    <w:rsid w:val="00D27CFC"/>
    <w:rsid w:val="00D27F46"/>
    <w:rsid w:val="00D30063"/>
    <w:rsid w:val="00D300FA"/>
    <w:rsid w:val="00D30232"/>
    <w:rsid w:val="00D303F8"/>
    <w:rsid w:val="00D305EC"/>
    <w:rsid w:val="00D306B7"/>
    <w:rsid w:val="00D30A30"/>
    <w:rsid w:val="00D30B29"/>
    <w:rsid w:val="00D30C6F"/>
    <w:rsid w:val="00D30DCF"/>
    <w:rsid w:val="00D30E70"/>
    <w:rsid w:val="00D30F3C"/>
    <w:rsid w:val="00D30FE6"/>
    <w:rsid w:val="00D310DF"/>
    <w:rsid w:val="00D312F7"/>
    <w:rsid w:val="00D313F5"/>
    <w:rsid w:val="00D316C6"/>
    <w:rsid w:val="00D31711"/>
    <w:rsid w:val="00D31986"/>
    <w:rsid w:val="00D3219B"/>
    <w:rsid w:val="00D321A7"/>
    <w:rsid w:val="00D323E6"/>
    <w:rsid w:val="00D32554"/>
    <w:rsid w:val="00D32563"/>
    <w:rsid w:val="00D32655"/>
    <w:rsid w:val="00D32968"/>
    <w:rsid w:val="00D32C2E"/>
    <w:rsid w:val="00D32D47"/>
    <w:rsid w:val="00D334CE"/>
    <w:rsid w:val="00D33724"/>
    <w:rsid w:val="00D339CE"/>
    <w:rsid w:val="00D33B73"/>
    <w:rsid w:val="00D33FA2"/>
    <w:rsid w:val="00D34144"/>
    <w:rsid w:val="00D341B8"/>
    <w:rsid w:val="00D344A1"/>
    <w:rsid w:val="00D3458C"/>
    <w:rsid w:val="00D3468F"/>
    <w:rsid w:val="00D34873"/>
    <w:rsid w:val="00D34BD1"/>
    <w:rsid w:val="00D34C95"/>
    <w:rsid w:val="00D34D6E"/>
    <w:rsid w:val="00D34E97"/>
    <w:rsid w:val="00D34EC0"/>
    <w:rsid w:val="00D34ECB"/>
    <w:rsid w:val="00D34FA1"/>
    <w:rsid w:val="00D35023"/>
    <w:rsid w:val="00D351D5"/>
    <w:rsid w:val="00D35364"/>
    <w:rsid w:val="00D3555B"/>
    <w:rsid w:val="00D35850"/>
    <w:rsid w:val="00D35C8D"/>
    <w:rsid w:val="00D35D43"/>
    <w:rsid w:val="00D360AF"/>
    <w:rsid w:val="00D36185"/>
    <w:rsid w:val="00D36275"/>
    <w:rsid w:val="00D36C70"/>
    <w:rsid w:val="00D36E48"/>
    <w:rsid w:val="00D37274"/>
    <w:rsid w:val="00D372D3"/>
    <w:rsid w:val="00D37594"/>
    <w:rsid w:val="00D375D2"/>
    <w:rsid w:val="00D376E1"/>
    <w:rsid w:val="00D377CE"/>
    <w:rsid w:val="00D37F15"/>
    <w:rsid w:val="00D37F5F"/>
    <w:rsid w:val="00D403EF"/>
    <w:rsid w:val="00D40615"/>
    <w:rsid w:val="00D4086D"/>
    <w:rsid w:val="00D40BD3"/>
    <w:rsid w:val="00D40D40"/>
    <w:rsid w:val="00D40E03"/>
    <w:rsid w:val="00D40F2F"/>
    <w:rsid w:val="00D412CE"/>
    <w:rsid w:val="00D4130F"/>
    <w:rsid w:val="00D4139F"/>
    <w:rsid w:val="00D416D1"/>
    <w:rsid w:val="00D416E6"/>
    <w:rsid w:val="00D41940"/>
    <w:rsid w:val="00D41DF1"/>
    <w:rsid w:val="00D41EC3"/>
    <w:rsid w:val="00D42033"/>
    <w:rsid w:val="00D42346"/>
    <w:rsid w:val="00D4275B"/>
    <w:rsid w:val="00D42765"/>
    <w:rsid w:val="00D429C7"/>
    <w:rsid w:val="00D42D06"/>
    <w:rsid w:val="00D42D0B"/>
    <w:rsid w:val="00D42DD8"/>
    <w:rsid w:val="00D42EFF"/>
    <w:rsid w:val="00D42F52"/>
    <w:rsid w:val="00D42FD5"/>
    <w:rsid w:val="00D433C9"/>
    <w:rsid w:val="00D437EE"/>
    <w:rsid w:val="00D44072"/>
    <w:rsid w:val="00D44BC8"/>
    <w:rsid w:val="00D44BE2"/>
    <w:rsid w:val="00D44CF0"/>
    <w:rsid w:val="00D44FFA"/>
    <w:rsid w:val="00D45154"/>
    <w:rsid w:val="00D45211"/>
    <w:rsid w:val="00D4524C"/>
    <w:rsid w:val="00D45261"/>
    <w:rsid w:val="00D45413"/>
    <w:rsid w:val="00D4552B"/>
    <w:rsid w:val="00D456D7"/>
    <w:rsid w:val="00D45849"/>
    <w:rsid w:val="00D45A88"/>
    <w:rsid w:val="00D45B92"/>
    <w:rsid w:val="00D46192"/>
    <w:rsid w:val="00D46389"/>
    <w:rsid w:val="00D463E6"/>
    <w:rsid w:val="00D46542"/>
    <w:rsid w:val="00D465CB"/>
    <w:rsid w:val="00D46618"/>
    <w:rsid w:val="00D466D0"/>
    <w:rsid w:val="00D46849"/>
    <w:rsid w:val="00D46C05"/>
    <w:rsid w:val="00D46D0F"/>
    <w:rsid w:val="00D46E91"/>
    <w:rsid w:val="00D4717D"/>
    <w:rsid w:val="00D4719F"/>
    <w:rsid w:val="00D473B2"/>
    <w:rsid w:val="00D474CB"/>
    <w:rsid w:val="00D47686"/>
    <w:rsid w:val="00D47727"/>
    <w:rsid w:val="00D479ED"/>
    <w:rsid w:val="00D47CED"/>
    <w:rsid w:val="00D47F2D"/>
    <w:rsid w:val="00D50341"/>
    <w:rsid w:val="00D505C4"/>
    <w:rsid w:val="00D508CC"/>
    <w:rsid w:val="00D50A52"/>
    <w:rsid w:val="00D50B64"/>
    <w:rsid w:val="00D50B78"/>
    <w:rsid w:val="00D50BB6"/>
    <w:rsid w:val="00D50C99"/>
    <w:rsid w:val="00D510A2"/>
    <w:rsid w:val="00D510A7"/>
    <w:rsid w:val="00D51518"/>
    <w:rsid w:val="00D5152B"/>
    <w:rsid w:val="00D5177A"/>
    <w:rsid w:val="00D51A27"/>
    <w:rsid w:val="00D51FED"/>
    <w:rsid w:val="00D521D5"/>
    <w:rsid w:val="00D52207"/>
    <w:rsid w:val="00D52397"/>
    <w:rsid w:val="00D523EB"/>
    <w:rsid w:val="00D52408"/>
    <w:rsid w:val="00D524BB"/>
    <w:rsid w:val="00D52856"/>
    <w:rsid w:val="00D52A86"/>
    <w:rsid w:val="00D52B46"/>
    <w:rsid w:val="00D52F87"/>
    <w:rsid w:val="00D536BC"/>
    <w:rsid w:val="00D537D1"/>
    <w:rsid w:val="00D53869"/>
    <w:rsid w:val="00D53AE4"/>
    <w:rsid w:val="00D53AE6"/>
    <w:rsid w:val="00D53F16"/>
    <w:rsid w:val="00D54116"/>
    <w:rsid w:val="00D5414F"/>
    <w:rsid w:val="00D54164"/>
    <w:rsid w:val="00D54181"/>
    <w:rsid w:val="00D5438D"/>
    <w:rsid w:val="00D54538"/>
    <w:rsid w:val="00D545BA"/>
    <w:rsid w:val="00D5499A"/>
    <w:rsid w:val="00D54BFE"/>
    <w:rsid w:val="00D54D12"/>
    <w:rsid w:val="00D54EF0"/>
    <w:rsid w:val="00D54F0B"/>
    <w:rsid w:val="00D54F70"/>
    <w:rsid w:val="00D54FC8"/>
    <w:rsid w:val="00D55196"/>
    <w:rsid w:val="00D552FA"/>
    <w:rsid w:val="00D556E4"/>
    <w:rsid w:val="00D55872"/>
    <w:rsid w:val="00D55C16"/>
    <w:rsid w:val="00D561A8"/>
    <w:rsid w:val="00D56514"/>
    <w:rsid w:val="00D566B9"/>
    <w:rsid w:val="00D5674C"/>
    <w:rsid w:val="00D569AE"/>
    <w:rsid w:val="00D56B15"/>
    <w:rsid w:val="00D56DE2"/>
    <w:rsid w:val="00D56F2B"/>
    <w:rsid w:val="00D57127"/>
    <w:rsid w:val="00D5771C"/>
    <w:rsid w:val="00D57795"/>
    <w:rsid w:val="00D578B7"/>
    <w:rsid w:val="00D57B69"/>
    <w:rsid w:val="00D57D2A"/>
    <w:rsid w:val="00D57E17"/>
    <w:rsid w:val="00D57EB8"/>
    <w:rsid w:val="00D57F1E"/>
    <w:rsid w:val="00D608E2"/>
    <w:rsid w:val="00D60F1E"/>
    <w:rsid w:val="00D60F2F"/>
    <w:rsid w:val="00D60F42"/>
    <w:rsid w:val="00D61085"/>
    <w:rsid w:val="00D610EA"/>
    <w:rsid w:val="00D61138"/>
    <w:rsid w:val="00D6118B"/>
    <w:rsid w:val="00D61AEA"/>
    <w:rsid w:val="00D61B26"/>
    <w:rsid w:val="00D61DF1"/>
    <w:rsid w:val="00D61ED6"/>
    <w:rsid w:val="00D61F90"/>
    <w:rsid w:val="00D6223B"/>
    <w:rsid w:val="00D62662"/>
    <w:rsid w:val="00D626AF"/>
    <w:rsid w:val="00D6292D"/>
    <w:rsid w:val="00D6297C"/>
    <w:rsid w:val="00D62A50"/>
    <w:rsid w:val="00D62F0A"/>
    <w:rsid w:val="00D62F47"/>
    <w:rsid w:val="00D6308E"/>
    <w:rsid w:val="00D630A9"/>
    <w:rsid w:val="00D63231"/>
    <w:rsid w:val="00D634A8"/>
    <w:rsid w:val="00D6351C"/>
    <w:rsid w:val="00D6376D"/>
    <w:rsid w:val="00D639DB"/>
    <w:rsid w:val="00D63BF2"/>
    <w:rsid w:val="00D63C60"/>
    <w:rsid w:val="00D63F21"/>
    <w:rsid w:val="00D63F49"/>
    <w:rsid w:val="00D63FCC"/>
    <w:rsid w:val="00D64025"/>
    <w:rsid w:val="00D6406E"/>
    <w:rsid w:val="00D64372"/>
    <w:rsid w:val="00D64A07"/>
    <w:rsid w:val="00D64B5E"/>
    <w:rsid w:val="00D64BF3"/>
    <w:rsid w:val="00D64FC9"/>
    <w:rsid w:val="00D6521A"/>
    <w:rsid w:val="00D65581"/>
    <w:rsid w:val="00D65BD0"/>
    <w:rsid w:val="00D65CB0"/>
    <w:rsid w:val="00D65D7C"/>
    <w:rsid w:val="00D65E53"/>
    <w:rsid w:val="00D65F24"/>
    <w:rsid w:val="00D664AB"/>
    <w:rsid w:val="00D666CE"/>
    <w:rsid w:val="00D6685A"/>
    <w:rsid w:val="00D66B9D"/>
    <w:rsid w:val="00D66C2B"/>
    <w:rsid w:val="00D66D34"/>
    <w:rsid w:val="00D66D7B"/>
    <w:rsid w:val="00D66EBE"/>
    <w:rsid w:val="00D670DA"/>
    <w:rsid w:val="00D67421"/>
    <w:rsid w:val="00D67836"/>
    <w:rsid w:val="00D678C7"/>
    <w:rsid w:val="00D678EE"/>
    <w:rsid w:val="00D67DA7"/>
    <w:rsid w:val="00D67F07"/>
    <w:rsid w:val="00D70371"/>
    <w:rsid w:val="00D703CC"/>
    <w:rsid w:val="00D70465"/>
    <w:rsid w:val="00D70648"/>
    <w:rsid w:val="00D7096D"/>
    <w:rsid w:val="00D70D4B"/>
    <w:rsid w:val="00D70DBE"/>
    <w:rsid w:val="00D71051"/>
    <w:rsid w:val="00D7105C"/>
    <w:rsid w:val="00D71248"/>
    <w:rsid w:val="00D71C81"/>
    <w:rsid w:val="00D71CC9"/>
    <w:rsid w:val="00D72154"/>
    <w:rsid w:val="00D721F5"/>
    <w:rsid w:val="00D72739"/>
    <w:rsid w:val="00D728FB"/>
    <w:rsid w:val="00D72928"/>
    <w:rsid w:val="00D72A7D"/>
    <w:rsid w:val="00D72E5A"/>
    <w:rsid w:val="00D73045"/>
    <w:rsid w:val="00D731F9"/>
    <w:rsid w:val="00D736DB"/>
    <w:rsid w:val="00D73AC8"/>
    <w:rsid w:val="00D73B66"/>
    <w:rsid w:val="00D73D16"/>
    <w:rsid w:val="00D73D90"/>
    <w:rsid w:val="00D73F91"/>
    <w:rsid w:val="00D7496A"/>
    <w:rsid w:val="00D749D3"/>
    <w:rsid w:val="00D74AA2"/>
    <w:rsid w:val="00D74BC4"/>
    <w:rsid w:val="00D74BF2"/>
    <w:rsid w:val="00D74C7C"/>
    <w:rsid w:val="00D74D01"/>
    <w:rsid w:val="00D74E50"/>
    <w:rsid w:val="00D7504E"/>
    <w:rsid w:val="00D751F0"/>
    <w:rsid w:val="00D75257"/>
    <w:rsid w:val="00D7547E"/>
    <w:rsid w:val="00D757C9"/>
    <w:rsid w:val="00D75809"/>
    <w:rsid w:val="00D75B55"/>
    <w:rsid w:val="00D75E89"/>
    <w:rsid w:val="00D760BE"/>
    <w:rsid w:val="00D760E8"/>
    <w:rsid w:val="00D760F8"/>
    <w:rsid w:val="00D7663F"/>
    <w:rsid w:val="00D7680D"/>
    <w:rsid w:val="00D76BD6"/>
    <w:rsid w:val="00D76CD2"/>
    <w:rsid w:val="00D76D36"/>
    <w:rsid w:val="00D76EC2"/>
    <w:rsid w:val="00D7711E"/>
    <w:rsid w:val="00D77254"/>
    <w:rsid w:val="00D77325"/>
    <w:rsid w:val="00D773B7"/>
    <w:rsid w:val="00D77479"/>
    <w:rsid w:val="00D774F3"/>
    <w:rsid w:val="00D77527"/>
    <w:rsid w:val="00D77531"/>
    <w:rsid w:val="00D77717"/>
    <w:rsid w:val="00D778AF"/>
    <w:rsid w:val="00D77F70"/>
    <w:rsid w:val="00D80314"/>
    <w:rsid w:val="00D80513"/>
    <w:rsid w:val="00D80A38"/>
    <w:rsid w:val="00D80CBA"/>
    <w:rsid w:val="00D80CD1"/>
    <w:rsid w:val="00D81051"/>
    <w:rsid w:val="00D8107D"/>
    <w:rsid w:val="00D810BF"/>
    <w:rsid w:val="00D81405"/>
    <w:rsid w:val="00D81819"/>
    <w:rsid w:val="00D81C90"/>
    <w:rsid w:val="00D81D79"/>
    <w:rsid w:val="00D81E00"/>
    <w:rsid w:val="00D81F47"/>
    <w:rsid w:val="00D821B3"/>
    <w:rsid w:val="00D822B3"/>
    <w:rsid w:val="00D82314"/>
    <w:rsid w:val="00D8245F"/>
    <w:rsid w:val="00D82E47"/>
    <w:rsid w:val="00D83396"/>
    <w:rsid w:val="00D8356C"/>
    <w:rsid w:val="00D8367D"/>
    <w:rsid w:val="00D83B31"/>
    <w:rsid w:val="00D83BC4"/>
    <w:rsid w:val="00D83ED0"/>
    <w:rsid w:val="00D83FE0"/>
    <w:rsid w:val="00D84085"/>
    <w:rsid w:val="00D842A1"/>
    <w:rsid w:val="00D84627"/>
    <w:rsid w:val="00D8463D"/>
    <w:rsid w:val="00D8468D"/>
    <w:rsid w:val="00D846E6"/>
    <w:rsid w:val="00D84948"/>
    <w:rsid w:val="00D84BAA"/>
    <w:rsid w:val="00D84C86"/>
    <w:rsid w:val="00D84D61"/>
    <w:rsid w:val="00D85065"/>
    <w:rsid w:val="00D851F5"/>
    <w:rsid w:val="00D85243"/>
    <w:rsid w:val="00D852E7"/>
    <w:rsid w:val="00D854DB"/>
    <w:rsid w:val="00D8578E"/>
    <w:rsid w:val="00D85AED"/>
    <w:rsid w:val="00D85B82"/>
    <w:rsid w:val="00D85C86"/>
    <w:rsid w:val="00D864C6"/>
    <w:rsid w:val="00D86778"/>
    <w:rsid w:val="00D8680B"/>
    <w:rsid w:val="00D86B4D"/>
    <w:rsid w:val="00D86D21"/>
    <w:rsid w:val="00D8705D"/>
    <w:rsid w:val="00D87220"/>
    <w:rsid w:val="00D87237"/>
    <w:rsid w:val="00D87A2D"/>
    <w:rsid w:val="00D87AC1"/>
    <w:rsid w:val="00D87EEF"/>
    <w:rsid w:val="00D87F24"/>
    <w:rsid w:val="00D87F2B"/>
    <w:rsid w:val="00D87F4E"/>
    <w:rsid w:val="00D900FF"/>
    <w:rsid w:val="00D9012D"/>
    <w:rsid w:val="00D9014D"/>
    <w:rsid w:val="00D904E8"/>
    <w:rsid w:val="00D9072A"/>
    <w:rsid w:val="00D90908"/>
    <w:rsid w:val="00D90943"/>
    <w:rsid w:val="00D90A2E"/>
    <w:rsid w:val="00D90D38"/>
    <w:rsid w:val="00D91092"/>
    <w:rsid w:val="00D913A9"/>
    <w:rsid w:val="00D9144D"/>
    <w:rsid w:val="00D91461"/>
    <w:rsid w:val="00D915E0"/>
    <w:rsid w:val="00D9196A"/>
    <w:rsid w:val="00D919D7"/>
    <w:rsid w:val="00D91B03"/>
    <w:rsid w:val="00D91E43"/>
    <w:rsid w:val="00D91E6B"/>
    <w:rsid w:val="00D922CA"/>
    <w:rsid w:val="00D92301"/>
    <w:rsid w:val="00D9264C"/>
    <w:rsid w:val="00D928B2"/>
    <w:rsid w:val="00D92E54"/>
    <w:rsid w:val="00D92F56"/>
    <w:rsid w:val="00D92FD3"/>
    <w:rsid w:val="00D93386"/>
    <w:rsid w:val="00D934EA"/>
    <w:rsid w:val="00D93644"/>
    <w:rsid w:val="00D93A7E"/>
    <w:rsid w:val="00D93C76"/>
    <w:rsid w:val="00D93CC4"/>
    <w:rsid w:val="00D93D82"/>
    <w:rsid w:val="00D93EA0"/>
    <w:rsid w:val="00D93F4E"/>
    <w:rsid w:val="00D93FDA"/>
    <w:rsid w:val="00D94027"/>
    <w:rsid w:val="00D94925"/>
    <w:rsid w:val="00D94978"/>
    <w:rsid w:val="00D94CEE"/>
    <w:rsid w:val="00D94E36"/>
    <w:rsid w:val="00D94EFD"/>
    <w:rsid w:val="00D951A6"/>
    <w:rsid w:val="00D95651"/>
    <w:rsid w:val="00D95D63"/>
    <w:rsid w:val="00D96124"/>
    <w:rsid w:val="00D961DC"/>
    <w:rsid w:val="00D96704"/>
    <w:rsid w:val="00D96A9A"/>
    <w:rsid w:val="00D96AF8"/>
    <w:rsid w:val="00D96C15"/>
    <w:rsid w:val="00D96EB2"/>
    <w:rsid w:val="00D971F9"/>
    <w:rsid w:val="00D97320"/>
    <w:rsid w:val="00D9739C"/>
    <w:rsid w:val="00D97443"/>
    <w:rsid w:val="00D97815"/>
    <w:rsid w:val="00D9790E"/>
    <w:rsid w:val="00D979DE"/>
    <w:rsid w:val="00D97A4F"/>
    <w:rsid w:val="00D97A9A"/>
    <w:rsid w:val="00D97B1D"/>
    <w:rsid w:val="00D97CC1"/>
    <w:rsid w:val="00D97D22"/>
    <w:rsid w:val="00D97F3A"/>
    <w:rsid w:val="00DA0079"/>
    <w:rsid w:val="00DA008B"/>
    <w:rsid w:val="00DA037C"/>
    <w:rsid w:val="00DA045E"/>
    <w:rsid w:val="00DA059C"/>
    <w:rsid w:val="00DA05A8"/>
    <w:rsid w:val="00DA0716"/>
    <w:rsid w:val="00DA09A3"/>
    <w:rsid w:val="00DA105F"/>
    <w:rsid w:val="00DA1489"/>
    <w:rsid w:val="00DA154C"/>
    <w:rsid w:val="00DA1709"/>
    <w:rsid w:val="00DA1767"/>
    <w:rsid w:val="00DA18D0"/>
    <w:rsid w:val="00DA1DF4"/>
    <w:rsid w:val="00DA217E"/>
    <w:rsid w:val="00DA2318"/>
    <w:rsid w:val="00DA2537"/>
    <w:rsid w:val="00DA27E0"/>
    <w:rsid w:val="00DA2A4A"/>
    <w:rsid w:val="00DA2A90"/>
    <w:rsid w:val="00DA2B0B"/>
    <w:rsid w:val="00DA2DAB"/>
    <w:rsid w:val="00DA3202"/>
    <w:rsid w:val="00DA330A"/>
    <w:rsid w:val="00DA34B9"/>
    <w:rsid w:val="00DA3B39"/>
    <w:rsid w:val="00DA3C53"/>
    <w:rsid w:val="00DA3CFA"/>
    <w:rsid w:val="00DA3D03"/>
    <w:rsid w:val="00DA3D2B"/>
    <w:rsid w:val="00DA3D36"/>
    <w:rsid w:val="00DA3DB1"/>
    <w:rsid w:val="00DA3EC1"/>
    <w:rsid w:val="00DA400B"/>
    <w:rsid w:val="00DA4498"/>
    <w:rsid w:val="00DA4502"/>
    <w:rsid w:val="00DA49B8"/>
    <w:rsid w:val="00DA4A9B"/>
    <w:rsid w:val="00DA4B9E"/>
    <w:rsid w:val="00DA4C69"/>
    <w:rsid w:val="00DA4ECE"/>
    <w:rsid w:val="00DA50EB"/>
    <w:rsid w:val="00DA525D"/>
    <w:rsid w:val="00DA5473"/>
    <w:rsid w:val="00DA54BF"/>
    <w:rsid w:val="00DA5555"/>
    <w:rsid w:val="00DA55D7"/>
    <w:rsid w:val="00DA55F9"/>
    <w:rsid w:val="00DA56D8"/>
    <w:rsid w:val="00DA5738"/>
    <w:rsid w:val="00DA5B1A"/>
    <w:rsid w:val="00DA5B9B"/>
    <w:rsid w:val="00DA5C1E"/>
    <w:rsid w:val="00DA5C4D"/>
    <w:rsid w:val="00DA5DB5"/>
    <w:rsid w:val="00DA5EDE"/>
    <w:rsid w:val="00DA5FDB"/>
    <w:rsid w:val="00DA6210"/>
    <w:rsid w:val="00DA6505"/>
    <w:rsid w:val="00DA66CB"/>
    <w:rsid w:val="00DA6887"/>
    <w:rsid w:val="00DA6C09"/>
    <w:rsid w:val="00DA75AA"/>
    <w:rsid w:val="00DA7770"/>
    <w:rsid w:val="00DA78FC"/>
    <w:rsid w:val="00DA7920"/>
    <w:rsid w:val="00DA7930"/>
    <w:rsid w:val="00DA7E98"/>
    <w:rsid w:val="00DA7E99"/>
    <w:rsid w:val="00DA7F82"/>
    <w:rsid w:val="00DB0286"/>
    <w:rsid w:val="00DB0376"/>
    <w:rsid w:val="00DB0389"/>
    <w:rsid w:val="00DB0670"/>
    <w:rsid w:val="00DB0831"/>
    <w:rsid w:val="00DB09D1"/>
    <w:rsid w:val="00DB0A98"/>
    <w:rsid w:val="00DB0AE3"/>
    <w:rsid w:val="00DB0B54"/>
    <w:rsid w:val="00DB0BAB"/>
    <w:rsid w:val="00DB128C"/>
    <w:rsid w:val="00DB1384"/>
    <w:rsid w:val="00DB1516"/>
    <w:rsid w:val="00DB15A2"/>
    <w:rsid w:val="00DB182C"/>
    <w:rsid w:val="00DB190B"/>
    <w:rsid w:val="00DB1A30"/>
    <w:rsid w:val="00DB1E22"/>
    <w:rsid w:val="00DB1FC1"/>
    <w:rsid w:val="00DB21BC"/>
    <w:rsid w:val="00DB22B1"/>
    <w:rsid w:val="00DB22B9"/>
    <w:rsid w:val="00DB2A02"/>
    <w:rsid w:val="00DB2A86"/>
    <w:rsid w:val="00DB2BA0"/>
    <w:rsid w:val="00DB2C84"/>
    <w:rsid w:val="00DB2F6C"/>
    <w:rsid w:val="00DB324B"/>
    <w:rsid w:val="00DB3601"/>
    <w:rsid w:val="00DB36D1"/>
    <w:rsid w:val="00DB379C"/>
    <w:rsid w:val="00DB3949"/>
    <w:rsid w:val="00DB3E42"/>
    <w:rsid w:val="00DB41C3"/>
    <w:rsid w:val="00DB428C"/>
    <w:rsid w:val="00DB4E22"/>
    <w:rsid w:val="00DB4E62"/>
    <w:rsid w:val="00DB50D6"/>
    <w:rsid w:val="00DB50FE"/>
    <w:rsid w:val="00DB55D6"/>
    <w:rsid w:val="00DB59CD"/>
    <w:rsid w:val="00DB5A70"/>
    <w:rsid w:val="00DB62DE"/>
    <w:rsid w:val="00DB6401"/>
    <w:rsid w:val="00DB6514"/>
    <w:rsid w:val="00DB653E"/>
    <w:rsid w:val="00DB688D"/>
    <w:rsid w:val="00DB68EB"/>
    <w:rsid w:val="00DB690A"/>
    <w:rsid w:val="00DB6E47"/>
    <w:rsid w:val="00DB6EED"/>
    <w:rsid w:val="00DB6F5C"/>
    <w:rsid w:val="00DB707A"/>
    <w:rsid w:val="00DB7336"/>
    <w:rsid w:val="00DB73BF"/>
    <w:rsid w:val="00DB73F3"/>
    <w:rsid w:val="00DB7437"/>
    <w:rsid w:val="00DB760E"/>
    <w:rsid w:val="00DB7680"/>
    <w:rsid w:val="00DB7A4C"/>
    <w:rsid w:val="00DB7C40"/>
    <w:rsid w:val="00DB7DFA"/>
    <w:rsid w:val="00DB7F39"/>
    <w:rsid w:val="00DC000D"/>
    <w:rsid w:val="00DC01A1"/>
    <w:rsid w:val="00DC01DC"/>
    <w:rsid w:val="00DC08A0"/>
    <w:rsid w:val="00DC0AB3"/>
    <w:rsid w:val="00DC0C6A"/>
    <w:rsid w:val="00DC0E34"/>
    <w:rsid w:val="00DC0E82"/>
    <w:rsid w:val="00DC1388"/>
    <w:rsid w:val="00DC1529"/>
    <w:rsid w:val="00DC1690"/>
    <w:rsid w:val="00DC1757"/>
    <w:rsid w:val="00DC17AF"/>
    <w:rsid w:val="00DC18B5"/>
    <w:rsid w:val="00DC19D4"/>
    <w:rsid w:val="00DC1D69"/>
    <w:rsid w:val="00DC2AE2"/>
    <w:rsid w:val="00DC2DD5"/>
    <w:rsid w:val="00DC3182"/>
    <w:rsid w:val="00DC35BB"/>
    <w:rsid w:val="00DC3613"/>
    <w:rsid w:val="00DC3773"/>
    <w:rsid w:val="00DC37F5"/>
    <w:rsid w:val="00DC3A71"/>
    <w:rsid w:val="00DC3F35"/>
    <w:rsid w:val="00DC3F62"/>
    <w:rsid w:val="00DC3F73"/>
    <w:rsid w:val="00DC40D5"/>
    <w:rsid w:val="00DC4129"/>
    <w:rsid w:val="00DC4411"/>
    <w:rsid w:val="00DC4606"/>
    <w:rsid w:val="00DC49D5"/>
    <w:rsid w:val="00DC4AAA"/>
    <w:rsid w:val="00DC51F7"/>
    <w:rsid w:val="00DC538C"/>
    <w:rsid w:val="00DC5391"/>
    <w:rsid w:val="00DC5BA1"/>
    <w:rsid w:val="00DC5DCF"/>
    <w:rsid w:val="00DC6202"/>
    <w:rsid w:val="00DC691B"/>
    <w:rsid w:val="00DC6B58"/>
    <w:rsid w:val="00DC7133"/>
    <w:rsid w:val="00DC7348"/>
    <w:rsid w:val="00DC7424"/>
    <w:rsid w:val="00DC74B4"/>
    <w:rsid w:val="00DC7795"/>
    <w:rsid w:val="00DC7802"/>
    <w:rsid w:val="00DC7926"/>
    <w:rsid w:val="00DC7E14"/>
    <w:rsid w:val="00DC7FE4"/>
    <w:rsid w:val="00DD0017"/>
    <w:rsid w:val="00DD01A3"/>
    <w:rsid w:val="00DD01E9"/>
    <w:rsid w:val="00DD045D"/>
    <w:rsid w:val="00DD098A"/>
    <w:rsid w:val="00DD0BAF"/>
    <w:rsid w:val="00DD0C97"/>
    <w:rsid w:val="00DD0DF2"/>
    <w:rsid w:val="00DD1193"/>
    <w:rsid w:val="00DD18D3"/>
    <w:rsid w:val="00DD1C0B"/>
    <w:rsid w:val="00DD1D46"/>
    <w:rsid w:val="00DD1FF1"/>
    <w:rsid w:val="00DD237C"/>
    <w:rsid w:val="00DD25F8"/>
    <w:rsid w:val="00DD2957"/>
    <w:rsid w:val="00DD2D21"/>
    <w:rsid w:val="00DD2DE4"/>
    <w:rsid w:val="00DD31F9"/>
    <w:rsid w:val="00DD320C"/>
    <w:rsid w:val="00DD3354"/>
    <w:rsid w:val="00DD34D7"/>
    <w:rsid w:val="00DD3618"/>
    <w:rsid w:val="00DD3691"/>
    <w:rsid w:val="00DD3733"/>
    <w:rsid w:val="00DD3942"/>
    <w:rsid w:val="00DD3A7E"/>
    <w:rsid w:val="00DD3AFC"/>
    <w:rsid w:val="00DD3E0C"/>
    <w:rsid w:val="00DD3F14"/>
    <w:rsid w:val="00DD47FE"/>
    <w:rsid w:val="00DD484A"/>
    <w:rsid w:val="00DD490B"/>
    <w:rsid w:val="00DD49FC"/>
    <w:rsid w:val="00DD4D51"/>
    <w:rsid w:val="00DD4DEA"/>
    <w:rsid w:val="00DD4F54"/>
    <w:rsid w:val="00DD4FED"/>
    <w:rsid w:val="00DD5042"/>
    <w:rsid w:val="00DD511A"/>
    <w:rsid w:val="00DD5275"/>
    <w:rsid w:val="00DD5346"/>
    <w:rsid w:val="00DD54A9"/>
    <w:rsid w:val="00DD5646"/>
    <w:rsid w:val="00DD574A"/>
    <w:rsid w:val="00DD5898"/>
    <w:rsid w:val="00DD59B4"/>
    <w:rsid w:val="00DD5A86"/>
    <w:rsid w:val="00DD5AB5"/>
    <w:rsid w:val="00DD5ED6"/>
    <w:rsid w:val="00DD61DA"/>
    <w:rsid w:val="00DD6519"/>
    <w:rsid w:val="00DD69E4"/>
    <w:rsid w:val="00DD6B70"/>
    <w:rsid w:val="00DD6CFA"/>
    <w:rsid w:val="00DD6D52"/>
    <w:rsid w:val="00DD6E7E"/>
    <w:rsid w:val="00DD70CC"/>
    <w:rsid w:val="00DD722F"/>
    <w:rsid w:val="00DD753F"/>
    <w:rsid w:val="00DD765C"/>
    <w:rsid w:val="00DD767B"/>
    <w:rsid w:val="00DD77DD"/>
    <w:rsid w:val="00DD7819"/>
    <w:rsid w:val="00DD7E09"/>
    <w:rsid w:val="00DE0188"/>
    <w:rsid w:val="00DE031B"/>
    <w:rsid w:val="00DE0C5B"/>
    <w:rsid w:val="00DE0E79"/>
    <w:rsid w:val="00DE0F47"/>
    <w:rsid w:val="00DE0F9E"/>
    <w:rsid w:val="00DE120B"/>
    <w:rsid w:val="00DE14BD"/>
    <w:rsid w:val="00DE1574"/>
    <w:rsid w:val="00DE170B"/>
    <w:rsid w:val="00DE1C9B"/>
    <w:rsid w:val="00DE26B5"/>
    <w:rsid w:val="00DE27DA"/>
    <w:rsid w:val="00DE2825"/>
    <w:rsid w:val="00DE2972"/>
    <w:rsid w:val="00DE2A0B"/>
    <w:rsid w:val="00DE2D63"/>
    <w:rsid w:val="00DE2E1E"/>
    <w:rsid w:val="00DE2F62"/>
    <w:rsid w:val="00DE2F63"/>
    <w:rsid w:val="00DE32CC"/>
    <w:rsid w:val="00DE32FB"/>
    <w:rsid w:val="00DE343C"/>
    <w:rsid w:val="00DE3531"/>
    <w:rsid w:val="00DE37C9"/>
    <w:rsid w:val="00DE38AA"/>
    <w:rsid w:val="00DE3BE1"/>
    <w:rsid w:val="00DE3CE8"/>
    <w:rsid w:val="00DE40F2"/>
    <w:rsid w:val="00DE414C"/>
    <w:rsid w:val="00DE48C8"/>
    <w:rsid w:val="00DE4A03"/>
    <w:rsid w:val="00DE4B91"/>
    <w:rsid w:val="00DE4C5A"/>
    <w:rsid w:val="00DE4E66"/>
    <w:rsid w:val="00DE52E5"/>
    <w:rsid w:val="00DE52FF"/>
    <w:rsid w:val="00DE562C"/>
    <w:rsid w:val="00DE5789"/>
    <w:rsid w:val="00DE59FA"/>
    <w:rsid w:val="00DE5C70"/>
    <w:rsid w:val="00DE5E1D"/>
    <w:rsid w:val="00DE5F9B"/>
    <w:rsid w:val="00DE6019"/>
    <w:rsid w:val="00DE6021"/>
    <w:rsid w:val="00DE60BF"/>
    <w:rsid w:val="00DE61CE"/>
    <w:rsid w:val="00DE6235"/>
    <w:rsid w:val="00DE67B8"/>
    <w:rsid w:val="00DE683C"/>
    <w:rsid w:val="00DE68A3"/>
    <w:rsid w:val="00DE68DC"/>
    <w:rsid w:val="00DE6E51"/>
    <w:rsid w:val="00DE704B"/>
    <w:rsid w:val="00DE7178"/>
    <w:rsid w:val="00DE7375"/>
    <w:rsid w:val="00DE747A"/>
    <w:rsid w:val="00DE750A"/>
    <w:rsid w:val="00DE7A4F"/>
    <w:rsid w:val="00DE7BD8"/>
    <w:rsid w:val="00DE7CC5"/>
    <w:rsid w:val="00DE7EDC"/>
    <w:rsid w:val="00DE7EE0"/>
    <w:rsid w:val="00DF0332"/>
    <w:rsid w:val="00DF039D"/>
    <w:rsid w:val="00DF065A"/>
    <w:rsid w:val="00DF06AE"/>
    <w:rsid w:val="00DF073E"/>
    <w:rsid w:val="00DF08A3"/>
    <w:rsid w:val="00DF0953"/>
    <w:rsid w:val="00DF0ED8"/>
    <w:rsid w:val="00DF1123"/>
    <w:rsid w:val="00DF1296"/>
    <w:rsid w:val="00DF1398"/>
    <w:rsid w:val="00DF1771"/>
    <w:rsid w:val="00DF1789"/>
    <w:rsid w:val="00DF181C"/>
    <w:rsid w:val="00DF1974"/>
    <w:rsid w:val="00DF1978"/>
    <w:rsid w:val="00DF19B1"/>
    <w:rsid w:val="00DF1B1D"/>
    <w:rsid w:val="00DF1D43"/>
    <w:rsid w:val="00DF1D89"/>
    <w:rsid w:val="00DF1DF3"/>
    <w:rsid w:val="00DF1F9C"/>
    <w:rsid w:val="00DF21F6"/>
    <w:rsid w:val="00DF2554"/>
    <w:rsid w:val="00DF2BF7"/>
    <w:rsid w:val="00DF342B"/>
    <w:rsid w:val="00DF3601"/>
    <w:rsid w:val="00DF36BF"/>
    <w:rsid w:val="00DF3A04"/>
    <w:rsid w:val="00DF3AB2"/>
    <w:rsid w:val="00DF3B52"/>
    <w:rsid w:val="00DF3B6F"/>
    <w:rsid w:val="00DF3C34"/>
    <w:rsid w:val="00DF3FB3"/>
    <w:rsid w:val="00DF4132"/>
    <w:rsid w:val="00DF4138"/>
    <w:rsid w:val="00DF45D0"/>
    <w:rsid w:val="00DF45DD"/>
    <w:rsid w:val="00DF4677"/>
    <w:rsid w:val="00DF48FF"/>
    <w:rsid w:val="00DF49C1"/>
    <w:rsid w:val="00DF4A94"/>
    <w:rsid w:val="00DF4CAF"/>
    <w:rsid w:val="00DF4CFF"/>
    <w:rsid w:val="00DF4D3C"/>
    <w:rsid w:val="00DF4EC0"/>
    <w:rsid w:val="00DF520F"/>
    <w:rsid w:val="00DF559D"/>
    <w:rsid w:val="00DF5B1A"/>
    <w:rsid w:val="00DF5E38"/>
    <w:rsid w:val="00DF5F03"/>
    <w:rsid w:val="00DF610D"/>
    <w:rsid w:val="00DF615B"/>
    <w:rsid w:val="00DF617E"/>
    <w:rsid w:val="00DF6391"/>
    <w:rsid w:val="00DF66E4"/>
    <w:rsid w:val="00DF69D1"/>
    <w:rsid w:val="00DF6BB3"/>
    <w:rsid w:val="00DF6BBF"/>
    <w:rsid w:val="00DF6C0F"/>
    <w:rsid w:val="00DF6CB8"/>
    <w:rsid w:val="00DF6E36"/>
    <w:rsid w:val="00DF6EFC"/>
    <w:rsid w:val="00DF71D4"/>
    <w:rsid w:val="00DF74E8"/>
    <w:rsid w:val="00DF7552"/>
    <w:rsid w:val="00DF7777"/>
    <w:rsid w:val="00DF7B0D"/>
    <w:rsid w:val="00DF7B86"/>
    <w:rsid w:val="00DF7DED"/>
    <w:rsid w:val="00E00127"/>
    <w:rsid w:val="00E00201"/>
    <w:rsid w:val="00E00E54"/>
    <w:rsid w:val="00E00EA8"/>
    <w:rsid w:val="00E00EB0"/>
    <w:rsid w:val="00E00EE4"/>
    <w:rsid w:val="00E00EFE"/>
    <w:rsid w:val="00E00FC0"/>
    <w:rsid w:val="00E01286"/>
    <w:rsid w:val="00E01430"/>
    <w:rsid w:val="00E01813"/>
    <w:rsid w:val="00E01AB6"/>
    <w:rsid w:val="00E01C3B"/>
    <w:rsid w:val="00E01D11"/>
    <w:rsid w:val="00E01D8B"/>
    <w:rsid w:val="00E01DA3"/>
    <w:rsid w:val="00E01FB6"/>
    <w:rsid w:val="00E021F7"/>
    <w:rsid w:val="00E022DD"/>
    <w:rsid w:val="00E02402"/>
    <w:rsid w:val="00E025FE"/>
    <w:rsid w:val="00E02889"/>
    <w:rsid w:val="00E02972"/>
    <w:rsid w:val="00E029F4"/>
    <w:rsid w:val="00E02E44"/>
    <w:rsid w:val="00E02F63"/>
    <w:rsid w:val="00E032E1"/>
    <w:rsid w:val="00E03603"/>
    <w:rsid w:val="00E03A4C"/>
    <w:rsid w:val="00E03DA8"/>
    <w:rsid w:val="00E03FBC"/>
    <w:rsid w:val="00E04214"/>
    <w:rsid w:val="00E04316"/>
    <w:rsid w:val="00E04319"/>
    <w:rsid w:val="00E04578"/>
    <w:rsid w:val="00E04588"/>
    <w:rsid w:val="00E0480A"/>
    <w:rsid w:val="00E04B56"/>
    <w:rsid w:val="00E04F84"/>
    <w:rsid w:val="00E04FE2"/>
    <w:rsid w:val="00E0510A"/>
    <w:rsid w:val="00E052F0"/>
    <w:rsid w:val="00E053F9"/>
    <w:rsid w:val="00E05507"/>
    <w:rsid w:val="00E05581"/>
    <w:rsid w:val="00E055D7"/>
    <w:rsid w:val="00E05A19"/>
    <w:rsid w:val="00E05E67"/>
    <w:rsid w:val="00E060AB"/>
    <w:rsid w:val="00E062B2"/>
    <w:rsid w:val="00E062C1"/>
    <w:rsid w:val="00E062EA"/>
    <w:rsid w:val="00E06C5B"/>
    <w:rsid w:val="00E06E55"/>
    <w:rsid w:val="00E06EF2"/>
    <w:rsid w:val="00E06F8C"/>
    <w:rsid w:val="00E06F93"/>
    <w:rsid w:val="00E0732E"/>
    <w:rsid w:val="00E073ED"/>
    <w:rsid w:val="00E074C9"/>
    <w:rsid w:val="00E075D0"/>
    <w:rsid w:val="00E07620"/>
    <w:rsid w:val="00E07E28"/>
    <w:rsid w:val="00E07EAF"/>
    <w:rsid w:val="00E101F0"/>
    <w:rsid w:val="00E1023C"/>
    <w:rsid w:val="00E1035F"/>
    <w:rsid w:val="00E104C7"/>
    <w:rsid w:val="00E10643"/>
    <w:rsid w:val="00E107B6"/>
    <w:rsid w:val="00E1085D"/>
    <w:rsid w:val="00E10920"/>
    <w:rsid w:val="00E10A92"/>
    <w:rsid w:val="00E10B94"/>
    <w:rsid w:val="00E110E6"/>
    <w:rsid w:val="00E111BE"/>
    <w:rsid w:val="00E11506"/>
    <w:rsid w:val="00E116E3"/>
    <w:rsid w:val="00E12129"/>
    <w:rsid w:val="00E122A4"/>
    <w:rsid w:val="00E124DE"/>
    <w:rsid w:val="00E12733"/>
    <w:rsid w:val="00E12902"/>
    <w:rsid w:val="00E129C9"/>
    <w:rsid w:val="00E12A17"/>
    <w:rsid w:val="00E12C88"/>
    <w:rsid w:val="00E12EA9"/>
    <w:rsid w:val="00E131EA"/>
    <w:rsid w:val="00E13416"/>
    <w:rsid w:val="00E13A7A"/>
    <w:rsid w:val="00E13B16"/>
    <w:rsid w:val="00E13E0A"/>
    <w:rsid w:val="00E141CD"/>
    <w:rsid w:val="00E141DA"/>
    <w:rsid w:val="00E1427E"/>
    <w:rsid w:val="00E144B8"/>
    <w:rsid w:val="00E145C0"/>
    <w:rsid w:val="00E14714"/>
    <w:rsid w:val="00E14922"/>
    <w:rsid w:val="00E14BBC"/>
    <w:rsid w:val="00E14C17"/>
    <w:rsid w:val="00E14C7B"/>
    <w:rsid w:val="00E14FAD"/>
    <w:rsid w:val="00E1510E"/>
    <w:rsid w:val="00E15871"/>
    <w:rsid w:val="00E15947"/>
    <w:rsid w:val="00E15DA4"/>
    <w:rsid w:val="00E15DF0"/>
    <w:rsid w:val="00E15E25"/>
    <w:rsid w:val="00E161D1"/>
    <w:rsid w:val="00E164DD"/>
    <w:rsid w:val="00E1677C"/>
    <w:rsid w:val="00E168FD"/>
    <w:rsid w:val="00E16989"/>
    <w:rsid w:val="00E16BCD"/>
    <w:rsid w:val="00E16E4F"/>
    <w:rsid w:val="00E16FEF"/>
    <w:rsid w:val="00E17110"/>
    <w:rsid w:val="00E174A2"/>
    <w:rsid w:val="00E1762D"/>
    <w:rsid w:val="00E17694"/>
    <w:rsid w:val="00E17720"/>
    <w:rsid w:val="00E177BA"/>
    <w:rsid w:val="00E17AE7"/>
    <w:rsid w:val="00E17B41"/>
    <w:rsid w:val="00E17C00"/>
    <w:rsid w:val="00E17D1C"/>
    <w:rsid w:val="00E202E0"/>
    <w:rsid w:val="00E20494"/>
    <w:rsid w:val="00E20518"/>
    <w:rsid w:val="00E206AE"/>
    <w:rsid w:val="00E206B4"/>
    <w:rsid w:val="00E207CF"/>
    <w:rsid w:val="00E20827"/>
    <w:rsid w:val="00E20A37"/>
    <w:rsid w:val="00E20AC6"/>
    <w:rsid w:val="00E20B2C"/>
    <w:rsid w:val="00E20C3E"/>
    <w:rsid w:val="00E20D13"/>
    <w:rsid w:val="00E20E97"/>
    <w:rsid w:val="00E21406"/>
    <w:rsid w:val="00E215D6"/>
    <w:rsid w:val="00E21614"/>
    <w:rsid w:val="00E21639"/>
    <w:rsid w:val="00E2189D"/>
    <w:rsid w:val="00E2199C"/>
    <w:rsid w:val="00E21A4B"/>
    <w:rsid w:val="00E21BDC"/>
    <w:rsid w:val="00E21C79"/>
    <w:rsid w:val="00E21E19"/>
    <w:rsid w:val="00E2203C"/>
    <w:rsid w:val="00E220B1"/>
    <w:rsid w:val="00E2215B"/>
    <w:rsid w:val="00E22180"/>
    <w:rsid w:val="00E2219C"/>
    <w:rsid w:val="00E221E0"/>
    <w:rsid w:val="00E2241E"/>
    <w:rsid w:val="00E225F8"/>
    <w:rsid w:val="00E22830"/>
    <w:rsid w:val="00E22AD9"/>
    <w:rsid w:val="00E22B5F"/>
    <w:rsid w:val="00E22C03"/>
    <w:rsid w:val="00E23069"/>
    <w:rsid w:val="00E235F4"/>
    <w:rsid w:val="00E2366B"/>
    <w:rsid w:val="00E2390E"/>
    <w:rsid w:val="00E23B21"/>
    <w:rsid w:val="00E23BCE"/>
    <w:rsid w:val="00E23C67"/>
    <w:rsid w:val="00E23CAE"/>
    <w:rsid w:val="00E23E37"/>
    <w:rsid w:val="00E2409D"/>
    <w:rsid w:val="00E243C1"/>
    <w:rsid w:val="00E24A81"/>
    <w:rsid w:val="00E2524A"/>
    <w:rsid w:val="00E252A7"/>
    <w:rsid w:val="00E25375"/>
    <w:rsid w:val="00E253C8"/>
    <w:rsid w:val="00E253E7"/>
    <w:rsid w:val="00E25658"/>
    <w:rsid w:val="00E256CE"/>
    <w:rsid w:val="00E2572E"/>
    <w:rsid w:val="00E2582B"/>
    <w:rsid w:val="00E26111"/>
    <w:rsid w:val="00E26344"/>
    <w:rsid w:val="00E263BA"/>
    <w:rsid w:val="00E2643F"/>
    <w:rsid w:val="00E266F8"/>
    <w:rsid w:val="00E269A9"/>
    <w:rsid w:val="00E26D4E"/>
    <w:rsid w:val="00E26FD9"/>
    <w:rsid w:val="00E270B6"/>
    <w:rsid w:val="00E27173"/>
    <w:rsid w:val="00E27207"/>
    <w:rsid w:val="00E273A4"/>
    <w:rsid w:val="00E27970"/>
    <w:rsid w:val="00E279F0"/>
    <w:rsid w:val="00E27B97"/>
    <w:rsid w:val="00E27D67"/>
    <w:rsid w:val="00E27DBF"/>
    <w:rsid w:val="00E27DCE"/>
    <w:rsid w:val="00E27F95"/>
    <w:rsid w:val="00E27FD0"/>
    <w:rsid w:val="00E300A5"/>
    <w:rsid w:val="00E30632"/>
    <w:rsid w:val="00E306BF"/>
    <w:rsid w:val="00E30DC2"/>
    <w:rsid w:val="00E30E0D"/>
    <w:rsid w:val="00E30F74"/>
    <w:rsid w:val="00E31122"/>
    <w:rsid w:val="00E316DF"/>
    <w:rsid w:val="00E31BDC"/>
    <w:rsid w:val="00E31DDD"/>
    <w:rsid w:val="00E3209D"/>
    <w:rsid w:val="00E320A0"/>
    <w:rsid w:val="00E32132"/>
    <w:rsid w:val="00E32516"/>
    <w:rsid w:val="00E325B1"/>
    <w:rsid w:val="00E326B8"/>
    <w:rsid w:val="00E3286E"/>
    <w:rsid w:val="00E329A9"/>
    <w:rsid w:val="00E32A17"/>
    <w:rsid w:val="00E32D6C"/>
    <w:rsid w:val="00E32F11"/>
    <w:rsid w:val="00E32FCA"/>
    <w:rsid w:val="00E33130"/>
    <w:rsid w:val="00E33283"/>
    <w:rsid w:val="00E33391"/>
    <w:rsid w:val="00E33479"/>
    <w:rsid w:val="00E3386C"/>
    <w:rsid w:val="00E338BD"/>
    <w:rsid w:val="00E338DF"/>
    <w:rsid w:val="00E33A34"/>
    <w:rsid w:val="00E33B37"/>
    <w:rsid w:val="00E33B70"/>
    <w:rsid w:val="00E33C81"/>
    <w:rsid w:val="00E34422"/>
    <w:rsid w:val="00E347A1"/>
    <w:rsid w:val="00E3491D"/>
    <w:rsid w:val="00E34986"/>
    <w:rsid w:val="00E34A45"/>
    <w:rsid w:val="00E34C5B"/>
    <w:rsid w:val="00E34FC4"/>
    <w:rsid w:val="00E3517E"/>
    <w:rsid w:val="00E351DD"/>
    <w:rsid w:val="00E35337"/>
    <w:rsid w:val="00E35574"/>
    <w:rsid w:val="00E355C8"/>
    <w:rsid w:val="00E35AA2"/>
    <w:rsid w:val="00E35C16"/>
    <w:rsid w:val="00E35C6D"/>
    <w:rsid w:val="00E35D89"/>
    <w:rsid w:val="00E35E3E"/>
    <w:rsid w:val="00E35E5F"/>
    <w:rsid w:val="00E360A9"/>
    <w:rsid w:val="00E363A3"/>
    <w:rsid w:val="00E368CF"/>
    <w:rsid w:val="00E36988"/>
    <w:rsid w:val="00E3698E"/>
    <w:rsid w:val="00E36AD4"/>
    <w:rsid w:val="00E36C03"/>
    <w:rsid w:val="00E36D0E"/>
    <w:rsid w:val="00E36E1D"/>
    <w:rsid w:val="00E374C9"/>
    <w:rsid w:val="00E374CA"/>
    <w:rsid w:val="00E37641"/>
    <w:rsid w:val="00E378BF"/>
    <w:rsid w:val="00E3795D"/>
    <w:rsid w:val="00E37A13"/>
    <w:rsid w:val="00E37E4B"/>
    <w:rsid w:val="00E37E73"/>
    <w:rsid w:val="00E37E8C"/>
    <w:rsid w:val="00E37FD6"/>
    <w:rsid w:val="00E40527"/>
    <w:rsid w:val="00E406AB"/>
    <w:rsid w:val="00E40767"/>
    <w:rsid w:val="00E40841"/>
    <w:rsid w:val="00E408C9"/>
    <w:rsid w:val="00E40CD5"/>
    <w:rsid w:val="00E40D91"/>
    <w:rsid w:val="00E410BD"/>
    <w:rsid w:val="00E4110F"/>
    <w:rsid w:val="00E411BB"/>
    <w:rsid w:val="00E41270"/>
    <w:rsid w:val="00E41326"/>
    <w:rsid w:val="00E413E0"/>
    <w:rsid w:val="00E41751"/>
    <w:rsid w:val="00E41887"/>
    <w:rsid w:val="00E41D3A"/>
    <w:rsid w:val="00E42439"/>
    <w:rsid w:val="00E4244E"/>
    <w:rsid w:val="00E4247C"/>
    <w:rsid w:val="00E424A5"/>
    <w:rsid w:val="00E42650"/>
    <w:rsid w:val="00E4288F"/>
    <w:rsid w:val="00E42AFD"/>
    <w:rsid w:val="00E42B51"/>
    <w:rsid w:val="00E42B52"/>
    <w:rsid w:val="00E42B6E"/>
    <w:rsid w:val="00E42F61"/>
    <w:rsid w:val="00E4318F"/>
    <w:rsid w:val="00E43216"/>
    <w:rsid w:val="00E4375A"/>
    <w:rsid w:val="00E4376F"/>
    <w:rsid w:val="00E43C0D"/>
    <w:rsid w:val="00E43F43"/>
    <w:rsid w:val="00E440FF"/>
    <w:rsid w:val="00E44429"/>
    <w:rsid w:val="00E4443E"/>
    <w:rsid w:val="00E44629"/>
    <w:rsid w:val="00E44674"/>
    <w:rsid w:val="00E44680"/>
    <w:rsid w:val="00E447AA"/>
    <w:rsid w:val="00E44B6D"/>
    <w:rsid w:val="00E44F7C"/>
    <w:rsid w:val="00E4522A"/>
    <w:rsid w:val="00E45329"/>
    <w:rsid w:val="00E453CE"/>
    <w:rsid w:val="00E45455"/>
    <w:rsid w:val="00E45501"/>
    <w:rsid w:val="00E4554B"/>
    <w:rsid w:val="00E458CC"/>
    <w:rsid w:val="00E459B2"/>
    <w:rsid w:val="00E4625A"/>
    <w:rsid w:val="00E462D8"/>
    <w:rsid w:val="00E46350"/>
    <w:rsid w:val="00E463E9"/>
    <w:rsid w:val="00E466A1"/>
    <w:rsid w:val="00E46772"/>
    <w:rsid w:val="00E469EB"/>
    <w:rsid w:val="00E46B03"/>
    <w:rsid w:val="00E46CEB"/>
    <w:rsid w:val="00E46EC3"/>
    <w:rsid w:val="00E46EC7"/>
    <w:rsid w:val="00E46FF1"/>
    <w:rsid w:val="00E470BD"/>
    <w:rsid w:val="00E4736D"/>
    <w:rsid w:val="00E4736F"/>
    <w:rsid w:val="00E4738E"/>
    <w:rsid w:val="00E477E1"/>
    <w:rsid w:val="00E5053B"/>
    <w:rsid w:val="00E505A5"/>
    <w:rsid w:val="00E5065F"/>
    <w:rsid w:val="00E506BF"/>
    <w:rsid w:val="00E50818"/>
    <w:rsid w:val="00E50915"/>
    <w:rsid w:val="00E50A9F"/>
    <w:rsid w:val="00E50D59"/>
    <w:rsid w:val="00E513FC"/>
    <w:rsid w:val="00E519D6"/>
    <w:rsid w:val="00E51C13"/>
    <w:rsid w:val="00E51EBB"/>
    <w:rsid w:val="00E52036"/>
    <w:rsid w:val="00E5260B"/>
    <w:rsid w:val="00E527F9"/>
    <w:rsid w:val="00E528B4"/>
    <w:rsid w:val="00E52E5A"/>
    <w:rsid w:val="00E52EB7"/>
    <w:rsid w:val="00E52F4F"/>
    <w:rsid w:val="00E52FBF"/>
    <w:rsid w:val="00E52FEF"/>
    <w:rsid w:val="00E530B4"/>
    <w:rsid w:val="00E530D4"/>
    <w:rsid w:val="00E53658"/>
    <w:rsid w:val="00E53B68"/>
    <w:rsid w:val="00E53D7A"/>
    <w:rsid w:val="00E540DD"/>
    <w:rsid w:val="00E5410F"/>
    <w:rsid w:val="00E542CA"/>
    <w:rsid w:val="00E54CA6"/>
    <w:rsid w:val="00E55135"/>
    <w:rsid w:val="00E5579A"/>
    <w:rsid w:val="00E55D8B"/>
    <w:rsid w:val="00E56072"/>
    <w:rsid w:val="00E56323"/>
    <w:rsid w:val="00E5634B"/>
    <w:rsid w:val="00E563EB"/>
    <w:rsid w:val="00E5671F"/>
    <w:rsid w:val="00E5689C"/>
    <w:rsid w:val="00E56921"/>
    <w:rsid w:val="00E569AE"/>
    <w:rsid w:val="00E56B76"/>
    <w:rsid w:val="00E56EA4"/>
    <w:rsid w:val="00E56F07"/>
    <w:rsid w:val="00E56FFB"/>
    <w:rsid w:val="00E5706E"/>
    <w:rsid w:val="00E5716A"/>
    <w:rsid w:val="00E576B5"/>
    <w:rsid w:val="00E57813"/>
    <w:rsid w:val="00E57B47"/>
    <w:rsid w:val="00E57D22"/>
    <w:rsid w:val="00E57DE8"/>
    <w:rsid w:val="00E6021D"/>
    <w:rsid w:val="00E6027F"/>
    <w:rsid w:val="00E602FC"/>
    <w:rsid w:val="00E607A6"/>
    <w:rsid w:val="00E60831"/>
    <w:rsid w:val="00E608E9"/>
    <w:rsid w:val="00E609DD"/>
    <w:rsid w:val="00E60AA8"/>
    <w:rsid w:val="00E60B2C"/>
    <w:rsid w:val="00E60CF4"/>
    <w:rsid w:val="00E612E0"/>
    <w:rsid w:val="00E614CB"/>
    <w:rsid w:val="00E6161E"/>
    <w:rsid w:val="00E6176E"/>
    <w:rsid w:val="00E61B95"/>
    <w:rsid w:val="00E61BEA"/>
    <w:rsid w:val="00E61F0F"/>
    <w:rsid w:val="00E622D4"/>
    <w:rsid w:val="00E62459"/>
    <w:rsid w:val="00E6266A"/>
    <w:rsid w:val="00E62745"/>
    <w:rsid w:val="00E62986"/>
    <w:rsid w:val="00E62B8F"/>
    <w:rsid w:val="00E62BCB"/>
    <w:rsid w:val="00E62E6A"/>
    <w:rsid w:val="00E631F0"/>
    <w:rsid w:val="00E6363B"/>
    <w:rsid w:val="00E636CB"/>
    <w:rsid w:val="00E63736"/>
    <w:rsid w:val="00E63799"/>
    <w:rsid w:val="00E63937"/>
    <w:rsid w:val="00E63DE1"/>
    <w:rsid w:val="00E6420F"/>
    <w:rsid w:val="00E6458E"/>
    <w:rsid w:val="00E645DC"/>
    <w:rsid w:val="00E647D3"/>
    <w:rsid w:val="00E647FA"/>
    <w:rsid w:val="00E64B00"/>
    <w:rsid w:val="00E64B1B"/>
    <w:rsid w:val="00E64F83"/>
    <w:rsid w:val="00E6513C"/>
    <w:rsid w:val="00E653DC"/>
    <w:rsid w:val="00E65426"/>
    <w:rsid w:val="00E654ED"/>
    <w:rsid w:val="00E655F1"/>
    <w:rsid w:val="00E6576E"/>
    <w:rsid w:val="00E658D5"/>
    <w:rsid w:val="00E65B54"/>
    <w:rsid w:val="00E65F02"/>
    <w:rsid w:val="00E65F15"/>
    <w:rsid w:val="00E660CA"/>
    <w:rsid w:val="00E66367"/>
    <w:rsid w:val="00E663FC"/>
    <w:rsid w:val="00E6697D"/>
    <w:rsid w:val="00E66EA6"/>
    <w:rsid w:val="00E66FEF"/>
    <w:rsid w:val="00E675E0"/>
    <w:rsid w:val="00E67602"/>
    <w:rsid w:val="00E6768A"/>
    <w:rsid w:val="00E676A5"/>
    <w:rsid w:val="00E700A9"/>
    <w:rsid w:val="00E70416"/>
    <w:rsid w:val="00E70628"/>
    <w:rsid w:val="00E7097B"/>
    <w:rsid w:val="00E70B6B"/>
    <w:rsid w:val="00E70CD0"/>
    <w:rsid w:val="00E70DC9"/>
    <w:rsid w:val="00E70ED1"/>
    <w:rsid w:val="00E71489"/>
    <w:rsid w:val="00E71665"/>
    <w:rsid w:val="00E71B86"/>
    <w:rsid w:val="00E71C6F"/>
    <w:rsid w:val="00E7223E"/>
    <w:rsid w:val="00E72388"/>
    <w:rsid w:val="00E723D5"/>
    <w:rsid w:val="00E727C5"/>
    <w:rsid w:val="00E72FF6"/>
    <w:rsid w:val="00E73138"/>
    <w:rsid w:val="00E73578"/>
    <w:rsid w:val="00E7385C"/>
    <w:rsid w:val="00E738BC"/>
    <w:rsid w:val="00E7397D"/>
    <w:rsid w:val="00E73C44"/>
    <w:rsid w:val="00E73CD7"/>
    <w:rsid w:val="00E74063"/>
    <w:rsid w:val="00E74425"/>
    <w:rsid w:val="00E74433"/>
    <w:rsid w:val="00E74444"/>
    <w:rsid w:val="00E74684"/>
    <w:rsid w:val="00E74798"/>
    <w:rsid w:val="00E747BC"/>
    <w:rsid w:val="00E74AF1"/>
    <w:rsid w:val="00E74C77"/>
    <w:rsid w:val="00E74E53"/>
    <w:rsid w:val="00E75220"/>
    <w:rsid w:val="00E7535D"/>
    <w:rsid w:val="00E753A3"/>
    <w:rsid w:val="00E7554D"/>
    <w:rsid w:val="00E757BE"/>
    <w:rsid w:val="00E75E46"/>
    <w:rsid w:val="00E760D9"/>
    <w:rsid w:val="00E76384"/>
    <w:rsid w:val="00E765C0"/>
    <w:rsid w:val="00E76629"/>
    <w:rsid w:val="00E767DA"/>
    <w:rsid w:val="00E76A6B"/>
    <w:rsid w:val="00E76ABC"/>
    <w:rsid w:val="00E76E04"/>
    <w:rsid w:val="00E77022"/>
    <w:rsid w:val="00E772F3"/>
    <w:rsid w:val="00E77592"/>
    <w:rsid w:val="00E7779D"/>
    <w:rsid w:val="00E77A60"/>
    <w:rsid w:val="00E77BB7"/>
    <w:rsid w:val="00E800FA"/>
    <w:rsid w:val="00E801CC"/>
    <w:rsid w:val="00E8022A"/>
    <w:rsid w:val="00E80425"/>
    <w:rsid w:val="00E8070F"/>
    <w:rsid w:val="00E8078A"/>
    <w:rsid w:val="00E80865"/>
    <w:rsid w:val="00E8094C"/>
    <w:rsid w:val="00E80A63"/>
    <w:rsid w:val="00E80C87"/>
    <w:rsid w:val="00E80F76"/>
    <w:rsid w:val="00E8104B"/>
    <w:rsid w:val="00E8183C"/>
    <w:rsid w:val="00E81BFF"/>
    <w:rsid w:val="00E81C49"/>
    <w:rsid w:val="00E82073"/>
    <w:rsid w:val="00E8210F"/>
    <w:rsid w:val="00E8281B"/>
    <w:rsid w:val="00E82A19"/>
    <w:rsid w:val="00E82B10"/>
    <w:rsid w:val="00E82B73"/>
    <w:rsid w:val="00E82D8A"/>
    <w:rsid w:val="00E82D9E"/>
    <w:rsid w:val="00E82FC2"/>
    <w:rsid w:val="00E830CF"/>
    <w:rsid w:val="00E838BE"/>
    <w:rsid w:val="00E8395B"/>
    <w:rsid w:val="00E8410B"/>
    <w:rsid w:val="00E842D8"/>
    <w:rsid w:val="00E847AC"/>
    <w:rsid w:val="00E853EE"/>
    <w:rsid w:val="00E85417"/>
    <w:rsid w:val="00E85439"/>
    <w:rsid w:val="00E8553C"/>
    <w:rsid w:val="00E85635"/>
    <w:rsid w:val="00E857E8"/>
    <w:rsid w:val="00E85B45"/>
    <w:rsid w:val="00E862D6"/>
    <w:rsid w:val="00E8630F"/>
    <w:rsid w:val="00E8656F"/>
    <w:rsid w:val="00E8660D"/>
    <w:rsid w:val="00E8663F"/>
    <w:rsid w:val="00E86796"/>
    <w:rsid w:val="00E8684B"/>
    <w:rsid w:val="00E86D5E"/>
    <w:rsid w:val="00E86F0C"/>
    <w:rsid w:val="00E87193"/>
    <w:rsid w:val="00E87421"/>
    <w:rsid w:val="00E87529"/>
    <w:rsid w:val="00E87547"/>
    <w:rsid w:val="00E876AE"/>
    <w:rsid w:val="00E876EF"/>
    <w:rsid w:val="00E877F2"/>
    <w:rsid w:val="00E87805"/>
    <w:rsid w:val="00E87862"/>
    <w:rsid w:val="00E87A30"/>
    <w:rsid w:val="00E87CEB"/>
    <w:rsid w:val="00E87F86"/>
    <w:rsid w:val="00E9000E"/>
    <w:rsid w:val="00E90164"/>
    <w:rsid w:val="00E90495"/>
    <w:rsid w:val="00E9056B"/>
    <w:rsid w:val="00E90608"/>
    <w:rsid w:val="00E906F5"/>
    <w:rsid w:val="00E9073E"/>
    <w:rsid w:val="00E90BC3"/>
    <w:rsid w:val="00E90D4B"/>
    <w:rsid w:val="00E90D73"/>
    <w:rsid w:val="00E90E17"/>
    <w:rsid w:val="00E90F6D"/>
    <w:rsid w:val="00E90FA5"/>
    <w:rsid w:val="00E91112"/>
    <w:rsid w:val="00E9119F"/>
    <w:rsid w:val="00E911F5"/>
    <w:rsid w:val="00E912E9"/>
    <w:rsid w:val="00E91474"/>
    <w:rsid w:val="00E9177A"/>
    <w:rsid w:val="00E91DD4"/>
    <w:rsid w:val="00E91E34"/>
    <w:rsid w:val="00E91EA3"/>
    <w:rsid w:val="00E92090"/>
    <w:rsid w:val="00E920CB"/>
    <w:rsid w:val="00E9282D"/>
    <w:rsid w:val="00E92907"/>
    <w:rsid w:val="00E929FF"/>
    <w:rsid w:val="00E92BBA"/>
    <w:rsid w:val="00E92D17"/>
    <w:rsid w:val="00E93243"/>
    <w:rsid w:val="00E934A3"/>
    <w:rsid w:val="00E93588"/>
    <w:rsid w:val="00E93702"/>
    <w:rsid w:val="00E937A5"/>
    <w:rsid w:val="00E93AAF"/>
    <w:rsid w:val="00E93ABE"/>
    <w:rsid w:val="00E93D22"/>
    <w:rsid w:val="00E93E0A"/>
    <w:rsid w:val="00E93E2F"/>
    <w:rsid w:val="00E943A3"/>
    <w:rsid w:val="00E946AB"/>
    <w:rsid w:val="00E9471E"/>
    <w:rsid w:val="00E94819"/>
    <w:rsid w:val="00E948A1"/>
    <w:rsid w:val="00E94CC2"/>
    <w:rsid w:val="00E94EA5"/>
    <w:rsid w:val="00E9504F"/>
    <w:rsid w:val="00E957B1"/>
    <w:rsid w:val="00E95C3E"/>
    <w:rsid w:val="00E95F2E"/>
    <w:rsid w:val="00E95FAB"/>
    <w:rsid w:val="00E95FE0"/>
    <w:rsid w:val="00E9608A"/>
    <w:rsid w:val="00E960D9"/>
    <w:rsid w:val="00E9622F"/>
    <w:rsid w:val="00E96341"/>
    <w:rsid w:val="00E966C5"/>
    <w:rsid w:val="00E96B23"/>
    <w:rsid w:val="00E96B28"/>
    <w:rsid w:val="00E96C29"/>
    <w:rsid w:val="00E96E5F"/>
    <w:rsid w:val="00E97146"/>
    <w:rsid w:val="00E971A9"/>
    <w:rsid w:val="00E971FC"/>
    <w:rsid w:val="00E974E7"/>
    <w:rsid w:val="00E9780C"/>
    <w:rsid w:val="00E97A85"/>
    <w:rsid w:val="00E97C21"/>
    <w:rsid w:val="00EA0075"/>
    <w:rsid w:val="00EA02FE"/>
    <w:rsid w:val="00EA03DA"/>
    <w:rsid w:val="00EA0870"/>
    <w:rsid w:val="00EA08A7"/>
    <w:rsid w:val="00EA0A6A"/>
    <w:rsid w:val="00EA0B08"/>
    <w:rsid w:val="00EA0CA4"/>
    <w:rsid w:val="00EA0D08"/>
    <w:rsid w:val="00EA1336"/>
    <w:rsid w:val="00EA19A0"/>
    <w:rsid w:val="00EA1B20"/>
    <w:rsid w:val="00EA1B55"/>
    <w:rsid w:val="00EA1EBC"/>
    <w:rsid w:val="00EA2167"/>
    <w:rsid w:val="00EA21C0"/>
    <w:rsid w:val="00EA21EF"/>
    <w:rsid w:val="00EA2397"/>
    <w:rsid w:val="00EA2A88"/>
    <w:rsid w:val="00EA2FC0"/>
    <w:rsid w:val="00EA3285"/>
    <w:rsid w:val="00EA3550"/>
    <w:rsid w:val="00EA35BC"/>
    <w:rsid w:val="00EA365A"/>
    <w:rsid w:val="00EA3961"/>
    <w:rsid w:val="00EA3D07"/>
    <w:rsid w:val="00EA3D2C"/>
    <w:rsid w:val="00EA4041"/>
    <w:rsid w:val="00EA4494"/>
    <w:rsid w:val="00EA4757"/>
    <w:rsid w:val="00EA4910"/>
    <w:rsid w:val="00EA4911"/>
    <w:rsid w:val="00EA4962"/>
    <w:rsid w:val="00EA4EA8"/>
    <w:rsid w:val="00EA51D0"/>
    <w:rsid w:val="00EA523C"/>
    <w:rsid w:val="00EA5325"/>
    <w:rsid w:val="00EA54D1"/>
    <w:rsid w:val="00EA555E"/>
    <w:rsid w:val="00EA55FB"/>
    <w:rsid w:val="00EA5745"/>
    <w:rsid w:val="00EA5F1D"/>
    <w:rsid w:val="00EA6092"/>
    <w:rsid w:val="00EA6191"/>
    <w:rsid w:val="00EA628D"/>
    <w:rsid w:val="00EA6725"/>
    <w:rsid w:val="00EA67A9"/>
    <w:rsid w:val="00EA682E"/>
    <w:rsid w:val="00EA6A01"/>
    <w:rsid w:val="00EA6D3D"/>
    <w:rsid w:val="00EA7414"/>
    <w:rsid w:val="00EA7681"/>
    <w:rsid w:val="00EA7688"/>
    <w:rsid w:val="00EA78AA"/>
    <w:rsid w:val="00EA7B56"/>
    <w:rsid w:val="00EA7BCD"/>
    <w:rsid w:val="00EA7E52"/>
    <w:rsid w:val="00EB0551"/>
    <w:rsid w:val="00EB0684"/>
    <w:rsid w:val="00EB06A1"/>
    <w:rsid w:val="00EB0B6F"/>
    <w:rsid w:val="00EB0B91"/>
    <w:rsid w:val="00EB0C2F"/>
    <w:rsid w:val="00EB0E8D"/>
    <w:rsid w:val="00EB0EE1"/>
    <w:rsid w:val="00EB1CDA"/>
    <w:rsid w:val="00EB232C"/>
    <w:rsid w:val="00EB268D"/>
    <w:rsid w:val="00EB26E4"/>
    <w:rsid w:val="00EB2868"/>
    <w:rsid w:val="00EB2B9A"/>
    <w:rsid w:val="00EB2CE4"/>
    <w:rsid w:val="00EB2EB8"/>
    <w:rsid w:val="00EB2F5A"/>
    <w:rsid w:val="00EB31B6"/>
    <w:rsid w:val="00EB33AA"/>
    <w:rsid w:val="00EB34B6"/>
    <w:rsid w:val="00EB3680"/>
    <w:rsid w:val="00EB3798"/>
    <w:rsid w:val="00EB37A3"/>
    <w:rsid w:val="00EB3A88"/>
    <w:rsid w:val="00EB3B0E"/>
    <w:rsid w:val="00EB3B87"/>
    <w:rsid w:val="00EB3BE9"/>
    <w:rsid w:val="00EB3D21"/>
    <w:rsid w:val="00EB4427"/>
    <w:rsid w:val="00EB44CF"/>
    <w:rsid w:val="00EB4657"/>
    <w:rsid w:val="00EB476C"/>
    <w:rsid w:val="00EB4A35"/>
    <w:rsid w:val="00EB4B4A"/>
    <w:rsid w:val="00EB4D4A"/>
    <w:rsid w:val="00EB50A8"/>
    <w:rsid w:val="00EB5289"/>
    <w:rsid w:val="00EB530C"/>
    <w:rsid w:val="00EB535E"/>
    <w:rsid w:val="00EB56EF"/>
    <w:rsid w:val="00EB5804"/>
    <w:rsid w:val="00EB591B"/>
    <w:rsid w:val="00EB59DA"/>
    <w:rsid w:val="00EB5A88"/>
    <w:rsid w:val="00EB5BD3"/>
    <w:rsid w:val="00EB5C67"/>
    <w:rsid w:val="00EB5D48"/>
    <w:rsid w:val="00EB5E2C"/>
    <w:rsid w:val="00EB5E60"/>
    <w:rsid w:val="00EB5EC3"/>
    <w:rsid w:val="00EB6003"/>
    <w:rsid w:val="00EB62BD"/>
    <w:rsid w:val="00EB6539"/>
    <w:rsid w:val="00EB6626"/>
    <w:rsid w:val="00EB68C6"/>
    <w:rsid w:val="00EB6CD4"/>
    <w:rsid w:val="00EB70DA"/>
    <w:rsid w:val="00EB71B5"/>
    <w:rsid w:val="00EB72E1"/>
    <w:rsid w:val="00EB732C"/>
    <w:rsid w:val="00EB749F"/>
    <w:rsid w:val="00EB752D"/>
    <w:rsid w:val="00EB75F4"/>
    <w:rsid w:val="00EB7865"/>
    <w:rsid w:val="00EB7886"/>
    <w:rsid w:val="00EB78F5"/>
    <w:rsid w:val="00EB7F02"/>
    <w:rsid w:val="00EC0345"/>
    <w:rsid w:val="00EC04E1"/>
    <w:rsid w:val="00EC0A3D"/>
    <w:rsid w:val="00EC0BD3"/>
    <w:rsid w:val="00EC0D4A"/>
    <w:rsid w:val="00EC0E0F"/>
    <w:rsid w:val="00EC0F39"/>
    <w:rsid w:val="00EC0FA1"/>
    <w:rsid w:val="00EC16FB"/>
    <w:rsid w:val="00EC19F6"/>
    <w:rsid w:val="00EC1ADC"/>
    <w:rsid w:val="00EC1FE0"/>
    <w:rsid w:val="00EC2158"/>
    <w:rsid w:val="00EC2174"/>
    <w:rsid w:val="00EC2191"/>
    <w:rsid w:val="00EC22E6"/>
    <w:rsid w:val="00EC26AE"/>
    <w:rsid w:val="00EC2AD8"/>
    <w:rsid w:val="00EC2B24"/>
    <w:rsid w:val="00EC2D56"/>
    <w:rsid w:val="00EC2FED"/>
    <w:rsid w:val="00EC316C"/>
    <w:rsid w:val="00EC3290"/>
    <w:rsid w:val="00EC339C"/>
    <w:rsid w:val="00EC33B2"/>
    <w:rsid w:val="00EC3ACE"/>
    <w:rsid w:val="00EC3F38"/>
    <w:rsid w:val="00EC3FEE"/>
    <w:rsid w:val="00EC4500"/>
    <w:rsid w:val="00EC4523"/>
    <w:rsid w:val="00EC47B6"/>
    <w:rsid w:val="00EC47CA"/>
    <w:rsid w:val="00EC4945"/>
    <w:rsid w:val="00EC4B8C"/>
    <w:rsid w:val="00EC4C97"/>
    <w:rsid w:val="00EC4F61"/>
    <w:rsid w:val="00EC51F4"/>
    <w:rsid w:val="00EC5209"/>
    <w:rsid w:val="00EC529D"/>
    <w:rsid w:val="00EC5321"/>
    <w:rsid w:val="00EC5545"/>
    <w:rsid w:val="00EC5592"/>
    <w:rsid w:val="00EC55CC"/>
    <w:rsid w:val="00EC577A"/>
    <w:rsid w:val="00EC59AB"/>
    <w:rsid w:val="00EC5A85"/>
    <w:rsid w:val="00EC5EEA"/>
    <w:rsid w:val="00EC5F93"/>
    <w:rsid w:val="00EC62B0"/>
    <w:rsid w:val="00EC69B0"/>
    <w:rsid w:val="00EC6A2B"/>
    <w:rsid w:val="00EC6A88"/>
    <w:rsid w:val="00EC6C15"/>
    <w:rsid w:val="00EC7015"/>
    <w:rsid w:val="00EC716D"/>
    <w:rsid w:val="00EC728D"/>
    <w:rsid w:val="00EC7B8E"/>
    <w:rsid w:val="00EC7CDB"/>
    <w:rsid w:val="00EC7E3E"/>
    <w:rsid w:val="00EC7F04"/>
    <w:rsid w:val="00EC7FE8"/>
    <w:rsid w:val="00ED00B9"/>
    <w:rsid w:val="00ED0113"/>
    <w:rsid w:val="00ED0574"/>
    <w:rsid w:val="00ED072B"/>
    <w:rsid w:val="00ED0AFC"/>
    <w:rsid w:val="00ED0CAA"/>
    <w:rsid w:val="00ED0E25"/>
    <w:rsid w:val="00ED0F7B"/>
    <w:rsid w:val="00ED10D3"/>
    <w:rsid w:val="00ED1213"/>
    <w:rsid w:val="00ED13EF"/>
    <w:rsid w:val="00ED1471"/>
    <w:rsid w:val="00ED14AE"/>
    <w:rsid w:val="00ED15D4"/>
    <w:rsid w:val="00ED18EE"/>
    <w:rsid w:val="00ED1B83"/>
    <w:rsid w:val="00ED1DD3"/>
    <w:rsid w:val="00ED1F47"/>
    <w:rsid w:val="00ED2098"/>
    <w:rsid w:val="00ED20A3"/>
    <w:rsid w:val="00ED210E"/>
    <w:rsid w:val="00ED2495"/>
    <w:rsid w:val="00ED2500"/>
    <w:rsid w:val="00ED252A"/>
    <w:rsid w:val="00ED2850"/>
    <w:rsid w:val="00ED28F4"/>
    <w:rsid w:val="00ED2B7E"/>
    <w:rsid w:val="00ED2B85"/>
    <w:rsid w:val="00ED2D59"/>
    <w:rsid w:val="00ED2DF0"/>
    <w:rsid w:val="00ED2DFF"/>
    <w:rsid w:val="00ED2F49"/>
    <w:rsid w:val="00ED31FD"/>
    <w:rsid w:val="00ED342A"/>
    <w:rsid w:val="00ED3438"/>
    <w:rsid w:val="00ED35BF"/>
    <w:rsid w:val="00ED3818"/>
    <w:rsid w:val="00ED3895"/>
    <w:rsid w:val="00ED39CD"/>
    <w:rsid w:val="00ED3B51"/>
    <w:rsid w:val="00ED3D61"/>
    <w:rsid w:val="00ED3E68"/>
    <w:rsid w:val="00ED4330"/>
    <w:rsid w:val="00ED47B5"/>
    <w:rsid w:val="00ED4802"/>
    <w:rsid w:val="00ED48DF"/>
    <w:rsid w:val="00ED4A31"/>
    <w:rsid w:val="00ED4DD9"/>
    <w:rsid w:val="00ED5018"/>
    <w:rsid w:val="00ED50C7"/>
    <w:rsid w:val="00ED50DF"/>
    <w:rsid w:val="00ED5414"/>
    <w:rsid w:val="00ED55D8"/>
    <w:rsid w:val="00ED5983"/>
    <w:rsid w:val="00ED5E09"/>
    <w:rsid w:val="00ED5E71"/>
    <w:rsid w:val="00ED627A"/>
    <w:rsid w:val="00ED6334"/>
    <w:rsid w:val="00ED66F5"/>
    <w:rsid w:val="00ED678D"/>
    <w:rsid w:val="00ED6949"/>
    <w:rsid w:val="00ED6A58"/>
    <w:rsid w:val="00ED6BA1"/>
    <w:rsid w:val="00ED6C4F"/>
    <w:rsid w:val="00ED6C67"/>
    <w:rsid w:val="00ED6CFC"/>
    <w:rsid w:val="00ED6DB7"/>
    <w:rsid w:val="00ED6E2E"/>
    <w:rsid w:val="00ED6E3B"/>
    <w:rsid w:val="00ED7388"/>
    <w:rsid w:val="00ED7421"/>
    <w:rsid w:val="00ED74CC"/>
    <w:rsid w:val="00ED76D4"/>
    <w:rsid w:val="00ED779F"/>
    <w:rsid w:val="00ED7A0B"/>
    <w:rsid w:val="00ED7CE9"/>
    <w:rsid w:val="00ED7E83"/>
    <w:rsid w:val="00ED7F49"/>
    <w:rsid w:val="00EE014D"/>
    <w:rsid w:val="00EE03D3"/>
    <w:rsid w:val="00EE078B"/>
    <w:rsid w:val="00EE08D8"/>
    <w:rsid w:val="00EE09AB"/>
    <w:rsid w:val="00EE0B8B"/>
    <w:rsid w:val="00EE0BE8"/>
    <w:rsid w:val="00EE0FCF"/>
    <w:rsid w:val="00EE1A1E"/>
    <w:rsid w:val="00EE1FF8"/>
    <w:rsid w:val="00EE232D"/>
    <w:rsid w:val="00EE2534"/>
    <w:rsid w:val="00EE2E30"/>
    <w:rsid w:val="00EE2E3D"/>
    <w:rsid w:val="00EE34A0"/>
    <w:rsid w:val="00EE36E7"/>
    <w:rsid w:val="00EE37C8"/>
    <w:rsid w:val="00EE3DB4"/>
    <w:rsid w:val="00EE4050"/>
    <w:rsid w:val="00EE406A"/>
    <w:rsid w:val="00EE4180"/>
    <w:rsid w:val="00EE4322"/>
    <w:rsid w:val="00EE4588"/>
    <w:rsid w:val="00EE4774"/>
    <w:rsid w:val="00EE49D6"/>
    <w:rsid w:val="00EE4A02"/>
    <w:rsid w:val="00EE4D3E"/>
    <w:rsid w:val="00EE5600"/>
    <w:rsid w:val="00EE575F"/>
    <w:rsid w:val="00EE585C"/>
    <w:rsid w:val="00EE6363"/>
    <w:rsid w:val="00EE641C"/>
    <w:rsid w:val="00EE652F"/>
    <w:rsid w:val="00EE659E"/>
    <w:rsid w:val="00EE67AD"/>
    <w:rsid w:val="00EE6CDD"/>
    <w:rsid w:val="00EE6D96"/>
    <w:rsid w:val="00EE6DDF"/>
    <w:rsid w:val="00EE6F3B"/>
    <w:rsid w:val="00EE708D"/>
    <w:rsid w:val="00EE7EC3"/>
    <w:rsid w:val="00EF01AC"/>
    <w:rsid w:val="00EF02CA"/>
    <w:rsid w:val="00EF06AF"/>
    <w:rsid w:val="00EF0709"/>
    <w:rsid w:val="00EF085E"/>
    <w:rsid w:val="00EF0921"/>
    <w:rsid w:val="00EF0BF2"/>
    <w:rsid w:val="00EF10CC"/>
    <w:rsid w:val="00EF112B"/>
    <w:rsid w:val="00EF139D"/>
    <w:rsid w:val="00EF1445"/>
    <w:rsid w:val="00EF1542"/>
    <w:rsid w:val="00EF193E"/>
    <w:rsid w:val="00EF1957"/>
    <w:rsid w:val="00EF1D1E"/>
    <w:rsid w:val="00EF2351"/>
    <w:rsid w:val="00EF278D"/>
    <w:rsid w:val="00EF285C"/>
    <w:rsid w:val="00EF2D8B"/>
    <w:rsid w:val="00EF2E55"/>
    <w:rsid w:val="00EF2EC6"/>
    <w:rsid w:val="00EF2FD2"/>
    <w:rsid w:val="00EF3128"/>
    <w:rsid w:val="00EF3396"/>
    <w:rsid w:val="00EF3472"/>
    <w:rsid w:val="00EF37A9"/>
    <w:rsid w:val="00EF3830"/>
    <w:rsid w:val="00EF3962"/>
    <w:rsid w:val="00EF3A08"/>
    <w:rsid w:val="00EF3B53"/>
    <w:rsid w:val="00EF3B7E"/>
    <w:rsid w:val="00EF3B9A"/>
    <w:rsid w:val="00EF3D58"/>
    <w:rsid w:val="00EF490A"/>
    <w:rsid w:val="00EF4FDE"/>
    <w:rsid w:val="00EF513B"/>
    <w:rsid w:val="00EF551F"/>
    <w:rsid w:val="00EF561B"/>
    <w:rsid w:val="00EF570E"/>
    <w:rsid w:val="00EF58CA"/>
    <w:rsid w:val="00EF5B9F"/>
    <w:rsid w:val="00EF5C42"/>
    <w:rsid w:val="00EF5E95"/>
    <w:rsid w:val="00EF634B"/>
    <w:rsid w:val="00EF642D"/>
    <w:rsid w:val="00EF6A07"/>
    <w:rsid w:val="00EF6B02"/>
    <w:rsid w:val="00EF6B6E"/>
    <w:rsid w:val="00EF6D36"/>
    <w:rsid w:val="00EF6F54"/>
    <w:rsid w:val="00EF6F86"/>
    <w:rsid w:val="00EF712B"/>
    <w:rsid w:val="00EF71A1"/>
    <w:rsid w:val="00EF79ED"/>
    <w:rsid w:val="00EF7ACC"/>
    <w:rsid w:val="00EF7C7D"/>
    <w:rsid w:val="00EF7FB4"/>
    <w:rsid w:val="00F00574"/>
    <w:rsid w:val="00F007AB"/>
    <w:rsid w:val="00F0099B"/>
    <w:rsid w:val="00F00DC7"/>
    <w:rsid w:val="00F00F7E"/>
    <w:rsid w:val="00F00F8E"/>
    <w:rsid w:val="00F00FA4"/>
    <w:rsid w:val="00F014A4"/>
    <w:rsid w:val="00F01592"/>
    <w:rsid w:val="00F018FA"/>
    <w:rsid w:val="00F019D0"/>
    <w:rsid w:val="00F01CFE"/>
    <w:rsid w:val="00F0202F"/>
    <w:rsid w:val="00F020D9"/>
    <w:rsid w:val="00F022BD"/>
    <w:rsid w:val="00F0251D"/>
    <w:rsid w:val="00F0287E"/>
    <w:rsid w:val="00F02B76"/>
    <w:rsid w:val="00F030EA"/>
    <w:rsid w:val="00F0317E"/>
    <w:rsid w:val="00F03591"/>
    <w:rsid w:val="00F03714"/>
    <w:rsid w:val="00F03729"/>
    <w:rsid w:val="00F038C2"/>
    <w:rsid w:val="00F038D9"/>
    <w:rsid w:val="00F039AE"/>
    <w:rsid w:val="00F039FB"/>
    <w:rsid w:val="00F03DF4"/>
    <w:rsid w:val="00F0432C"/>
    <w:rsid w:val="00F04418"/>
    <w:rsid w:val="00F0465C"/>
    <w:rsid w:val="00F0473E"/>
    <w:rsid w:val="00F04EC4"/>
    <w:rsid w:val="00F050CE"/>
    <w:rsid w:val="00F051EA"/>
    <w:rsid w:val="00F05E1B"/>
    <w:rsid w:val="00F0612E"/>
    <w:rsid w:val="00F062C2"/>
    <w:rsid w:val="00F066B2"/>
    <w:rsid w:val="00F06713"/>
    <w:rsid w:val="00F06896"/>
    <w:rsid w:val="00F069B4"/>
    <w:rsid w:val="00F06C69"/>
    <w:rsid w:val="00F06CCF"/>
    <w:rsid w:val="00F06DB2"/>
    <w:rsid w:val="00F06F98"/>
    <w:rsid w:val="00F07110"/>
    <w:rsid w:val="00F07118"/>
    <w:rsid w:val="00F071B3"/>
    <w:rsid w:val="00F07651"/>
    <w:rsid w:val="00F0765F"/>
    <w:rsid w:val="00F07889"/>
    <w:rsid w:val="00F078AC"/>
    <w:rsid w:val="00F07C7E"/>
    <w:rsid w:val="00F07E39"/>
    <w:rsid w:val="00F100AD"/>
    <w:rsid w:val="00F100AF"/>
    <w:rsid w:val="00F10147"/>
    <w:rsid w:val="00F10449"/>
    <w:rsid w:val="00F1067F"/>
    <w:rsid w:val="00F10727"/>
    <w:rsid w:val="00F10861"/>
    <w:rsid w:val="00F108B4"/>
    <w:rsid w:val="00F10C57"/>
    <w:rsid w:val="00F10F1F"/>
    <w:rsid w:val="00F11110"/>
    <w:rsid w:val="00F11146"/>
    <w:rsid w:val="00F111D2"/>
    <w:rsid w:val="00F1162C"/>
    <w:rsid w:val="00F120C9"/>
    <w:rsid w:val="00F12214"/>
    <w:rsid w:val="00F12680"/>
    <w:rsid w:val="00F12AA7"/>
    <w:rsid w:val="00F12D74"/>
    <w:rsid w:val="00F12D7A"/>
    <w:rsid w:val="00F12F20"/>
    <w:rsid w:val="00F13001"/>
    <w:rsid w:val="00F132C2"/>
    <w:rsid w:val="00F132D2"/>
    <w:rsid w:val="00F13547"/>
    <w:rsid w:val="00F139A3"/>
    <w:rsid w:val="00F13BB2"/>
    <w:rsid w:val="00F13D37"/>
    <w:rsid w:val="00F13FB5"/>
    <w:rsid w:val="00F14119"/>
    <w:rsid w:val="00F14476"/>
    <w:rsid w:val="00F14529"/>
    <w:rsid w:val="00F14D05"/>
    <w:rsid w:val="00F14D38"/>
    <w:rsid w:val="00F14E00"/>
    <w:rsid w:val="00F14E62"/>
    <w:rsid w:val="00F14F74"/>
    <w:rsid w:val="00F15B22"/>
    <w:rsid w:val="00F15BD5"/>
    <w:rsid w:val="00F15CEB"/>
    <w:rsid w:val="00F15D42"/>
    <w:rsid w:val="00F15D6B"/>
    <w:rsid w:val="00F15EE0"/>
    <w:rsid w:val="00F161C5"/>
    <w:rsid w:val="00F163C5"/>
    <w:rsid w:val="00F163F0"/>
    <w:rsid w:val="00F1649E"/>
    <w:rsid w:val="00F16B55"/>
    <w:rsid w:val="00F16EC0"/>
    <w:rsid w:val="00F17318"/>
    <w:rsid w:val="00F1731A"/>
    <w:rsid w:val="00F1744C"/>
    <w:rsid w:val="00F17CF9"/>
    <w:rsid w:val="00F17D0A"/>
    <w:rsid w:val="00F17DDA"/>
    <w:rsid w:val="00F17E14"/>
    <w:rsid w:val="00F207AE"/>
    <w:rsid w:val="00F20949"/>
    <w:rsid w:val="00F20A7C"/>
    <w:rsid w:val="00F20B79"/>
    <w:rsid w:val="00F20BB6"/>
    <w:rsid w:val="00F20C63"/>
    <w:rsid w:val="00F20FCA"/>
    <w:rsid w:val="00F211AA"/>
    <w:rsid w:val="00F21270"/>
    <w:rsid w:val="00F21287"/>
    <w:rsid w:val="00F215C8"/>
    <w:rsid w:val="00F219C8"/>
    <w:rsid w:val="00F21A2D"/>
    <w:rsid w:val="00F21AFA"/>
    <w:rsid w:val="00F21E1A"/>
    <w:rsid w:val="00F2216C"/>
    <w:rsid w:val="00F22362"/>
    <w:rsid w:val="00F22369"/>
    <w:rsid w:val="00F2251C"/>
    <w:rsid w:val="00F229C2"/>
    <w:rsid w:val="00F22ADA"/>
    <w:rsid w:val="00F22B98"/>
    <w:rsid w:val="00F22E7E"/>
    <w:rsid w:val="00F230F4"/>
    <w:rsid w:val="00F23190"/>
    <w:rsid w:val="00F232CD"/>
    <w:rsid w:val="00F232D7"/>
    <w:rsid w:val="00F235B8"/>
    <w:rsid w:val="00F23620"/>
    <w:rsid w:val="00F236DE"/>
    <w:rsid w:val="00F23A4C"/>
    <w:rsid w:val="00F23CB9"/>
    <w:rsid w:val="00F23CDA"/>
    <w:rsid w:val="00F23D47"/>
    <w:rsid w:val="00F23DA9"/>
    <w:rsid w:val="00F241CB"/>
    <w:rsid w:val="00F242BA"/>
    <w:rsid w:val="00F24736"/>
    <w:rsid w:val="00F24942"/>
    <w:rsid w:val="00F24A4F"/>
    <w:rsid w:val="00F24C8F"/>
    <w:rsid w:val="00F24EF7"/>
    <w:rsid w:val="00F24F94"/>
    <w:rsid w:val="00F2501A"/>
    <w:rsid w:val="00F250E0"/>
    <w:rsid w:val="00F25214"/>
    <w:rsid w:val="00F25257"/>
    <w:rsid w:val="00F2568C"/>
    <w:rsid w:val="00F259E1"/>
    <w:rsid w:val="00F25D30"/>
    <w:rsid w:val="00F25D94"/>
    <w:rsid w:val="00F2636A"/>
    <w:rsid w:val="00F268E4"/>
    <w:rsid w:val="00F26A19"/>
    <w:rsid w:val="00F26ADA"/>
    <w:rsid w:val="00F26BC3"/>
    <w:rsid w:val="00F26D19"/>
    <w:rsid w:val="00F26D39"/>
    <w:rsid w:val="00F2725B"/>
    <w:rsid w:val="00F27321"/>
    <w:rsid w:val="00F27454"/>
    <w:rsid w:val="00F2758D"/>
    <w:rsid w:val="00F2763D"/>
    <w:rsid w:val="00F2772D"/>
    <w:rsid w:val="00F277E5"/>
    <w:rsid w:val="00F27958"/>
    <w:rsid w:val="00F27E4A"/>
    <w:rsid w:val="00F27E99"/>
    <w:rsid w:val="00F30380"/>
    <w:rsid w:val="00F303E4"/>
    <w:rsid w:val="00F304B5"/>
    <w:rsid w:val="00F305BE"/>
    <w:rsid w:val="00F3063F"/>
    <w:rsid w:val="00F30BF5"/>
    <w:rsid w:val="00F30C63"/>
    <w:rsid w:val="00F30D7C"/>
    <w:rsid w:val="00F30F9C"/>
    <w:rsid w:val="00F310CE"/>
    <w:rsid w:val="00F31208"/>
    <w:rsid w:val="00F31465"/>
    <w:rsid w:val="00F31534"/>
    <w:rsid w:val="00F31656"/>
    <w:rsid w:val="00F31703"/>
    <w:rsid w:val="00F318E9"/>
    <w:rsid w:val="00F31994"/>
    <w:rsid w:val="00F319CD"/>
    <w:rsid w:val="00F31A87"/>
    <w:rsid w:val="00F31B1D"/>
    <w:rsid w:val="00F31D7E"/>
    <w:rsid w:val="00F31DE1"/>
    <w:rsid w:val="00F31F36"/>
    <w:rsid w:val="00F3223C"/>
    <w:rsid w:val="00F322B5"/>
    <w:rsid w:val="00F323AB"/>
    <w:rsid w:val="00F325FE"/>
    <w:rsid w:val="00F3271D"/>
    <w:rsid w:val="00F32909"/>
    <w:rsid w:val="00F32BCA"/>
    <w:rsid w:val="00F32FC6"/>
    <w:rsid w:val="00F33193"/>
    <w:rsid w:val="00F33266"/>
    <w:rsid w:val="00F33309"/>
    <w:rsid w:val="00F33412"/>
    <w:rsid w:val="00F33698"/>
    <w:rsid w:val="00F33926"/>
    <w:rsid w:val="00F33931"/>
    <w:rsid w:val="00F339C6"/>
    <w:rsid w:val="00F33A3A"/>
    <w:rsid w:val="00F33B1E"/>
    <w:rsid w:val="00F33CC8"/>
    <w:rsid w:val="00F33DC2"/>
    <w:rsid w:val="00F34160"/>
    <w:rsid w:val="00F342A0"/>
    <w:rsid w:val="00F34362"/>
    <w:rsid w:val="00F3448C"/>
    <w:rsid w:val="00F348A4"/>
    <w:rsid w:val="00F3490A"/>
    <w:rsid w:val="00F34F03"/>
    <w:rsid w:val="00F35212"/>
    <w:rsid w:val="00F353B9"/>
    <w:rsid w:val="00F3543A"/>
    <w:rsid w:val="00F35B81"/>
    <w:rsid w:val="00F35DB8"/>
    <w:rsid w:val="00F35E13"/>
    <w:rsid w:val="00F35FD8"/>
    <w:rsid w:val="00F3605C"/>
    <w:rsid w:val="00F360E2"/>
    <w:rsid w:val="00F3639B"/>
    <w:rsid w:val="00F36671"/>
    <w:rsid w:val="00F36A70"/>
    <w:rsid w:val="00F36C89"/>
    <w:rsid w:val="00F36E06"/>
    <w:rsid w:val="00F3719F"/>
    <w:rsid w:val="00F372A7"/>
    <w:rsid w:val="00F37614"/>
    <w:rsid w:val="00F3779A"/>
    <w:rsid w:val="00F378A6"/>
    <w:rsid w:val="00F37AD6"/>
    <w:rsid w:val="00F40129"/>
    <w:rsid w:val="00F40408"/>
    <w:rsid w:val="00F40440"/>
    <w:rsid w:val="00F4059F"/>
    <w:rsid w:val="00F40629"/>
    <w:rsid w:val="00F40A56"/>
    <w:rsid w:val="00F40AC0"/>
    <w:rsid w:val="00F40B77"/>
    <w:rsid w:val="00F40CD3"/>
    <w:rsid w:val="00F40D63"/>
    <w:rsid w:val="00F40E90"/>
    <w:rsid w:val="00F4144A"/>
    <w:rsid w:val="00F41557"/>
    <w:rsid w:val="00F417D1"/>
    <w:rsid w:val="00F417DF"/>
    <w:rsid w:val="00F41813"/>
    <w:rsid w:val="00F41817"/>
    <w:rsid w:val="00F41993"/>
    <w:rsid w:val="00F419E8"/>
    <w:rsid w:val="00F41A58"/>
    <w:rsid w:val="00F41B61"/>
    <w:rsid w:val="00F41EDF"/>
    <w:rsid w:val="00F41F27"/>
    <w:rsid w:val="00F420B8"/>
    <w:rsid w:val="00F42656"/>
    <w:rsid w:val="00F426DC"/>
    <w:rsid w:val="00F42751"/>
    <w:rsid w:val="00F4284F"/>
    <w:rsid w:val="00F42922"/>
    <w:rsid w:val="00F42B41"/>
    <w:rsid w:val="00F42FDF"/>
    <w:rsid w:val="00F433B3"/>
    <w:rsid w:val="00F43601"/>
    <w:rsid w:val="00F439BB"/>
    <w:rsid w:val="00F43E20"/>
    <w:rsid w:val="00F4405C"/>
    <w:rsid w:val="00F44280"/>
    <w:rsid w:val="00F4435D"/>
    <w:rsid w:val="00F44763"/>
    <w:rsid w:val="00F44C97"/>
    <w:rsid w:val="00F44CD8"/>
    <w:rsid w:val="00F44CE2"/>
    <w:rsid w:val="00F45155"/>
    <w:rsid w:val="00F45356"/>
    <w:rsid w:val="00F455D3"/>
    <w:rsid w:val="00F45964"/>
    <w:rsid w:val="00F46094"/>
    <w:rsid w:val="00F46168"/>
    <w:rsid w:val="00F4640F"/>
    <w:rsid w:val="00F46784"/>
    <w:rsid w:val="00F4678B"/>
    <w:rsid w:val="00F469ED"/>
    <w:rsid w:val="00F46C97"/>
    <w:rsid w:val="00F46CDE"/>
    <w:rsid w:val="00F46D96"/>
    <w:rsid w:val="00F46E58"/>
    <w:rsid w:val="00F46EB3"/>
    <w:rsid w:val="00F46EBE"/>
    <w:rsid w:val="00F47125"/>
    <w:rsid w:val="00F47306"/>
    <w:rsid w:val="00F4755A"/>
    <w:rsid w:val="00F47607"/>
    <w:rsid w:val="00F47913"/>
    <w:rsid w:val="00F47D6F"/>
    <w:rsid w:val="00F47DB6"/>
    <w:rsid w:val="00F47EC4"/>
    <w:rsid w:val="00F50435"/>
    <w:rsid w:val="00F5068D"/>
    <w:rsid w:val="00F50D25"/>
    <w:rsid w:val="00F50F9F"/>
    <w:rsid w:val="00F5109F"/>
    <w:rsid w:val="00F5132F"/>
    <w:rsid w:val="00F513AA"/>
    <w:rsid w:val="00F513DB"/>
    <w:rsid w:val="00F51620"/>
    <w:rsid w:val="00F521FB"/>
    <w:rsid w:val="00F52602"/>
    <w:rsid w:val="00F52667"/>
    <w:rsid w:val="00F52989"/>
    <w:rsid w:val="00F52BA6"/>
    <w:rsid w:val="00F52F54"/>
    <w:rsid w:val="00F530B9"/>
    <w:rsid w:val="00F5336C"/>
    <w:rsid w:val="00F53605"/>
    <w:rsid w:val="00F536D8"/>
    <w:rsid w:val="00F53CF5"/>
    <w:rsid w:val="00F53F30"/>
    <w:rsid w:val="00F5402A"/>
    <w:rsid w:val="00F5417A"/>
    <w:rsid w:val="00F54620"/>
    <w:rsid w:val="00F5467B"/>
    <w:rsid w:val="00F54F91"/>
    <w:rsid w:val="00F550F4"/>
    <w:rsid w:val="00F5526B"/>
    <w:rsid w:val="00F55AFB"/>
    <w:rsid w:val="00F56036"/>
    <w:rsid w:val="00F564AA"/>
    <w:rsid w:val="00F564BA"/>
    <w:rsid w:val="00F56563"/>
    <w:rsid w:val="00F5661D"/>
    <w:rsid w:val="00F5667D"/>
    <w:rsid w:val="00F56693"/>
    <w:rsid w:val="00F567CA"/>
    <w:rsid w:val="00F56872"/>
    <w:rsid w:val="00F56B80"/>
    <w:rsid w:val="00F56E56"/>
    <w:rsid w:val="00F56E88"/>
    <w:rsid w:val="00F57057"/>
    <w:rsid w:val="00F57251"/>
    <w:rsid w:val="00F574E2"/>
    <w:rsid w:val="00F5791F"/>
    <w:rsid w:val="00F57A4D"/>
    <w:rsid w:val="00F57AC0"/>
    <w:rsid w:val="00F57FBE"/>
    <w:rsid w:val="00F600B4"/>
    <w:rsid w:val="00F6013F"/>
    <w:rsid w:val="00F602C4"/>
    <w:rsid w:val="00F602CA"/>
    <w:rsid w:val="00F608C0"/>
    <w:rsid w:val="00F60BEB"/>
    <w:rsid w:val="00F60DB6"/>
    <w:rsid w:val="00F60E4E"/>
    <w:rsid w:val="00F60EC7"/>
    <w:rsid w:val="00F612E1"/>
    <w:rsid w:val="00F614A8"/>
    <w:rsid w:val="00F61509"/>
    <w:rsid w:val="00F6164E"/>
    <w:rsid w:val="00F6190A"/>
    <w:rsid w:val="00F61C2D"/>
    <w:rsid w:val="00F62073"/>
    <w:rsid w:val="00F620BD"/>
    <w:rsid w:val="00F62334"/>
    <w:rsid w:val="00F62358"/>
    <w:rsid w:val="00F623E6"/>
    <w:rsid w:val="00F625DF"/>
    <w:rsid w:val="00F626AF"/>
    <w:rsid w:val="00F62769"/>
    <w:rsid w:val="00F62C50"/>
    <w:rsid w:val="00F62ED1"/>
    <w:rsid w:val="00F62F74"/>
    <w:rsid w:val="00F6344F"/>
    <w:rsid w:val="00F63614"/>
    <w:rsid w:val="00F6361C"/>
    <w:rsid w:val="00F636C7"/>
    <w:rsid w:val="00F639DA"/>
    <w:rsid w:val="00F63D82"/>
    <w:rsid w:val="00F63E61"/>
    <w:rsid w:val="00F64003"/>
    <w:rsid w:val="00F64636"/>
    <w:rsid w:val="00F64AF6"/>
    <w:rsid w:val="00F64D44"/>
    <w:rsid w:val="00F64F8A"/>
    <w:rsid w:val="00F65152"/>
    <w:rsid w:val="00F652BC"/>
    <w:rsid w:val="00F6547B"/>
    <w:rsid w:val="00F6551A"/>
    <w:rsid w:val="00F65663"/>
    <w:rsid w:val="00F6587C"/>
    <w:rsid w:val="00F65894"/>
    <w:rsid w:val="00F65A53"/>
    <w:rsid w:val="00F65C41"/>
    <w:rsid w:val="00F65F71"/>
    <w:rsid w:val="00F6661B"/>
    <w:rsid w:val="00F668EF"/>
    <w:rsid w:val="00F66C74"/>
    <w:rsid w:val="00F66E1A"/>
    <w:rsid w:val="00F671F8"/>
    <w:rsid w:val="00F672E0"/>
    <w:rsid w:val="00F67367"/>
    <w:rsid w:val="00F6745C"/>
    <w:rsid w:val="00F6762A"/>
    <w:rsid w:val="00F67DE4"/>
    <w:rsid w:val="00F67F21"/>
    <w:rsid w:val="00F700A8"/>
    <w:rsid w:val="00F703AE"/>
    <w:rsid w:val="00F703E8"/>
    <w:rsid w:val="00F703F9"/>
    <w:rsid w:val="00F705E3"/>
    <w:rsid w:val="00F706A1"/>
    <w:rsid w:val="00F70BB9"/>
    <w:rsid w:val="00F70C6A"/>
    <w:rsid w:val="00F70DF5"/>
    <w:rsid w:val="00F71054"/>
    <w:rsid w:val="00F710A7"/>
    <w:rsid w:val="00F7122D"/>
    <w:rsid w:val="00F71248"/>
    <w:rsid w:val="00F712EB"/>
    <w:rsid w:val="00F71323"/>
    <w:rsid w:val="00F71381"/>
    <w:rsid w:val="00F716B2"/>
    <w:rsid w:val="00F7176C"/>
    <w:rsid w:val="00F717BC"/>
    <w:rsid w:val="00F717F5"/>
    <w:rsid w:val="00F71A02"/>
    <w:rsid w:val="00F71A03"/>
    <w:rsid w:val="00F71C65"/>
    <w:rsid w:val="00F71ECA"/>
    <w:rsid w:val="00F7215B"/>
    <w:rsid w:val="00F72216"/>
    <w:rsid w:val="00F723A5"/>
    <w:rsid w:val="00F723C3"/>
    <w:rsid w:val="00F7267A"/>
    <w:rsid w:val="00F7276C"/>
    <w:rsid w:val="00F72982"/>
    <w:rsid w:val="00F72CE8"/>
    <w:rsid w:val="00F72D7E"/>
    <w:rsid w:val="00F72DE6"/>
    <w:rsid w:val="00F72E7E"/>
    <w:rsid w:val="00F7331A"/>
    <w:rsid w:val="00F73386"/>
    <w:rsid w:val="00F73398"/>
    <w:rsid w:val="00F7344C"/>
    <w:rsid w:val="00F734DB"/>
    <w:rsid w:val="00F7376E"/>
    <w:rsid w:val="00F738EB"/>
    <w:rsid w:val="00F73D6A"/>
    <w:rsid w:val="00F73F19"/>
    <w:rsid w:val="00F73FC5"/>
    <w:rsid w:val="00F73FF0"/>
    <w:rsid w:val="00F74207"/>
    <w:rsid w:val="00F743E5"/>
    <w:rsid w:val="00F74420"/>
    <w:rsid w:val="00F74CCE"/>
    <w:rsid w:val="00F74E52"/>
    <w:rsid w:val="00F752C1"/>
    <w:rsid w:val="00F758F1"/>
    <w:rsid w:val="00F75B20"/>
    <w:rsid w:val="00F75BA4"/>
    <w:rsid w:val="00F75BF2"/>
    <w:rsid w:val="00F76256"/>
    <w:rsid w:val="00F76514"/>
    <w:rsid w:val="00F7655A"/>
    <w:rsid w:val="00F765FD"/>
    <w:rsid w:val="00F766B2"/>
    <w:rsid w:val="00F766D0"/>
    <w:rsid w:val="00F7681D"/>
    <w:rsid w:val="00F76856"/>
    <w:rsid w:val="00F76864"/>
    <w:rsid w:val="00F768F2"/>
    <w:rsid w:val="00F76C21"/>
    <w:rsid w:val="00F76E61"/>
    <w:rsid w:val="00F76F7E"/>
    <w:rsid w:val="00F772FB"/>
    <w:rsid w:val="00F773CD"/>
    <w:rsid w:val="00F77524"/>
    <w:rsid w:val="00F7766B"/>
    <w:rsid w:val="00F77803"/>
    <w:rsid w:val="00F7790B"/>
    <w:rsid w:val="00F779D5"/>
    <w:rsid w:val="00F77A80"/>
    <w:rsid w:val="00F77AEB"/>
    <w:rsid w:val="00F77B24"/>
    <w:rsid w:val="00F77D6F"/>
    <w:rsid w:val="00F77DB8"/>
    <w:rsid w:val="00F77F9E"/>
    <w:rsid w:val="00F77FD2"/>
    <w:rsid w:val="00F8013F"/>
    <w:rsid w:val="00F806CF"/>
    <w:rsid w:val="00F80AB2"/>
    <w:rsid w:val="00F80C10"/>
    <w:rsid w:val="00F80F29"/>
    <w:rsid w:val="00F811AA"/>
    <w:rsid w:val="00F812E0"/>
    <w:rsid w:val="00F812F9"/>
    <w:rsid w:val="00F81460"/>
    <w:rsid w:val="00F815F4"/>
    <w:rsid w:val="00F8171F"/>
    <w:rsid w:val="00F817D4"/>
    <w:rsid w:val="00F81895"/>
    <w:rsid w:val="00F818FF"/>
    <w:rsid w:val="00F81A56"/>
    <w:rsid w:val="00F81C63"/>
    <w:rsid w:val="00F81D43"/>
    <w:rsid w:val="00F81D5F"/>
    <w:rsid w:val="00F82371"/>
    <w:rsid w:val="00F825CB"/>
    <w:rsid w:val="00F8291C"/>
    <w:rsid w:val="00F82B23"/>
    <w:rsid w:val="00F82C27"/>
    <w:rsid w:val="00F82D31"/>
    <w:rsid w:val="00F8322C"/>
    <w:rsid w:val="00F83440"/>
    <w:rsid w:val="00F83A16"/>
    <w:rsid w:val="00F83B13"/>
    <w:rsid w:val="00F83B53"/>
    <w:rsid w:val="00F83C8A"/>
    <w:rsid w:val="00F83D1C"/>
    <w:rsid w:val="00F83E33"/>
    <w:rsid w:val="00F84263"/>
    <w:rsid w:val="00F8443E"/>
    <w:rsid w:val="00F84744"/>
    <w:rsid w:val="00F849C7"/>
    <w:rsid w:val="00F84E71"/>
    <w:rsid w:val="00F84EF4"/>
    <w:rsid w:val="00F84F0B"/>
    <w:rsid w:val="00F85000"/>
    <w:rsid w:val="00F8529F"/>
    <w:rsid w:val="00F853A9"/>
    <w:rsid w:val="00F85597"/>
    <w:rsid w:val="00F85953"/>
    <w:rsid w:val="00F85979"/>
    <w:rsid w:val="00F8599C"/>
    <w:rsid w:val="00F85A74"/>
    <w:rsid w:val="00F85AC5"/>
    <w:rsid w:val="00F85DAA"/>
    <w:rsid w:val="00F85E1A"/>
    <w:rsid w:val="00F85E2C"/>
    <w:rsid w:val="00F85E3F"/>
    <w:rsid w:val="00F85F5C"/>
    <w:rsid w:val="00F85F99"/>
    <w:rsid w:val="00F86376"/>
    <w:rsid w:val="00F86407"/>
    <w:rsid w:val="00F86511"/>
    <w:rsid w:val="00F8661A"/>
    <w:rsid w:val="00F86902"/>
    <w:rsid w:val="00F86A61"/>
    <w:rsid w:val="00F86C9F"/>
    <w:rsid w:val="00F86E36"/>
    <w:rsid w:val="00F8705B"/>
    <w:rsid w:val="00F878ED"/>
    <w:rsid w:val="00F87AB2"/>
    <w:rsid w:val="00F87B6D"/>
    <w:rsid w:val="00F87E54"/>
    <w:rsid w:val="00F87EF1"/>
    <w:rsid w:val="00F90574"/>
    <w:rsid w:val="00F90600"/>
    <w:rsid w:val="00F907B5"/>
    <w:rsid w:val="00F909E9"/>
    <w:rsid w:val="00F90A4F"/>
    <w:rsid w:val="00F9148F"/>
    <w:rsid w:val="00F91626"/>
    <w:rsid w:val="00F91A81"/>
    <w:rsid w:val="00F91D1A"/>
    <w:rsid w:val="00F923F5"/>
    <w:rsid w:val="00F92677"/>
    <w:rsid w:val="00F9272F"/>
    <w:rsid w:val="00F92783"/>
    <w:rsid w:val="00F927CF"/>
    <w:rsid w:val="00F92DA5"/>
    <w:rsid w:val="00F93097"/>
    <w:rsid w:val="00F935CD"/>
    <w:rsid w:val="00F935D6"/>
    <w:rsid w:val="00F93A6D"/>
    <w:rsid w:val="00F93BE9"/>
    <w:rsid w:val="00F93C7F"/>
    <w:rsid w:val="00F93D32"/>
    <w:rsid w:val="00F93D5F"/>
    <w:rsid w:val="00F93D6F"/>
    <w:rsid w:val="00F93E67"/>
    <w:rsid w:val="00F940DD"/>
    <w:rsid w:val="00F94136"/>
    <w:rsid w:val="00F94297"/>
    <w:rsid w:val="00F94434"/>
    <w:rsid w:val="00F944A4"/>
    <w:rsid w:val="00F94650"/>
    <w:rsid w:val="00F9491D"/>
    <w:rsid w:val="00F94A18"/>
    <w:rsid w:val="00F94BB9"/>
    <w:rsid w:val="00F9511C"/>
    <w:rsid w:val="00F951E1"/>
    <w:rsid w:val="00F951EB"/>
    <w:rsid w:val="00F953D5"/>
    <w:rsid w:val="00F95418"/>
    <w:rsid w:val="00F95444"/>
    <w:rsid w:val="00F9559F"/>
    <w:rsid w:val="00F95889"/>
    <w:rsid w:val="00F95893"/>
    <w:rsid w:val="00F95897"/>
    <w:rsid w:val="00F95B35"/>
    <w:rsid w:val="00F95C7B"/>
    <w:rsid w:val="00F95D53"/>
    <w:rsid w:val="00F95F17"/>
    <w:rsid w:val="00F9609B"/>
    <w:rsid w:val="00F96153"/>
    <w:rsid w:val="00F96193"/>
    <w:rsid w:val="00F96215"/>
    <w:rsid w:val="00F9621C"/>
    <w:rsid w:val="00F96438"/>
    <w:rsid w:val="00F9689E"/>
    <w:rsid w:val="00F968C9"/>
    <w:rsid w:val="00F96C57"/>
    <w:rsid w:val="00F96D8E"/>
    <w:rsid w:val="00F96E5A"/>
    <w:rsid w:val="00F972AD"/>
    <w:rsid w:val="00F972DF"/>
    <w:rsid w:val="00F9730E"/>
    <w:rsid w:val="00F9734C"/>
    <w:rsid w:val="00F97499"/>
    <w:rsid w:val="00F975CA"/>
    <w:rsid w:val="00F977EB"/>
    <w:rsid w:val="00FA03AD"/>
    <w:rsid w:val="00FA069B"/>
    <w:rsid w:val="00FA0AFA"/>
    <w:rsid w:val="00FA0C54"/>
    <w:rsid w:val="00FA0C9C"/>
    <w:rsid w:val="00FA0CE9"/>
    <w:rsid w:val="00FA0DEA"/>
    <w:rsid w:val="00FA125A"/>
    <w:rsid w:val="00FA1305"/>
    <w:rsid w:val="00FA148B"/>
    <w:rsid w:val="00FA1B21"/>
    <w:rsid w:val="00FA1BCF"/>
    <w:rsid w:val="00FA1BF5"/>
    <w:rsid w:val="00FA1CB4"/>
    <w:rsid w:val="00FA1FB9"/>
    <w:rsid w:val="00FA2109"/>
    <w:rsid w:val="00FA23F2"/>
    <w:rsid w:val="00FA2755"/>
    <w:rsid w:val="00FA2783"/>
    <w:rsid w:val="00FA27F9"/>
    <w:rsid w:val="00FA2A61"/>
    <w:rsid w:val="00FA2C4F"/>
    <w:rsid w:val="00FA2E91"/>
    <w:rsid w:val="00FA2FFE"/>
    <w:rsid w:val="00FA30C2"/>
    <w:rsid w:val="00FA3126"/>
    <w:rsid w:val="00FA333B"/>
    <w:rsid w:val="00FA370C"/>
    <w:rsid w:val="00FA3815"/>
    <w:rsid w:val="00FA3954"/>
    <w:rsid w:val="00FA395A"/>
    <w:rsid w:val="00FA3A02"/>
    <w:rsid w:val="00FA4274"/>
    <w:rsid w:val="00FA49FD"/>
    <w:rsid w:val="00FA4A3F"/>
    <w:rsid w:val="00FA4FE4"/>
    <w:rsid w:val="00FA515C"/>
    <w:rsid w:val="00FA5256"/>
    <w:rsid w:val="00FA5447"/>
    <w:rsid w:val="00FA55BB"/>
    <w:rsid w:val="00FA5689"/>
    <w:rsid w:val="00FA5762"/>
    <w:rsid w:val="00FA5EB1"/>
    <w:rsid w:val="00FA5EC8"/>
    <w:rsid w:val="00FA5ECC"/>
    <w:rsid w:val="00FA637F"/>
    <w:rsid w:val="00FA64C1"/>
    <w:rsid w:val="00FA65BB"/>
    <w:rsid w:val="00FA6799"/>
    <w:rsid w:val="00FA6A04"/>
    <w:rsid w:val="00FA6CC7"/>
    <w:rsid w:val="00FA6EDD"/>
    <w:rsid w:val="00FA6F6B"/>
    <w:rsid w:val="00FA6F8C"/>
    <w:rsid w:val="00FA7076"/>
    <w:rsid w:val="00FA73D6"/>
    <w:rsid w:val="00FA762A"/>
    <w:rsid w:val="00FA7715"/>
    <w:rsid w:val="00FA7A0C"/>
    <w:rsid w:val="00FA7F0A"/>
    <w:rsid w:val="00FA7F7E"/>
    <w:rsid w:val="00FA7FE6"/>
    <w:rsid w:val="00FB0256"/>
    <w:rsid w:val="00FB0407"/>
    <w:rsid w:val="00FB0970"/>
    <w:rsid w:val="00FB0F1D"/>
    <w:rsid w:val="00FB0F60"/>
    <w:rsid w:val="00FB10FA"/>
    <w:rsid w:val="00FB116B"/>
    <w:rsid w:val="00FB1320"/>
    <w:rsid w:val="00FB1569"/>
    <w:rsid w:val="00FB15EE"/>
    <w:rsid w:val="00FB1756"/>
    <w:rsid w:val="00FB1F67"/>
    <w:rsid w:val="00FB2088"/>
    <w:rsid w:val="00FB2116"/>
    <w:rsid w:val="00FB246E"/>
    <w:rsid w:val="00FB26FE"/>
    <w:rsid w:val="00FB27E7"/>
    <w:rsid w:val="00FB28E5"/>
    <w:rsid w:val="00FB2BF8"/>
    <w:rsid w:val="00FB2C21"/>
    <w:rsid w:val="00FB2D42"/>
    <w:rsid w:val="00FB2E28"/>
    <w:rsid w:val="00FB2E9B"/>
    <w:rsid w:val="00FB30CF"/>
    <w:rsid w:val="00FB3174"/>
    <w:rsid w:val="00FB3280"/>
    <w:rsid w:val="00FB3442"/>
    <w:rsid w:val="00FB36A6"/>
    <w:rsid w:val="00FB37AA"/>
    <w:rsid w:val="00FB3949"/>
    <w:rsid w:val="00FB3CBD"/>
    <w:rsid w:val="00FB3D15"/>
    <w:rsid w:val="00FB4273"/>
    <w:rsid w:val="00FB4407"/>
    <w:rsid w:val="00FB4491"/>
    <w:rsid w:val="00FB48A4"/>
    <w:rsid w:val="00FB4BE6"/>
    <w:rsid w:val="00FB4C55"/>
    <w:rsid w:val="00FB4ED1"/>
    <w:rsid w:val="00FB52DF"/>
    <w:rsid w:val="00FB53D7"/>
    <w:rsid w:val="00FB54F0"/>
    <w:rsid w:val="00FB5D05"/>
    <w:rsid w:val="00FB5D20"/>
    <w:rsid w:val="00FB5DC5"/>
    <w:rsid w:val="00FB6070"/>
    <w:rsid w:val="00FB60C1"/>
    <w:rsid w:val="00FB61D8"/>
    <w:rsid w:val="00FB62F7"/>
    <w:rsid w:val="00FB6334"/>
    <w:rsid w:val="00FB6347"/>
    <w:rsid w:val="00FB63F0"/>
    <w:rsid w:val="00FB64B1"/>
    <w:rsid w:val="00FB655E"/>
    <w:rsid w:val="00FB66E1"/>
    <w:rsid w:val="00FB682D"/>
    <w:rsid w:val="00FB6948"/>
    <w:rsid w:val="00FB6AA6"/>
    <w:rsid w:val="00FB7062"/>
    <w:rsid w:val="00FB70DB"/>
    <w:rsid w:val="00FB7347"/>
    <w:rsid w:val="00FB74CA"/>
    <w:rsid w:val="00FB7609"/>
    <w:rsid w:val="00FB79D1"/>
    <w:rsid w:val="00FB7B02"/>
    <w:rsid w:val="00FC0417"/>
    <w:rsid w:val="00FC073D"/>
    <w:rsid w:val="00FC0B8A"/>
    <w:rsid w:val="00FC0E9D"/>
    <w:rsid w:val="00FC0F34"/>
    <w:rsid w:val="00FC1059"/>
    <w:rsid w:val="00FC130A"/>
    <w:rsid w:val="00FC1605"/>
    <w:rsid w:val="00FC16AD"/>
    <w:rsid w:val="00FC1776"/>
    <w:rsid w:val="00FC18C3"/>
    <w:rsid w:val="00FC1BC1"/>
    <w:rsid w:val="00FC1BF1"/>
    <w:rsid w:val="00FC1E80"/>
    <w:rsid w:val="00FC1EBC"/>
    <w:rsid w:val="00FC2010"/>
    <w:rsid w:val="00FC266F"/>
    <w:rsid w:val="00FC2695"/>
    <w:rsid w:val="00FC26A5"/>
    <w:rsid w:val="00FC295F"/>
    <w:rsid w:val="00FC2BD7"/>
    <w:rsid w:val="00FC2C30"/>
    <w:rsid w:val="00FC3173"/>
    <w:rsid w:val="00FC3198"/>
    <w:rsid w:val="00FC323F"/>
    <w:rsid w:val="00FC32FC"/>
    <w:rsid w:val="00FC346D"/>
    <w:rsid w:val="00FC3CF6"/>
    <w:rsid w:val="00FC3EBF"/>
    <w:rsid w:val="00FC407C"/>
    <w:rsid w:val="00FC415C"/>
    <w:rsid w:val="00FC42C8"/>
    <w:rsid w:val="00FC45BD"/>
    <w:rsid w:val="00FC48E0"/>
    <w:rsid w:val="00FC4C44"/>
    <w:rsid w:val="00FC4EC9"/>
    <w:rsid w:val="00FC4F82"/>
    <w:rsid w:val="00FC55EE"/>
    <w:rsid w:val="00FC58C2"/>
    <w:rsid w:val="00FC593B"/>
    <w:rsid w:val="00FC5962"/>
    <w:rsid w:val="00FC5B45"/>
    <w:rsid w:val="00FC5BCE"/>
    <w:rsid w:val="00FC5D6F"/>
    <w:rsid w:val="00FC6165"/>
    <w:rsid w:val="00FC6243"/>
    <w:rsid w:val="00FC62B6"/>
    <w:rsid w:val="00FC62BE"/>
    <w:rsid w:val="00FC6756"/>
    <w:rsid w:val="00FC67CF"/>
    <w:rsid w:val="00FC6A25"/>
    <w:rsid w:val="00FC6A4D"/>
    <w:rsid w:val="00FC6D5D"/>
    <w:rsid w:val="00FC6E5B"/>
    <w:rsid w:val="00FC7051"/>
    <w:rsid w:val="00FC70EA"/>
    <w:rsid w:val="00FC7264"/>
    <w:rsid w:val="00FC73A2"/>
    <w:rsid w:val="00FC7B41"/>
    <w:rsid w:val="00FC7FFD"/>
    <w:rsid w:val="00FD03A6"/>
    <w:rsid w:val="00FD07C2"/>
    <w:rsid w:val="00FD08FC"/>
    <w:rsid w:val="00FD0C29"/>
    <w:rsid w:val="00FD0D68"/>
    <w:rsid w:val="00FD10A0"/>
    <w:rsid w:val="00FD11BA"/>
    <w:rsid w:val="00FD13FF"/>
    <w:rsid w:val="00FD152F"/>
    <w:rsid w:val="00FD18AC"/>
    <w:rsid w:val="00FD18CB"/>
    <w:rsid w:val="00FD1C36"/>
    <w:rsid w:val="00FD1CDD"/>
    <w:rsid w:val="00FD20BF"/>
    <w:rsid w:val="00FD20DD"/>
    <w:rsid w:val="00FD24F3"/>
    <w:rsid w:val="00FD29B5"/>
    <w:rsid w:val="00FD2B8E"/>
    <w:rsid w:val="00FD2BDD"/>
    <w:rsid w:val="00FD2C6B"/>
    <w:rsid w:val="00FD2D0D"/>
    <w:rsid w:val="00FD2E37"/>
    <w:rsid w:val="00FD2E4B"/>
    <w:rsid w:val="00FD2EE7"/>
    <w:rsid w:val="00FD30F8"/>
    <w:rsid w:val="00FD352C"/>
    <w:rsid w:val="00FD3DE1"/>
    <w:rsid w:val="00FD40C4"/>
    <w:rsid w:val="00FD41C7"/>
    <w:rsid w:val="00FD4CD8"/>
    <w:rsid w:val="00FD502A"/>
    <w:rsid w:val="00FD51C9"/>
    <w:rsid w:val="00FD547A"/>
    <w:rsid w:val="00FD54EE"/>
    <w:rsid w:val="00FD5893"/>
    <w:rsid w:val="00FD589F"/>
    <w:rsid w:val="00FD5B29"/>
    <w:rsid w:val="00FD5E54"/>
    <w:rsid w:val="00FD6251"/>
    <w:rsid w:val="00FD64CC"/>
    <w:rsid w:val="00FD67F1"/>
    <w:rsid w:val="00FD6973"/>
    <w:rsid w:val="00FD6BDD"/>
    <w:rsid w:val="00FD6EA0"/>
    <w:rsid w:val="00FD71A3"/>
    <w:rsid w:val="00FD7220"/>
    <w:rsid w:val="00FD7251"/>
    <w:rsid w:val="00FD746C"/>
    <w:rsid w:val="00FD75CC"/>
    <w:rsid w:val="00FD766E"/>
    <w:rsid w:val="00FD76EE"/>
    <w:rsid w:val="00FD7989"/>
    <w:rsid w:val="00FD79B8"/>
    <w:rsid w:val="00FD7AE5"/>
    <w:rsid w:val="00FD7D3B"/>
    <w:rsid w:val="00FD7ED0"/>
    <w:rsid w:val="00FD7FD7"/>
    <w:rsid w:val="00FE0163"/>
    <w:rsid w:val="00FE025F"/>
    <w:rsid w:val="00FE0409"/>
    <w:rsid w:val="00FE04CE"/>
    <w:rsid w:val="00FE04DD"/>
    <w:rsid w:val="00FE0582"/>
    <w:rsid w:val="00FE05D3"/>
    <w:rsid w:val="00FE0636"/>
    <w:rsid w:val="00FE0691"/>
    <w:rsid w:val="00FE095C"/>
    <w:rsid w:val="00FE09F1"/>
    <w:rsid w:val="00FE0A5D"/>
    <w:rsid w:val="00FE0A66"/>
    <w:rsid w:val="00FE0E26"/>
    <w:rsid w:val="00FE1099"/>
    <w:rsid w:val="00FE10CA"/>
    <w:rsid w:val="00FE10DC"/>
    <w:rsid w:val="00FE1153"/>
    <w:rsid w:val="00FE13DA"/>
    <w:rsid w:val="00FE1617"/>
    <w:rsid w:val="00FE1A51"/>
    <w:rsid w:val="00FE1B0B"/>
    <w:rsid w:val="00FE1BAF"/>
    <w:rsid w:val="00FE1C32"/>
    <w:rsid w:val="00FE1C64"/>
    <w:rsid w:val="00FE24D9"/>
    <w:rsid w:val="00FE24F3"/>
    <w:rsid w:val="00FE28F9"/>
    <w:rsid w:val="00FE2A80"/>
    <w:rsid w:val="00FE2BEE"/>
    <w:rsid w:val="00FE2C40"/>
    <w:rsid w:val="00FE2C62"/>
    <w:rsid w:val="00FE30F0"/>
    <w:rsid w:val="00FE316C"/>
    <w:rsid w:val="00FE3328"/>
    <w:rsid w:val="00FE39C4"/>
    <w:rsid w:val="00FE3AA8"/>
    <w:rsid w:val="00FE3CCD"/>
    <w:rsid w:val="00FE3DDD"/>
    <w:rsid w:val="00FE3FBF"/>
    <w:rsid w:val="00FE40BF"/>
    <w:rsid w:val="00FE4158"/>
    <w:rsid w:val="00FE4277"/>
    <w:rsid w:val="00FE4447"/>
    <w:rsid w:val="00FE4BB3"/>
    <w:rsid w:val="00FE4CA8"/>
    <w:rsid w:val="00FE4DD1"/>
    <w:rsid w:val="00FE4E1E"/>
    <w:rsid w:val="00FE4FE4"/>
    <w:rsid w:val="00FE5071"/>
    <w:rsid w:val="00FE51DD"/>
    <w:rsid w:val="00FE51DE"/>
    <w:rsid w:val="00FE53EF"/>
    <w:rsid w:val="00FE54F7"/>
    <w:rsid w:val="00FE552F"/>
    <w:rsid w:val="00FE55ED"/>
    <w:rsid w:val="00FE56F8"/>
    <w:rsid w:val="00FE5832"/>
    <w:rsid w:val="00FE58B4"/>
    <w:rsid w:val="00FE5AA5"/>
    <w:rsid w:val="00FE5B1B"/>
    <w:rsid w:val="00FE5D2B"/>
    <w:rsid w:val="00FE6305"/>
    <w:rsid w:val="00FE63AC"/>
    <w:rsid w:val="00FE652E"/>
    <w:rsid w:val="00FE65BC"/>
    <w:rsid w:val="00FE65C9"/>
    <w:rsid w:val="00FE65EA"/>
    <w:rsid w:val="00FE674A"/>
    <w:rsid w:val="00FE6968"/>
    <w:rsid w:val="00FE6B5C"/>
    <w:rsid w:val="00FE6C8B"/>
    <w:rsid w:val="00FE6DF2"/>
    <w:rsid w:val="00FE6F29"/>
    <w:rsid w:val="00FE6F7E"/>
    <w:rsid w:val="00FE7038"/>
    <w:rsid w:val="00FE705D"/>
    <w:rsid w:val="00FE7192"/>
    <w:rsid w:val="00FE7195"/>
    <w:rsid w:val="00FE75FE"/>
    <w:rsid w:val="00FE7627"/>
    <w:rsid w:val="00FF00BE"/>
    <w:rsid w:val="00FF0119"/>
    <w:rsid w:val="00FF035F"/>
    <w:rsid w:val="00FF0539"/>
    <w:rsid w:val="00FF05AF"/>
    <w:rsid w:val="00FF083B"/>
    <w:rsid w:val="00FF086D"/>
    <w:rsid w:val="00FF0A31"/>
    <w:rsid w:val="00FF0A87"/>
    <w:rsid w:val="00FF0B03"/>
    <w:rsid w:val="00FF0B4A"/>
    <w:rsid w:val="00FF0D46"/>
    <w:rsid w:val="00FF139E"/>
    <w:rsid w:val="00FF1578"/>
    <w:rsid w:val="00FF174B"/>
    <w:rsid w:val="00FF1818"/>
    <w:rsid w:val="00FF19A3"/>
    <w:rsid w:val="00FF1F55"/>
    <w:rsid w:val="00FF28CB"/>
    <w:rsid w:val="00FF28ED"/>
    <w:rsid w:val="00FF293E"/>
    <w:rsid w:val="00FF299A"/>
    <w:rsid w:val="00FF2A84"/>
    <w:rsid w:val="00FF2CAF"/>
    <w:rsid w:val="00FF32F1"/>
    <w:rsid w:val="00FF33B4"/>
    <w:rsid w:val="00FF3460"/>
    <w:rsid w:val="00FF357E"/>
    <w:rsid w:val="00FF3E40"/>
    <w:rsid w:val="00FF3FE6"/>
    <w:rsid w:val="00FF40A5"/>
    <w:rsid w:val="00FF430B"/>
    <w:rsid w:val="00FF4848"/>
    <w:rsid w:val="00FF4949"/>
    <w:rsid w:val="00FF49AD"/>
    <w:rsid w:val="00FF4A75"/>
    <w:rsid w:val="00FF4B5A"/>
    <w:rsid w:val="00FF4C19"/>
    <w:rsid w:val="00FF4FA4"/>
    <w:rsid w:val="00FF501E"/>
    <w:rsid w:val="00FF539A"/>
    <w:rsid w:val="00FF540A"/>
    <w:rsid w:val="00FF5485"/>
    <w:rsid w:val="00FF5860"/>
    <w:rsid w:val="00FF6285"/>
    <w:rsid w:val="00FF64E8"/>
    <w:rsid w:val="00FF6E12"/>
    <w:rsid w:val="00FF6F9D"/>
    <w:rsid w:val="00FF746C"/>
    <w:rsid w:val="00FF74D7"/>
    <w:rsid w:val="00FF767D"/>
    <w:rsid w:val="00FF7970"/>
    <w:rsid w:val="00FF7A68"/>
    <w:rsid w:val="00FF7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2247AE"/>
  <w15:docId w15:val="{6772A98E-8548-459E-89F6-D6BA4010E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032"/>
    <w:pPr>
      <w:spacing w:after="0" w:line="240" w:lineRule="auto"/>
    </w:pPr>
    <w:rPr>
      <w:rFonts w:eastAsia="Times New Roman" w:cs="Times New Roman"/>
      <w:szCs w:val="24"/>
    </w:rPr>
  </w:style>
  <w:style w:type="paragraph" w:styleId="Heading1">
    <w:name w:val="heading 1"/>
    <w:basedOn w:val="Normal"/>
    <w:next w:val="BodyText"/>
    <w:link w:val="Heading1Char"/>
    <w:uiPriority w:val="9"/>
    <w:qFormat/>
    <w:rsid w:val="001666CF"/>
    <w:pPr>
      <w:spacing w:after="60"/>
      <w:outlineLvl w:val="0"/>
    </w:pPr>
    <w:rPr>
      <w:rFonts w:asciiTheme="majorHAnsi" w:hAnsiTheme="majorHAnsi"/>
      <w:b/>
      <w:caps/>
      <w:color w:val="003A5D"/>
      <w:sz w:val="32"/>
      <w:szCs w:val="32"/>
    </w:rPr>
  </w:style>
  <w:style w:type="paragraph" w:styleId="Heading2">
    <w:name w:val="heading 2"/>
    <w:basedOn w:val="Normal"/>
    <w:next w:val="Normal"/>
    <w:link w:val="Heading2Char"/>
    <w:unhideWhenUsed/>
    <w:qFormat/>
    <w:rsid w:val="001666CF"/>
    <w:pPr>
      <w:outlineLvl w:val="1"/>
    </w:pPr>
    <w:rPr>
      <w:b/>
      <w:caps/>
      <w:color w:val="8CA4A4"/>
      <w:kern w:val="28"/>
      <w:sz w:val="18"/>
      <w:szCs w:val="18"/>
    </w:rPr>
  </w:style>
  <w:style w:type="paragraph" w:styleId="Heading3">
    <w:name w:val="heading 3"/>
    <w:basedOn w:val="Normal"/>
    <w:next w:val="BodyText"/>
    <w:link w:val="Heading3Char"/>
    <w:unhideWhenUsed/>
    <w:rsid w:val="00B01731"/>
    <w:pPr>
      <w:keepNext/>
      <w:keepLines/>
      <w:spacing w:after="240" w:line="240" w:lineRule="atLeast"/>
      <w:outlineLvl w:val="2"/>
    </w:pPr>
    <w:rPr>
      <w:i/>
      <w:kern w:val="20"/>
    </w:rPr>
  </w:style>
  <w:style w:type="paragraph" w:styleId="Heading4">
    <w:name w:val="heading 4"/>
    <w:basedOn w:val="Normal"/>
    <w:next w:val="BodyText"/>
    <w:link w:val="Heading4Char"/>
    <w:semiHidden/>
    <w:unhideWhenUsed/>
    <w:qFormat/>
    <w:rsid w:val="00B01731"/>
    <w:pPr>
      <w:keepNext/>
      <w:keepLines/>
      <w:spacing w:line="240" w:lineRule="atLeast"/>
      <w:outlineLvl w:val="3"/>
    </w:pPr>
    <w:rPr>
      <w:caps/>
      <w:kern w:val="20"/>
      <w:sz w:val="18"/>
    </w:rPr>
  </w:style>
  <w:style w:type="paragraph" w:styleId="Heading5">
    <w:name w:val="heading 5"/>
    <w:basedOn w:val="Normal"/>
    <w:next w:val="BodyText"/>
    <w:link w:val="Heading5Char"/>
    <w:semiHidden/>
    <w:unhideWhenUsed/>
    <w:qFormat/>
    <w:rsid w:val="00B01731"/>
    <w:pPr>
      <w:keepNext/>
      <w:keepLines/>
      <w:spacing w:line="240" w:lineRule="atLeast"/>
      <w:outlineLvl w:val="4"/>
    </w:pPr>
    <w:rPr>
      <w:kern w:val="20"/>
    </w:rPr>
  </w:style>
  <w:style w:type="paragraph" w:styleId="Heading6">
    <w:name w:val="heading 6"/>
    <w:basedOn w:val="Normal"/>
    <w:next w:val="Normal"/>
    <w:link w:val="Heading6Char"/>
    <w:uiPriority w:val="9"/>
    <w:semiHidden/>
    <w:unhideWhenUsed/>
    <w:qFormat/>
    <w:rsid w:val="009A3F8A"/>
    <w:pPr>
      <w:keepNext/>
      <w:keepLines/>
      <w:spacing w:before="40"/>
      <w:outlineLvl w:val="5"/>
    </w:pPr>
    <w:rPr>
      <w:rFonts w:asciiTheme="majorHAnsi" w:eastAsiaTheme="majorEastAsia" w:hAnsiTheme="majorHAnsi" w:cstheme="majorBidi"/>
      <w:color w:val="001C2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666CF"/>
    <w:rPr>
      <w:rFonts w:asciiTheme="majorHAnsi" w:eastAsia="Times New Roman" w:hAnsiTheme="majorHAnsi" w:cs="Times New Roman"/>
      <w:b/>
      <w:caps/>
      <w:color w:val="003A5D"/>
      <w:sz w:val="32"/>
      <w:szCs w:val="32"/>
    </w:rPr>
  </w:style>
  <w:style w:type="character" w:customStyle="1" w:styleId="Heading2Char">
    <w:name w:val="Heading 2 Char"/>
    <w:basedOn w:val="DefaultParagraphFont"/>
    <w:link w:val="Heading2"/>
    <w:rsid w:val="001666CF"/>
    <w:rPr>
      <w:rFonts w:eastAsia="Times New Roman" w:cs="Times New Roman"/>
      <w:b/>
      <w:caps/>
      <w:color w:val="8CA4A4"/>
      <w:kern w:val="28"/>
      <w:sz w:val="18"/>
      <w:szCs w:val="18"/>
    </w:rPr>
  </w:style>
  <w:style w:type="character" w:customStyle="1" w:styleId="Heading3Char">
    <w:name w:val="Heading 3 Char"/>
    <w:basedOn w:val="DefaultParagraphFont"/>
    <w:link w:val="Heading3"/>
    <w:rsid w:val="00B01731"/>
    <w:rPr>
      <w:rFonts w:eastAsia="Times New Roman" w:cs="Times New Roman"/>
      <w:i/>
      <w:kern w:val="20"/>
      <w:szCs w:val="24"/>
    </w:rPr>
  </w:style>
  <w:style w:type="character" w:customStyle="1" w:styleId="Heading4Char">
    <w:name w:val="Heading 4 Char"/>
    <w:basedOn w:val="DefaultParagraphFont"/>
    <w:link w:val="Heading4"/>
    <w:semiHidden/>
    <w:rsid w:val="00B01731"/>
    <w:rPr>
      <w:rFonts w:eastAsia="Times New Roman" w:cs="Times New Roman"/>
      <w:caps/>
      <w:kern w:val="20"/>
      <w:sz w:val="18"/>
      <w:szCs w:val="24"/>
    </w:rPr>
  </w:style>
  <w:style w:type="character" w:customStyle="1" w:styleId="Heading5Char">
    <w:name w:val="Heading 5 Char"/>
    <w:basedOn w:val="DefaultParagraphFont"/>
    <w:link w:val="Heading5"/>
    <w:semiHidden/>
    <w:rsid w:val="00B01731"/>
    <w:rPr>
      <w:rFonts w:eastAsia="Times New Roman" w:cs="Times New Roman"/>
      <w:kern w:val="20"/>
      <w:szCs w:val="24"/>
    </w:rPr>
  </w:style>
  <w:style w:type="paragraph" w:styleId="BodyText">
    <w:name w:val="Body Text"/>
    <w:basedOn w:val="Normal"/>
    <w:link w:val="BodyTextChar"/>
    <w:uiPriority w:val="1"/>
    <w:unhideWhenUsed/>
    <w:qFormat/>
    <w:rsid w:val="00B01731"/>
    <w:pPr>
      <w:spacing w:before="240"/>
      <w:ind w:firstLine="720"/>
    </w:pPr>
  </w:style>
  <w:style w:type="character" w:customStyle="1" w:styleId="BodyTextChar">
    <w:name w:val="Body Text Char"/>
    <w:basedOn w:val="DefaultParagraphFont"/>
    <w:link w:val="BodyText"/>
    <w:uiPriority w:val="1"/>
    <w:rsid w:val="00B01731"/>
    <w:rPr>
      <w:rFonts w:eastAsia="Times New Roman" w:cs="Times New Roman"/>
      <w:szCs w:val="24"/>
    </w:rPr>
  </w:style>
  <w:style w:type="paragraph" w:styleId="Closing">
    <w:name w:val="Closing"/>
    <w:basedOn w:val="Normal"/>
    <w:next w:val="Normal"/>
    <w:link w:val="ClosingChar"/>
    <w:semiHidden/>
    <w:rsid w:val="00B01731"/>
    <w:pPr>
      <w:spacing w:line="220" w:lineRule="atLeast"/>
    </w:pPr>
  </w:style>
  <w:style w:type="character" w:customStyle="1" w:styleId="ClosingChar">
    <w:name w:val="Closing Char"/>
    <w:basedOn w:val="DefaultParagraphFont"/>
    <w:link w:val="Closing"/>
    <w:semiHidden/>
    <w:rsid w:val="00B01731"/>
    <w:rPr>
      <w:rFonts w:eastAsia="Times New Roman" w:cs="Times New Roman"/>
      <w:szCs w:val="24"/>
    </w:rPr>
  </w:style>
  <w:style w:type="paragraph" w:styleId="Footer">
    <w:name w:val="footer"/>
    <w:basedOn w:val="Normal"/>
    <w:link w:val="FooterChar"/>
    <w:uiPriority w:val="99"/>
    <w:rsid w:val="00B01731"/>
    <w:pPr>
      <w:keepLines/>
      <w:tabs>
        <w:tab w:val="center" w:pos="4320"/>
        <w:tab w:val="right" w:pos="8640"/>
      </w:tabs>
      <w:spacing w:before="600" w:line="240" w:lineRule="atLeast"/>
      <w:ind w:right="-240"/>
      <w:jc w:val="center"/>
    </w:pPr>
    <w:rPr>
      <w:kern w:val="18"/>
    </w:rPr>
  </w:style>
  <w:style w:type="character" w:customStyle="1" w:styleId="FooterChar">
    <w:name w:val="Footer Char"/>
    <w:basedOn w:val="DefaultParagraphFont"/>
    <w:link w:val="Footer"/>
    <w:uiPriority w:val="99"/>
    <w:rsid w:val="00B01731"/>
    <w:rPr>
      <w:rFonts w:eastAsia="Times New Roman" w:cs="Times New Roman"/>
      <w:kern w:val="18"/>
      <w:szCs w:val="24"/>
    </w:rPr>
  </w:style>
  <w:style w:type="paragraph" w:styleId="Header">
    <w:name w:val="header"/>
    <w:basedOn w:val="Normal"/>
    <w:link w:val="HeaderChar"/>
    <w:uiPriority w:val="99"/>
    <w:rsid w:val="00B01731"/>
    <w:pPr>
      <w:keepLines/>
      <w:tabs>
        <w:tab w:val="center" w:pos="4320"/>
        <w:tab w:val="right" w:pos="8640"/>
      </w:tabs>
      <w:spacing w:after="660" w:line="240" w:lineRule="atLeast"/>
      <w:jc w:val="center"/>
    </w:pPr>
    <w:rPr>
      <w:caps/>
      <w:kern w:val="18"/>
      <w:sz w:val="18"/>
    </w:rPr>
  </w:style>
  <w:style w:type="character" w:customStyle="1" w:styleId="HeaderChar">
    <w:name w:val="Header Char"/>
    <w:basedOn w:val="DefaultParagraphFont"/>
    <w:link w:val="Header"/>
    <w:uiPriority w:val="99"/>
    <w:rsid w:val="00B01731"/>
    <w:rPr>
      <w:rFonts w:eastAsia="Times New Roman" w:cs="Times New Roman"/>
      <w:caps/>
      <w:kern w:val="18"/>
      <w:sz w:val="18"/>
      <w:szCs w:val="24"/>
    </w:rPr>
  </w:style>
  <w:style w:type="paragraph" w:styleId="MessageHeader">
    <w:name w:val="Message Header"/>
    <w:basedOn w:val="BodyText"/>
    <w:link w:val="MessageHeaderChar"/>
    <w:semiHidden/>
    <w:rsid w:val="00B01731"/>
    <w:pPr>
      <w:keepLines/>
      <w:spacing w:after="120"/>
      <w:ind w:left="1080" w:hanging="1080"/>
    </w:pPr>
    <w:rPr>
      <w:caps/>
      <w:sz w:val="18"/>
    </w:rPr>
  </w:style>
  <w:style w:type="character" w:customStyle="1" w:styleId="MessageHeaderChar">
    <w:name w:val="Message Header Char"/>
    <w:basedOn w:val="DefaultParagraphFont"/>
    <w:link w:val="MessageHeader"/>
    <w:semiHidden/>
    <w:rsid w:val="00B01731"/>
    <w:rPr>
      <w:rFonts w:eastAsia="Times New Roman" w:cs="Times New Roman"/>
      <w:caps/>
      <w:sz w:val="18"/>
      <w:szCs w:val="24"/>
    </w:rPr>
  </w:style>
  <w:style w:type="paragraph" w:styleId="NormalIndent">
    <w:name w:val="Normal Indent"/>
    <w:basedOn w:val="Normal"/>
    <w:semiHidden/>
    <w:rsid w:val="00B01731"/>
    <w:pPr>
      <w:ind w:left="720"/>
    </w:pPr>
  </w:style>
  <w:style w:type="character" w:styleId="PageNumber">
    <w:name w:val="page number"/>
    <w:semiHidden/>
    <w:rsid w:val="00B01731"/>
  </w:style>
  <w:style w:type="paragraph" w:styleId="Signature">
    <w:name w:val="Signature"/>
    <w:basedOn w:val="BodyText"/>
    <w:next w:val="Normal"/>
    <w:link w:val="SignatureChar"/>
    <w:semiHidden/>
    <w:rsid w:val="00B01731"/>
    <w:pPr>
      <w:keepNext/>
      <w:keepLines/>
      <w:spacing w:before="660"/>
    </w:pPr>
  </w:style>
  <w:style w:type="character" w:customStyle="1" w:styleId="SignatureChar">
    <w:name w:val="Signature Char"/>
    <w:basedOn w:val="DefaultParagraphFont"/>
    <w:link w:val="Signature"/>
    <w:semiHidden/>
    <w:rsid w:val="00B01731"/>
    <w:rPr>
      <w:rFonts w:eastAsia="Times New Roman" w:cs="Times New Roman"/>
      <w:szCs w:val="24"/>
    </w:rPr>
  </w:style>
  <w:style w:type="paragraph" w:styleId="BalloonText">
    <w:name w:val="Balloon Text"/>
    <w:basedOn w:val="Normal"/>
    <w:link w:val="BalloonTextChar"/>
    <w:uiPriority w:val="99"/>
    <w:semiHidden/>
    <w:unhideWhenUsed/>
    <w:rsid w:val="00B01731"/>
    <w:rPr>
      <w:rFonts w:ascii="Tahoma" w:hAnsi="Tahoma" w:cs="Tahoma"/>
      <w:sz w:val="16"/>
      <w:szCs w:val="16"/>
    </w:rPr>
  </w:style>
  <w:style w:type="character" w:customStyle="1" w:styleId="BalloonTextChar">
    <w:name w:val="Balloon Text Char"/>
    <w:basedOn w:val="DefaultParagraphFont"/>
    <w:link w:val="BalloonText"/>
    <w:uiPriority w:val="99"/>
    <w:semiHidden/>
    <w:rsid w:val="00B01731"/>
    <w:rPr>
      <w:rFonts w:ascii="Tahoma" w:eastAsia="Times New Roman" w:hAnsi="Tahoma" w:cs="Tahoma"/>
      <w:sz w:val="16"/>
      <w:szCs w:val="16"/>
    </w:rPr>
  </w:style>
  <w:style w:type="paragraph" w:styleId="Title">
    <w:name w:val="Title"/>
    <w:basedOn w:val="Normal"/>
    <w:next w:val="Normal"/>
    <w:link w:val="TitleChar"/>
    <w:uiPriority w:val="10"/>
    <w:unhideWhenUsed/>
    <w:qFormat/>
    <w:rsid w:val="00B01731"/>
    <w:pPr>
      <w:pBdr>
        <w:top w:val="double" w:sz="6" w:space="8" w:color="404040" w:themeColor="text1" w:themeTint="BF"/>
        <w:bottom w:val="double" w:sz="6" w:space="8" w:color="404040" w:themeColor="text1" w:themeTint="BF"/>
      </w:pBdr>
      <w:spacing w:after="200"/>
      <w:jc w:val="center"/>
    </w:pPr>
    <w:rPr>
      <w:rFonts w:asciiTheme="majorHAnsi" w:hAnsiTheme="majorHAnsi"/>
      <w:b/>
      <w:caps/>
      <w:spacing w:val="20"/>
      <w:sz w:val="18"/>
    </w:rPr>
  </w:style>
  <w:style w:type="character" w:customStyle="1" w:styleId="TitleChar">
    <w:name w:val="Title Char"/>
    <w:basedOn w:val="DefaultParagraphFont"/>
    <w:link w:val="Title"/>
    <w:uiPriority w:val="10"/>
    <w:rsid w:val="00B01731"/>
    <w:rPr>
      <w:rFonts w:asciiTheme="majorHAnsi" w:eastAsia="Times New Roman" w:hAnsiTheme="majorHAnsi" w:cs="Times New Roman"/>
      <w:b/>
      <w:caps/>
      <w:spacing w:val="20"/>
      <w:sz w:val="18"/>
      <w:szCs w:val="24"/>
    </w:rPr>
  </w:style>
  <w:style w:type="table" w:styleId="TableGrid">
    <w:name w:val="Table Grid"/>
    <w:basedOn w:val="TableNormal"/>
    <w:uiPriority w:val="59"/>
    <w:rsid w:val="00B01731"/>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01731"/>
    <w:rPr>
      <w:color w:val="808080"/>
    </w:rPr>
  </w:style>
  <w:style w:type="paragraph" w:styleId="ListParagraph">
    <w:name w:val="List Paragraph"/>
    <w:aliases w:val="Bullet List Paragraph,PRI Bullets,text bullet,d_bodyb,Numbers,Paragraphe de liste,Bullet point list,Catch All,Heading III,Bullet List,FooterText,numbered,Paragraphe de liste1,Bulletr List Paragraph,列出段落,列出段落1,Listeafsnit1,List Paragraph2"/>
    <w:basedOn w:val="Normal"/>
    <w:link w:val="ListParagraphChar"/>
    <w:uiPriority w:val="34"/>
    <w:unhideWhenUsed/>
    <w:qFormat/>
    <w:rsid w:val="00B01731"/>
    <w:pPr>
      <w:ind w:left="720"/>
      <w:contextualSpacing/>
    </w:pPr>
  </w:style>
  <w:style w:type="paragraph" w:styleId="FootnoteText">
    <w:name w:val="footnote text"/>
    <w:aliases w:val="FT,ft,Car"/>
    <w:basedOn w:val="Normal"/>
    <w:link w:val="FootnoteTextChar"/>
    <w:uiPriority w:val="99"/>
    <w:unhideWhenUsed/>
    <w:qFormat/>
    <w:rsid w:val="00B01731"/>
    <w:rPr>
      <w:sz w:val="20"/>
    </w:rPr>
  </w:style>
  <w:style w:type="character" w:customStyle="1" w:styleId="FootnoteTextChar">
    <w:name w:val="Footnote Text Char"/>
    <w:aliases w:val="FT Char,ft Char,Car Char"/>
    <w:basedOn w:val="DefaultParagraphFont"/>
    <w:link w:val="FootnoteText"/>
    <w:uiPriority w:val="99"/>
    <w:rsid w:val="00B01731"/>
    <w:rPr>
      <w:rFonts w:eastAsia="Times New Roman" w:cs="Times New Roman"/>
      <w:sz w:val="20"/>
      <w:szCs w:val="24"/>
    </w:rPr>
  </w:style>
  <w:style w:type="character" w:styleId="FootnoteReference">
    <w:name w:val="footnote reference"/>
    <w:aliases w:val="*,2,fr"/>
    <w:basedOn w:val="DefaultParagraphFont"/>
    <w:uiPriority w:val="99"/>
    <w:unhideWhenUsed/>
    <w:rsid w:val="00B01731"/>
    <w:rPr>
      <w:vertAlign w:val="superscript"/>
    </w:rPr>
  </w:style>
  <w:style w:type="paragraph" w:styleId="NoSpacing">
    <w:name w:val="No Spacing"/>
    <w:link w:val="NoSpacingChar"/>
    <w:uiPriority w:val="1"/>
    <w:qFormat/>
    <w:rsid w:val="00B01731"/>
    <w:pPr>
      <w:spacing w:after="0" w:line="240" w:lineRule="auto"/>
    </w:pPr>
  </w:style>
  <w:style w:type="paragraph" w:customStyle="1" w:styleId="Default">
    <w:name w:val="Default"/>
    <w:rsid w:val="00B01731"/>
    <w:pPr>
      <w:autoSpaceDE w:val="0"/>
      <w:autoSpaceDN w:val="0"/>
      <w:adjustRightInd w:val="0"/>
      <w:spacing w:after="0" w:line="240" w:lineRule="auto"/>
    </w:pPr>
    <w:rPr>
      <w:rFonts w:ascii="Garamond" w:eastAsia="Times New Roman" w:hAnsi="Garamond" w:cs="Garamond"/>
      <w:color w:val="000000"/>
      <w:sz w:val="24"/>
      <w:szCs w:val="24"/>
    </w:rPr>
  </w:style>
  <w:style w:type="character" w:styleId="CommentReference">
    <w:name w:val="annotation reference"/>
    <w:basedOn w:val="DefaultParagraphFont"/>
    <w:uiPriority w:val="99"/>
    <w:semiHidden/>
    <w:unhideWhenUsed/>
    <w:rsid w:val="00B01731"/>
    <w:rPr>
      <w:sz w:val="16"/>
      <w:szCs w:val="16"/>
    </w:rPr>
  </w:style>
  <w:style w:type="paragraph" w:styleId="CommentText">
    <w:name w:val="annotation text"/>
    <w:basedOn w:val="Normal"/>
    <w:link w:val="CommentTextChar"/>
    <w:uiPriority w:val="99"/>
    <w:unhideWhenUsed/>
    <w:rsid w:val="00B01731"/>
    <w:rPr>
      <w:sz w:val="20"/>
    </w:rPr>
  </w:style>
  <w:style w:type="character" w:customStyle="1" w:styleId="CommentTextChar">
    <w:name w:val="Comment Text Char"/>
    <w:basedOn w:val="DefaultParagraphFont"/>
    <w:link w:val="CommentText"/>
    <w:uiPriority w:val="99"/>
    <w:rsid w:val="00B01731"/>
    <w:rPr>
      <w:rFonts w:eastAsia="Times New Roman" w:cs="Times New Roman"/>
      <w:sz w:val="20"/>
      <w:szCs w:val="24"/>
    </w:rPr>
  </w:style>
  <w:style w:type="paragraph" w:styleId="CommentSubject">
    <w:name w:val="annotation subject"/>
    <w:basedOn w:val="CommentText"/>
    <w:next w:val="CommentText"/>
    <w:link w:val="CommentSubjectChar"/>
    <w:uiPriority w:val="99"/>
    <w:semiHidden/>
    <w:unhideWhenUsed/>
    <w:rsid w:val="00B01731"/>
    <w:rPr>
      <w:b/>
      <w:bCs/>
    </w:rPr>
  </w:style>
  <w:style w:type="character" w:customStyle="1" w:styleId="CommentSubjectChar">
    <w:name w:val="Comment Subject Char"/>
    <w:basedOn w:val="CommentTextChar"/>
    <w:link w:val="CommentSubject"/>
    <w:uiPriority w:val="99"/>
    <w:semiHidden/>
    <w:rsid w:val="00B01731"/>
    <w:rPr>
      <w:rFonts w:eastAsia="Times New Roman" w:cs="Times New Roman"/>
      <w:b/>
      <w:bCs/>
      <w:sz w:val="20"/>
      <w:szCs w:val="24"/>
    </w:rPr>
  </w:style>
  <w:style w:type="paragraph" w:styleId="Revision">
    <w:name w:val="Revision"/>
    <w:hidden/>
    <w:uiPriority w:val="99"/>
    <w:semiHidden/>
    <w:rsid w:val="00B01731"/>
    <w:pPr>
      <w:spacing w:after="0" w:line="240" w:lineRule="auto"/>
    </w:pPr>
    <w:rPr>
      <w:rFonts w:eastAsia="Times New Roman" w:cs="Times New Roman"/>
      <w:szCs w:val="24"/>
    </w:rPr>
  </w:style>
  <w:style w:type="paragraph" w:styleId="BodyTextIndent3">
    <w:name w:val="Body Text Indent 3"/>
    <w:basedOn w:val="Normal"/>
    <w:link w:val="BodyTextIndent3Char"/>
    <w:rsid w:val="00B01731"/>
    <w:pPr>
      <w:spacing w:after="120"/>
      <w:ind w:left="360"/>
    </w:pPr>
    <w:rPr>
      <w:rFonts w:ascii="Times New Roman" w:hAnsi="Times New Roman"/>
      <w:sz w:val="16"/>
      <w:szCs w:val="16"/>
    </w:rPr>
  </w:style>
  <w:style w:type="character" w:customStyle="1" w:styleId="BodyTextIndent3Char">
    <w:name w:val="Body Text Indent 3 Char"/>
    <w:basedOn w:val="DefaultParagraphFont"/>
    <w:link w:val="BodyTextIndent3"/>
    <w:rsid w:val="00B01731"/>
    <w:rPr>
      <w:rFonts w:ascii="Times New Roman" w:eastAsia="Times New Roman" w:hAnsi="Times New Roman" w:cs="Times New Roman"/>
      <w:sz w:val="16"/>
      <w:szCs w:val="16"/>
    </w:rPr>
  </w:style>
  <w:style w:type="character" w:styleId="Hyperlink">
    <w:name w:val="Hyperlink"/>
    <w:basedOn w:val="DefaultParagraphFont"/>
    <w:uiPriority w:val="99"/>
    <w:rsid w:val="00B01731"/>
    <w:rPr>
      <w:color w:val="00355D" w:themeColor="hyperlink"/>
      <w:u w:val="single"/>
    </w:rPr>
  </w:style>
  <w:style w:type="paragraph" w:customStyle="1" w:styleId="CM23">
    <w:name w:val="CM23"/>
    <w:basedOn w:val="Default"/>
    <w:next w:val="Default"/>
    <w:uiPriority w:val="99"/>
    <w:rsid w:val="00B01731"/>
    <w:pPr>
      <w:widowControl w:val="0"/>
    </w:pPr>
    <w:rPr>
      <w:rFonts w:ascii="Calibri" w:hAnsi="Calibri" w:cs="Times New Roman"/>
      <w:color w:val="auto"/>
    </w:rPr>
  </w:style>
  <w:style w:type="paragraph" w:customStyle="1" w:styleId="CM1">
    <w:name w:val="CM1"/>
    <w:basedOn w:val="Default"/>
    <w:next w:val="Default"/>
    <w:uiPriority w:val="99"/>
    <w:rsid w:val="00B01731"/>
    <w:pPr>
      <w:widowControl w:val="0"/>
      <w:spacing w:line="266" w:lineRule="atLeast"/>
    </w:pPr>
    <w:rPr>
      <w:rFonts w:ascii="Calibri" w:hAnsi="Calibri" w:cs="Times New Roman"/>
      <w:color w:val="auto"/>
    </w:rPr>
  </w:style>
  <w:style w:type="paragraph" w:customStyle="1" w:styleId="Level4a">
    <w:name w:val="Level 4a"/>
    <w:basedOn w:val="Normal"/>
    <w:rsid w:val="00B01731"/>
    <w:pPr>
      <w:tabs>
        <w:tab w:val="left" w:pos="734"/>
      </w:tabs>
      <w:ind w:left="734"/>
      <w:jc w:val="both"/>
    </w:pPr>
    <w:rPr>
      <w:rFonts w:ascii="Times New Roman" w:hAnsi="Times New Roman"/>
      <w:bCs/>
      <w:szCs w:val="20"/>
    </w:rPr>
  </w:style>
  <w:style w:type="paragraph" w:customStyle="1" w:styleId="answer">
    <w:name w:val="*answer"/>
    <w:basedOn w:val="Default"/>
    <w:next w:val="Default"/>
    <w:uiPriority w:val="99"/>
    <w:rsid w:val="00B01731"/>
    <w:rPr>
      <w:rFonts w:ascii="Cambria" w:hAnsi="Cambria" w:cs="Times New Roman"/>
      <w:color w:val="auto"/>
    </w:rPr>
  </w:style>
  <w:style w:type="paragraph" w:styleId="PlainText">
    <w:name w:val="Plain Text"/>
    <w:basedOn w:val="Normal"/>
    <w:link w:val="PlainTextChar"/>
    <w:uiPriority w:val="99"/>
    <w:unhideWhenUsed/>
    <w:rsid w:val="00B01731"/>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01731"/>
    <w:rPr>
      <w:rFonts w:ascii="Consolas" w:hAnsi="Consolas"/>
      <w:sz w:val="21"/>
      <w:szCs w:val="21"/>
    </w:rPr>
  </w:style>
  <w:style w:type="character" w:styleId="Strong">
    <w:name w:val="Strong"/>
    <w:basedOn w:val="DefaultParagraphFont"/>
    <w:uiPriority w:val="22"/>
    <w:qFormat/>
    <w:rsid w:val="0074565D"/>
    <w:rPr>
      <w:b/>
      <w:bCs/>
    </w:rPr>
  </w:style>
  <w:style w:type="character" w:styleId="IntenseReference">
    <w:name w:val="Intense Reference"/>
    <w:aliases w:val="Address cover"/>
    <w:basedOn w:val="DefaultParagraphFont"/>
    <w:uiPriority w:val="32"/>
    <w:rsid w:val="00E46EC3"/>
    <w:rPr>
      <w:rFonts w:ascii="Calibri" w:hAnsi="Calibri"/>
      <w:bCs/>
      <w:dstrike w:val="0"/>
      <w:color w:val="404040" w:themeColor="text1" w:themeTint="BF"/>
      <w:spacing w:val="0"/>
      <w:w w:val="100"/>
      <w:kern w:val="0"/>
      <w:position w:val="0"/>
      <w:sz w:val="18"/>
      <w:u w:val="none"/>
      <w:vertAlign w:val="baseline"/>
    </w:rPr>
  </w:style>
  <w:style w:type="character" w:styleId="SubtleReference">
    <w:name w:val="Subtle Reference"/>
    <w:aliases w:val="Cover_Fund Sponsor cover"/>
    <w:basedOn w:val="DefaultParagraphFont"/>
    <w:uiPriority w:val="31"/>
    <w:qFormat/>
    <w:rsid w:val="00EC3F38"/>
    <w:rPr>
      <w:rFonts w:ascii="Calibri" w:hAnsi="Calibri"/>
      <w:b/>
      <w:dstrike w:val="0"/>
      <w:color w:val="AFB575" w:themeColor="accent4"/>
      <w:sz w:val="32"/>
      <w:u w:val="none"/>
      <w:vertAlign w:val="baseline"/>
    </w:rPr>
  </w:style>
  <w:style w:type="paragraph" w:styleId="TOCHeading">
    <w:name w:val="TOC Heading"/>
    <w:basedOn w:val="Heading1"/>
    <w:next w:val="Normal"/>
    <w:uiPriority w:val="39"/>
    <w:unhideWhenUsed/>
    <w:qFormat/>
    <w:rsid w:val="006E3BB4"/>
    <w:pPr>
      <w:keepNext/>
      <w:keepLines/>
      <w:spacing w:before="480" w:after="0" w:line="276" w:lineRule="auto"/>
      <w:outlineLvl w:val="9"/>
    </w:pPr>
    <w:rPr>
      <w:rFonts w:eastAsiaTheme="majorEastAsia" w:cstheme="majorBidi"/>
      <w:bCs/>
      <w:caps w:val="0"/>
      <w:color w:val="002B45" w:themeColor="accent1" w:themeShade="BF"/>
      <w:sz w:val="28"/>
      <w:szCs w:val="28"/>
    </w:rPr>
  </w:style>
  <w:style w:type="paragraph" w:styleId="List">
    <w:name w:val="List"/>
    <w:aliases w:val="Numbered List"/>
    <w:basedOn w:val="Normal"/>
    <w:uiPriority w:val="99"/>
    <w:unhideWhenUsed/>
    <w:qFormat/>
    <w:rsid w:val="001B25F1"/>
    <w:pPr>
      <w:numPr>
        <w:numId w:val="1"/>
      </w:numPr>
      <w:spacing w:after="120" w:line="300" w:lineRule="exact"/>
      <w:jc w:val="both"/>
    </w:pPr>
    <w:rPr>
      <w:rFonts w:eastAsiaTheme="minorHAnsi" w:cstheme="minorBidi"/>
      <w:color w:val="404040" w:themeColor="text1" w:themeTint="BF"/>
      <w:sz w:val="18"/>
      <w:szCs w:val="22"/>
    </w:rPr>
  </w:style>
  <w:style w:type="paragraph" w:styleId="ListBullet2">
    <w:name w:val="List Bullet 2"/>
    <w:aliases w:val="2_List Bullet"/>
    <w:basedOn w:val="Normal"/>
    <w:uiPriority w:val="99"/>
    <w:unhideWhenUsed/>
    <w:qFormat/>
    <w:rsid w:val="00BD581F"/>
    <w:pPr>
      <w:spacing w:after="120" w:line="300" w:lineRule="exact"/>
      <w:jc w:val="both"/>
    </w:pPr>
    <w:rPr>
      <w:rFonts w:eastAsiaTheme="minorHAnsi" w:cstheme="minorBidi"/>
      <w:color w:val="404040" w:themeColor="text1" w:themeTint="BF"/>
      <w:sz w:val="18"/>
      <w:szCs w:val="22"/>
    </w:rPr>
  </w:style>
  <w:style w:type="character" w:customStyle="1" w:styleId="NoSpacingChar">
    <w:name w:val="No Spacing Char"/>
    <w:basedOn w:val="DefaultParagraphFont"/>
    <w:link w:val="NoSpacing"/>
    <w:uiPriority w:val="1"/>
    <w:rsid w:val="00BD581F"/>
  </w:style>
  <w:style w:type="table" w:styleId="MediumGrid3-Accent4">
    <w:name w:val="Medium Grid 3 Accent 4"/>
    <w:basedOn w:val="TableNormal"/>
    <w:uiPriority w:val="69"/>
    <w:rsid w:val="00BD581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BECD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FB57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FB57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FB57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FB57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7DABA"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7DABA" w:themeFill="accent4" w:themeFillTint="7F"/>
      </w:tcPr>
    </w:tblStylePr>
  </w:style>
  <w:style w:type="paragraph" w:styleId="ListBullet3">
    <w:name w:val="List Bullet 3"/>
    <w:aliases w:val="3_List Bullet"/>
    <w:basedOn w:val="ListParagraph"/>
    <w:uiPriority w:val="99"/>
    <w:unhideWhenUsed/>
    <w:qFormat/>
    <w:rsid w:val="00BD581F"/>
    <w:pPr>
      <w:numPr>
        <w:ilvl w:val="1"/>
        <w:numId w:val="2"/>
      </w:numPr>
      <w:spacing w:after="120" w:line="300" w:lineRule="exact"/>
      <w:ind w:left="1800"/>
      <w:contextualSpacing w:val="0"/>
      <w:jc w:val="both"/>
    </w:pPr>
    <w:rPr>
      <w:rFonts w:eastAsiaTheme="minorHAnsi" w:cstheme="minorBidi"/>
      <w:color w:val="404040" w:themeColor="text1" w:themeTint="BF"/>
      <w:sz w:val="18"/>
      <w:szCs w:val="22"/>
    </w:rPr>
  </w:style>
  <w:style w:type="paragraph" w:styleId="ListBullet4">
    <w:name w:val="List Bullet 4"/>
    <w:aliases w:val="4_List Bullet"/>
    <w:basedOn w:val="ListBullet3"/>
    <w:uiPriority w:val="99"/>
    <w:unhideWhenUsed/>
    <w:qFormat/>
    <w:rsid w:val="00BD581F"/>
    <w:pPr>
      <w:numPr>
        <w:ilvl w:val="3"/>
      </w:numPr>
      <w:ind w:left="2520"/>
    </w:pPr>
    <w:rPr>
      <w:bCs/>
    </w:rPr>
  </w:style>
  <w:style w:type="paragraph" w:customStyle="1" w:styleId="SubheadnoTOC">
    <w:name w:val="Subhead_no TOC"/>
    <w:link w:val="SubheadnoTOCChar"/>
    <w:qFormat/>
    <w:rsid w:val="00BD581F"/>
    <w:pPr>
      <w:autoSpaceDE w:val="0"/>
      <w:autoSpaceDN w:val="0"/>
      <w:adjustRightInd w:val="0"/>
      <w:spacing w:after="120"/>
    </w:pPr>
    <w:rPr>
      <w:rFonts w:asciiTheme="majorHAnsi" w:eastAsiaTheme="majorEastAsia" w:hAnsiTheme="majorHAnsi" w:cstheme="majorBidi"/>
      <w:b/>
      <w:bCs/>
      <w:color w:val="AFB575" w:themeColor="accent4"/>
      <w:sz w:val="32"/>
      <w:szCs w:val="32"/>
    </w:rPr>
  </w:style>
  <w:style w:type="character" w:customStyle="1" w:styleId="SubheadnoTOCChar">
    <w:name w:val="Subhead_no TOC Char"/>
    <w:basedOn w:val="DefaultParagraphFont"/>
    <w:link w:val="SubheadnoTOC"/>
    <w:rsid w:val="00BD581F"/>
    <w:rPr>
      <w:rFonts w:asciiTheme="majorHAnsi" w:eastAsiaTheme="majorEastAsia" w:hAnsiTheme="majorHAnsi" w:cstheme="majorBidi"/>
      <w:b/>
      <w:bCs/>
      <w:color w:val="AFB575" w:themeColor="accent4"/>
      <w:sz w:val="32"/>
      <w:szCs w:val="32"/>
    </w:rPr>
  </w:style>
  <w:style w:type="paragraph" w:styleId="TOC1">
    <w:name w:val="toc 1"/>
    <w:basedOn w:val="BodyText"/>
    <w:next w:val="Normal"/>
    <w:autoRedefine/>
    <w:uiPriority w:val="39"/>
    <w:unhideWhenUsed/>
    <w:qFormat/>
    <w:rsid w:val="00DC5BA1"/>
    <w:pPr>
      <w:tabs>
        <w:tab w:val="right" w:leader="dot" w:pos="9000"/>
      </w:tabs>
      <w:spacing w:after="60"/>
      <w:ind w:firstLine="0"/>
    </w:pPr>
    <w:rPr>
      <w:b/>
      <w:caps/>
      <w:noProof/>
      <w:color w:val="003A5D"/>
    </w:rPr>
  </w:style>
  <w:style w:type="paragraph" w:styleId="TOC2">
    <w:name w:val="toc 2"/>
    <w:basedOn w:val="BodyText"/>
    <w:next w:val="Normal"/>
    <w:autoRedefine/>
    <w:uiPriority w:val="39"/>
    <w:unhideWhenUsed/>
    <w:qFormat/>
    <w:rsid w:val="00F35DB8"/>
    <w:pPr>
      <w:tabs>
        <w:tab w:val="right" w:pos="9000"/>
      </w:tabs>
      <w:spacing w:before="20" w:after="20"/>
      <w:ind w:firstLine="0"/>
    </w:pPr>
    <w:rPr>
      <w:b/>
      <w:caps/>
      <w:noProof/>
      <w:color w:val="8CA4A4" w:themeColor="accent5"/>
      <w:kern w:val="28"/>
      <w:sz w:val="20"/>
      <w:szCs w:val="20"/>
    </w:rPr>
  </w:style>
  <w:style w:type="paragraph" w:styleId="EndnoteText">
    <w:name w:val="endnote text"/>
    <w:basedOn w:val="Normal"/>
    <w:link w:val="EndnoteTextChar"/>
    <w:uiPriority w:val="99"/>
    <w:semiHidden/>
    <w:unhideWhenUsed/>
    <w:rsid w:val="0044122A"/>
    <w:rPr>
      <w:sz w:val="20"/>
      <w:szCs w:val="20"/>
    </w:rPr>
  </w:style>
  <w:style w:type="character" w:customStyle="1" w:styleId="EndnoteTextChar">
    <w:name w:val="Endnote Text Char"/>
    <w:basedOn w:val="DefaultParagraphFont"/>
    <w:link w:val="EndnoteText"/>
    <w:uiPriority w:val="99"/>
    <w:semiHidden/>
    <w:rsid w:val="0044122A"/>
    <w:rPr>
      <w:rFonts w:eastAsia="Times New Roman" w:cs="Times New Roman"/>
      <w:sz w:val="20"/>
      <w:szCs w:val="20"/>
    </w:rPr>
  </w:style>
  <w:style w:type="character" w:styleId="EndnoteReference">
    <w:name w:val="endnote reference"/>
    <w:basedOn w:val="DefaultParagraphFont"/>
    <w:uiPriority w:val="99"/>
    <w:semiHidden/>
    <w:unhideWhenUsed/>
    <w:rsid w:val="0044122A"/>
    <w:rPr>
      <w:vertAlign w:val="superscript"/>
    </w:rPr>
  </w:style>
  <w:style w:type="paragraph" w:customStyle="1" w:styleId="AonBusinessUnit">
    <w:name w:val="Aon Business Unit"/>
    <w:basedOn w:val="Normal"/>
    <w:qFormat/>
    <w:rsid w:val="004B5347"/>
    <w:pPr>
      <w:tabs>
        <w:tab w:val="right" w:pos="9360"/>
      </w:tabs>
    </w:pPr>
    <w:rPr>
      <w:rFonts w:ascii="Arial" w:eastAsia="MS Mincho" w:hAnsi="Arial"/>
      <w:b/>
      <w:sz w:val="16"/>
      <w:szCs w:val="16"/>
    </w:rPr>
  </w:style>
  <w:style w:type="character" w:customStyle="1" w:styleId="ListParagraphChar">
    <w:name w:val="List Paragraph Char"/>
    <w:aliases w:val="Bullet List Paragraph Char,PRI Bullets Char,text bullet Char,d_bodyb Char,Numbers Char,Paragraphe de liste Char,Bullet point list Char,Catch All Char,Heading III Char,Bullet List Char,FooterText Char,numbered Char,列出段落 Char"/>
    <w:link w:val="ListParagraph"/>
    <w:uiPriority w:val="34"/>
    <w:rsid w:val="007734FF"/>
    <w:rPr>
      <w:rFonts w:eastAsia="Times New Roman" w:cs="Times New Roman"/>
      <w:szCs w:val="24"/>
    </w:rPr>
  </w:style>
  <w:style w:type="table" w:styleId="MediumGrid1-Accent4">
    <w:name w:val="Medium Grid 1 Accent 4"/>
    <w:basedOn w:val="TableNormal"/>
    <w:uiPriority w:val="67"/>
    <w:rsid w:val="000C014F"/>
    <w:pPr>
      <w:spacing w:after="0" w:line="240" w:lineRule="auto"/>
    </w:pPr>
    <w:tblPr>
      <w:tblStyleRowBandSize w:val="1"/>
      <w:tblStyleColBandSize w:val="1"/>
      <w:tblBorders>
        <w:top w:val="single" w:sz="8" w:space="0" w:color="C2C797" w:themeColor="accent4" w:themeTint="BF"/>
        <w:left w:val="single" w:sz="8" w:space="0" w:color="C2C797" w:themeColor="accent4" w:themeTint="BF"/>
        <w:bottom w:val="single" w:sz="8" w:space="0" w:color="C2C797" w:themeColor="accent4" w:themeTint="BF"/>
        <w:right w:val="single" w:sz="8" w:space="0" w:color="C2C797" w:themeColor="accent4" w:themeTint="BF"/>
        <w:insideH w:val="single" w:sz="8" w:space="0" w:color="C2C797" w:themeColor="accent4" w:themeTint="BF"/>
        <w:insideV w:val="single" w:sz="8" w:space="0" w:color="C2C797" w:themeColor="accent4" w:themeTint="BF"/>
      </w:tblBorders>
    </w:tblPr>
    <w:tcPr>
      <w:shd w:val="clear" w:color="auto" w:fill="EBECDC" w:themeFill="accent4" w:themeFillTint="3F"/>
    </w:tcPr>
    <w:tblStylePr w:type="firstRow">
      <w:rPr>
        <w:b/>
        <w:bCs/>
      </w:rPr>
    </w:tblStylePr>
    <w:tblStylePr w:type="lastRow">
      <w:rPr>
        <w:b/>
        <w:bCs/>
      </w:rPr>
      <w:tblPr/>
      <w:tcPr>
        <w:tcBorders>
          <w:top w:val="single" w:sz="18" w:space="0" w:color="C2C797" w:themeColor="accent4" w:themeTint="BF"/>
        </w:tcBorders>
      </w:tcPr>
    </w:tblStylePr>
    <w:tblStylePr w:type="firstCol">
      <w:rPr>
        <w:b/>
        <w:bCs/>
      </w:rPr>
    </w:tblStylePr>
    <w:tblStylePr w:type="lastCol">
      <w:rPr>
        <w:b/>
        <w:bCs/>
      </w:rPr>
    </w:tblStylePr>
    <w:tblStylePr w:type="band1Vert">
      <w:tblPr/>
      <w:tcPr>
        <w:shd w:val="clear" w:color="auto" w:fill="D7DABA" w:themeFill="accent4" w:themeFillTint="7F"/>
      </w:tcPr>
    </w:tblStylePr>
    <w:tblStylePr w:type="band1Horz">
      <w:tblPr/>
      <w:tcPr>
        <w:shd w:val="clear" w:color="auto" w:fill="D7DABA" w:themeFill="accent4" w:themeFillTint="7F"/>
      </w:tcPr>
    </w:tblStylePr>
  </w:style>
  <w:style w:type="table" w:styleId="LightList-Accent2">
    <w:name w:val="Light List Accent 2"/>
    <w:basedOn w:val="TableNormal"/>
    <w:uiPriority w:val="61"/>
    <w:rsid w:val="007C5D75"/>
    <w:pPr>
      <w:spacing w:after="0" w:line="240" w:lineRule="auto"/>
    </w:pPr>
    <w:tblPr>
      <w:tblStyleRowBandSize w:val="1"/>
      <w:tblStyleColBandSize w:val="1"/>
      <w:tblBorders>
        <w:top w:val="single" w:sz="8" w:space="0" w:color="145783" w:themeColor="accent2"/>
        <w:left w:val="single" w:sz="8" w:space="0" w:color="145783" w:themeColor="accent2"/>
        <w:bottom w:val="single" w:sz="8" w:space="0" w:color="145783" w:themeColor="accent2"/>
        <w:right w:val="single" w:sz="8" w:space="0" w:color="145783" w:themeColor="accent2"/>
      </w:tblBorders>
    </w:tblPr>
    <w:tblStylePr w:type="firstRow">
      <w:pPr>
        <w:spacing w:before="0" w:after="0" w:line="240" w:lineRule="auto"/>
      </w:pPr>
      <w:rPr>
        <w:b/>
        <w:bCs/>
        <w:color w:val="FFFFFF" w:themeColor="background1"/>
      </w:rPr>
      <w:tblPr/>
      <w:tcPr>
        <w:shd w:val="clear" w:color="auto" w:fill="145783" w:themeFill="accent2"/>
      </w:tcPr>
    </w:tblStylePr>
    <w:tblStylePr w:type="lastRow">
      <w:pPr>
        <w:spacing w:before="0" w:after="0" w:line="240" w:lineRule="auto"/>
      </w:pPr>
      <w:rPr>
        <w:b/>
        <w:bCs/>
      </w:rPr>
      <w:tblPr/>
      <w:tcPr>
        <w:tcBorders>
          <w:top w:val="double" w:sz="6" w:space="0" w:color="145783" w:themeColor="accent2"/>
          <w:left w:val="single" w:sz="8" w:space="0" w:color="145783" w:themeColor="accent2"/>
          <w:bottom w:val="single" w:sz="8" w:space="0" w:color="145783" w:themeColor="accent2"/>
          <w:right w:val="single" w:sz="8" w:space="0" w:color="145783" w:themeColor="accent2"/>
        </w:tcBorders>
      </w:tcPr>
    </w:tblStylePr>
    <w:tblStylePr w:type="firstCol">
      <w:rPr>
        <w:b/>
        <w:bCs/>
      </w:rPr>
    </w:tblStylePr>
    <w:tblStylePr w:type="lastCol">
      <w:rPr>
        <w:b/>
        <w:bCs/>
      </w:rPr>
    </w:tblStylePr>
    <w:tblStylePr w:type="band1Vert">
      <w:tblPr/>
      <w:tcPr>
        <w:tcBorders>
          <w:top w:val="single" w:sz="8" w:space="0" w:color="145783" w:themeColor="accent2"/>
          <w:left w:val="single" w:sz="8" w:space="0" w:color="145783" w:themeColor="accent2"/>
          <w:bottom w:val="single" w:sz="8" w:space="0" w:color="145783" w:themeColor="accent2"/>
          <w:right w:val="single" w:sz="8" w:space="0" w:color="145783" w:themeColor="accent2"/>
        </w:tcBorders>
      </w:tcPr>
    </w:tblStylePr>
    <w:tblStylePr w:type="band1Horz">
      <w:tblPr/>
      <w:tcPr>
        <w:tcBorders>
          <w:top w:val="single" w:sz="8" w:space="0" w:color="145783" w:themeColor="accent2"/>
          <w:left w:val="single" w:sz="8" w:space="0" w:color="145783" w:themeColor="accent2"/>
          <w:bottom w:val="single" w:sz="8" w:space="0" w:color="145783" w:themeColor="accent2"/>
          <w:right w:val="single" w:sz="8" w:space="0" w:color="145783" w:themeColor="accent2"/>
        </w:tcBorders>
      </w:tcPr>
    </w:tblStylePr>
  </w:style>
  <w:style w:type="paragraph" w:customStyle="1" w:styleId="AonBodyCopy">
    <w:name w:val="Aon Body Copy"/>
    <w:basedOn w:val="Normal"/>
    <w:link w:val="AonBodyCopyChar"/>
    <w:rsid w:val="0053037A"/>
    <w:pPr>
      <w:spacing w:after="240" w:line="264" w:lineRule="auto"/>
    </w:pPr>
    <w:rPr>
      <w:rFonts w:ascii="Arial" w:eastAsia="MS Mincho" w:hAnsi="Arial"/>
      <w:sz w:val="20"/>
      <w:szCs w:val="20"/>
    </w:rPr>
  </w:style>
  <w:style w:type="character" w:customStyle="1" w:styleId="AonBodyCopyChar">
    <w:name w:val="Aon Body Copy Char"/>
    <w:basedOn w:val="DefaultParagraphFont"/>
    <w:link w:val="AonBodyCopy"/>
    <w:locked/>
    <w:rsid w:val="0053037A"/>
    <w:rPr>
      <w:rFonts w:ascii="Arial" w:eastAsia="MS Mincho" w:hAnsi="Arial" w:cs="Times New Roman"/>
      <w:sz w:val="20"/>
      <w:szCs w:val="20"/>
    </w:rPr>
  </w:style>
  <w:style w:type="paragraph" w:customStyle="1" w:styleId="AnswerPGIM">
    <w:name w:val="|Answer PGIM|"/>
    <w:basedOn w:val="Normal"/>
    <w:link w:val="AnswerPGIMChar"/>
    <w:autoRedefine/>
    <w:uiPriority w:val="1"/>
    <w:qFormat/>
    <w:rsid w:val="002752A7"/>
    <w:pPr>
      <w:widowControl w:val="0"/>
      <w:tabs>
        <w:tab w:val="left" w:pos="1080"/>
        <w:tab w:val="left" w:pos="2340"/>
        <w:tab w:val="left" w:pos="8910"/>
      </w:tabs>
      <w:spacing w:before="120" w:after="120"/>
      <w:ind w:right="29"/>
    </w:pPr>
    <w:rPr>
      <w:rFonts w:ascii="Arial Narrow" w:eastAsia="MS Mincho" w:hAnsi="Arial Narrow" w:cstheme="minorBidi"/>
      <w:color w:val="404040" w:themeColor="text1" w:themeTint="BF"/>
      <w:szCs w:val="22"/>
      <w:lang w:eastAsia="en-GB"/>
    </w:rPr>
  </w:style>
  <w:style w:type="character" w:customStyle="1" w:styleId="AnswerPGIMChar">
    <w:name w:val="|Answer PGIM Char|"/>
    <w:basedOn w:val="DefaultParagraphFont"/>
    <w:link w:val="AnswerPGIM"/>
    <w:uiPriority w:val="1"/>
    <w:rsid w:val="002752A7"/>
    <w:rPr>
      <w:rFonts w:ascii="Arial Narrow" w:eastAsia="MS Mincho" w:hAnsi="Arial Narrow"/>
      <w:color w:val="404040" w:themeColor="text1" w:themeTint="BF"/>
      <w:lang w:eastAsia="en-GB"/>
    </w:rPr>
  </w:style>
  <w:style w:type="table" w:customStyle="1" w:styleId="LightList-Accent21">
    <w:name w:val="Light List - Accent 21"/>
    <w:basedOn w:val="TableNormal"/>
    <w:next w:val="LightList-Accent2"/>
    <w:uiPriority w:val="61"/>
    <w:rsid w:val="00CB7605"/>
    <w:pPr>
      <w:spacing w:after="0" w:line="240" w:lineRule="auto"/>
    </w:pPr>
    <w:tblPr>
      <w:tblStyleRowBandSize w:val="1"/>
      <w:tblStyleColBandSize w:val="1"/>
      <w:tblBorders>
        <w:top w:val="single" w:sz="8" w:space="0" w:color="145783"/>
        <w:left w:val="single" w:sz="8" w:space="0" w:color="145783"/>
        <w:bottom w:val="single" w:sz="8" w:space="0" w:color="145783"/>
        <w:right w:val="single" w:sz="8" w:space="0" w:color="145783"/>
      </w:tblBorders>
    </w:tblPr>
    <w:tblStylePr w:type="firstRow">
      <w:pPr>
        <w:spacing w:before="0" w:after="0" w:line="240" w:lineRule="auto"/>
      </w:pPr>
      <w:rPr>
        <w:b/>
        <w:bCs/>
        <w:color w:val="FFFFFF"/>
      </w:rPr>
      <w:tblPr/>
      <w:tcPr>
        <w:shd w:val="clear" w:color="auto" w:fill="145783"/>
      </w:tcPr>
    </w:tblStylePr>
    <w:tblStylePr w:type="lastRow">
      <w:pPr>
        <w:spacing w:before="0" w:after="0" w:line="240" w:lineRule="auto"/>
      </w:pPr>
      <w:rPr>
        <w:b/>
        <w:bCs/>
      </w:rPr>
      <w:tblPr/>
      <w:tcPr>
        <w:tcBorders>
          <w:top w:val="double" w:sz="6" w:space="0" w:color="145783"/>
          <w:left w:val="single" w:sz="8" w:space="0" w:color="145783"/>
          <w:bottom w:val="single" w:sz="8" w:space="0" w:color="145783"/>
          <w:right w:val="single" w:sz="8" w:space="0" w:color="145783"/>
        </w:tcBorders>
      </w:tcPr>
    </w:tblStylePr>
    <w:tblStylePr w:type="firstCol">
      <w:rPr>
        <w:b/>
        <w:bCs/>
      </w:rPr>
    </w:tblStylePr>
    <w:tblStylePr w:type="lastCol">
      <w:rPr>
        <w:b/>
        <w:bCs/>
      </w:rPr>
    </w:tblStylePr>
    <w:tblStylePr w:type="band1Vert">
      <w:tblPr/>
      <w:tcPr>
        <w:tcBorders>
          <w:top w:val="single" w:sz="8" w:space="0" w:color="145783"/>
          <w:left w:val="single" w:sz="8" w:space="0" w:color="145783"/>
          <w:bottom w:val="single" w:sz="8" w:space="0" w:color="145783"/>
          <w:right w:val="single" w:sz="8" w:space="0" w:color="145783"/>
        </w:tcBorders>
      </w:tcPr>
    </w:tblStylePr>
    <w:tblStylePr w:type="band1Horz">
      <w:tblPr/>
      <w:tcPr>
        <w:tcBorders>
          <w:top w:val="single" w:sz="8" w:space="0" w:color="145783"/>
          <w:left w:val="single" w:sz="8" w:space="0" w:color="145783"/>
          <w:bottom w:val="single" w:sz="8" w:space="0" w:color="145783"/>
          <w:right w:val="single" w:sz="8" w:space="0" w:color="145783"/>
        </w:tcBorders>
      </w:tcPr>
    </w:tblStylePr>
  </w:style>
  <w:style w:type="paragraph" w:styleId="NormalWeb">
    <w:name w:val="Normal (Web)"/>
    <w:basedOn w:val="Normal"/>
    <w:uiPriority w:val="99"/>
    <w:semiHidden/>
    <w:unhideWhenUsed/>
    <w:rsid w:val="00315F17"/>
    <w:pPr>
      <w:spacing w:before="100" w:beforeAutospacing="1" w:after="100" w:afterAutospacing="1"/>
    </w:pPr>
    <w:rPr>
      <w:rFonts w:ascii="Times New Roman" w:hAnsi="Times New Roman"/>
      <w:sz w:val="24"/>
    </w:rPr>
  </w:style>
  <w:style w:type="character" w:styleId="Emphasis">
    <w:name w:val="Emphasis"/>
    <w:basedOn w:val="DefaultParagraphFont"/>
    <w:uiPriority w:val="20"/>
    <w:qFormat/>
    <w:rsid w:val="00BE63AA"/>
    <w:rPr>
      <w:i/>
      <w:iCs/>
    </w:rPr>
  </w:style>
  <w:style w:type="paragraph" w:customStyle="1" w:styleId="CallanLetterBody">
    <w:name w:val="Callan Letter Body"/>
    <w:qFormat/>
    <w:rsid w:val="00AF3143"/>
    <w:pPr>
      <w:spacing w:after="0" w:line="300" w:lineRule="exact"/>
      <w:jc w:val="both"/>
    </w:pPr>
    <w:rPr>
      <w:rFonts w:ascii="Arial" w:eastAsiaTheme="minorEastAsia" w:hAnsi="Arial" w:cs="Arial"/>
      <w:color w:val="000000"/>
      <w:sz w:val="20"/>
      <w:szCs w:val="18"/>
    </w:rPr>
  </w:style>
  <w:style w:type="table" w:styleId="GridTable4-Accent4">
    <w:name w:val="Grid Table 4 Accent 4"/>
    <w:basedOn w:val="TableNormal"/>
    <w:uiPriority w:val="49"/>
    <w:rsid w:val="00381DDC"/>
    <w:pPr>
      <w:spacing w:after="0" w:line="240" w:lineRule="auto"/>
    </w:pPr>
    <w:tblPr>
      <w:tblStyleRowBandSize w:val="1"/>
      <w:tblStyleColBandSize w:val="1"/>
      <w:tblBorders>
        <w:top w:val="single" w:sz="4" w:space="0" w:color="CFD2AC" w:themeColor="accent4" w:themeTint="99"/>
        <w:left w:val="single" w:sz="4" w:space="0" w:color="CFD2AC" w:themeColor="accent4" w:themeTint="99"/>
        <w:bottom w:val="single" w:sz="4" w:space="0" w:color="CFD2AC" w:themeColor="accent4" w:themeTint="99"/>
        <w:right w:val="single" w:sz="4" w:space="0" w:color="CFD2AC" w:themeColor="accent4" w:themeTint="99"/>
        <w:insideH w:val="single" w:sz="4" w:space="0" w:color="CFD2AC" w:themeColor="accent4" w:themeTint="99"/>
        <w:insideV w:val="single" w:sz="4" w:space="0" w:color="CFD2AC" w:themeColor="accent4" w:themeTint="99"/>
      </w:tblBorders>
    </w:tblPr>
    <w:tblStylePr w:type="firstRow">
      <w:rPr>
        <w:b/>
        <w:bCs/>
        <w:color w:val="FFFFFF" w:themeColor="background1"/>
      </w:rPr>
      <w:tblPr/>
      <w:tcPr>
        <w:tcBorders>
          <w:top w:val="single" w:sz="4" w:space="0" w:color="AFB575" w:themeColor="accent4"/>
          <w:left w:val="single" w:sz="4" w:space="0" w:color="AFB575" w:themeColor="accent4"/>
          <w:bottom w:val="single" w:sz="4" w:space="0" w:color="AFB575" w:themeColor="accent4"/>
          <w:right w:val="single" w:sz="4" w:space="0" w:color="AFB575" w:themeColor="accent4"/>
          <w:insideH w:val="nil"/>
          <w:insideV w:val="nil"/>
        </w:tcBorders>
        <w:shd w:val="clear" w:color="auto" w:fill="AFB575" w:themeFill="accent4"/>
      </w:tcPr>
    </w:tblStylePr>
    <w:tblStylePr w:type="lastRow">
      <w:rPr>
        <w:b/>
        <w:bCs/>
      </w:rPr>
      <w:tblPr/>
      <w:tcPr>
        <w:tcBorders>
          <w:top w:val="double" w:sz="4" w:space="0" w:color="AFB575" w:themeColor="accent4"/>
        </w:tcBorders>
      </w:tcPr>
    </w:tblStylePr>
    <w:tblStylePr w:type="firstCol">
      <w:rPr>
        <w:b/>
        <w:bCs/>
      </w:rPr>
    </w:tblStylePr>
    <w:tblStylePr w:type="lastCol">
      <w:rPr>
        <w:b/>
        <w:bCs/>
      </w:rPr>
    </w:tblStylePr>
    <w:tblStylePr w:type="band1Vert">
      <w:tblPr/>
      <w:tcPr>
        <w:shd w:val="clear" w:color="auto" w:fill="EEF0E3" w:themeFill="accent4" w:themeFillTint="33"/>
      </w:tcPr>
    </w:tblStylePr>
    <w:tblStylePr w:type="band1Horz">
      <w:tblPr/>
      <w:tcPr>
        <w:shd w:val="clear" w:color="auto" w:fill="EEF0E3" w:themeFill="accent4" w:themeFillTint="33"/>
      </w:tcPr>
    </w:tblStylePr>
  </w:style>
  <w:style w:type="table" w:styleId="GridTable4-Accent1">
    <w:name w:val="Grid Table 4 Accent 1"/>
    <w:basedOn w:val="TableNormal"/>
    <w:uiPriority w:val="49"/>
    <w:rsid w:val="006A107A"/>
    <w:pPr>
      <w:spacing w:after="0" w:line="240" w:lineRule="auto"/>
    </w:pPr>
    <w:tblPr>
      <w:tblStyleRowBandSize w:val="1"/>
      <w:tblStyleColBandSize w:val="1"/>
      <w:tblBorders>
        <w:top w:val="single" w:sz="4" w:space="0" w:color="04A0FF" w:themeColor="accent1" w:themeTint="99"/>
        <w:left w:val="single" w:sz="4" w:space="0" w:color="04A0FF" w:themeColor="accent1" w:themeTint="99"/>
        <w:bottom w:val="single" w:sz="4" w:space="0" w:color="04A0FF" w:themeColor="accent1" w:themeTint="99"/>
        <w:right w:val="single" w:sz="4" w:space="0" w:color="04A0FF" w:themeColor="accent1" w:themeTint="99"/>
        <w:insideH w:val="single" w:sz="4" w:space="0" w:color="04A0FF" w:themeColor="accent1" w:themeTint="99"/>
        <w:insideV w:val="single" w:sz="4" w:space="0" w:color="04A0FF" w:themeColor="accent1" w:themeTint="99"/>
      </w:tblBorders>
    </w:tblPr>
    <w:tblStylePr w:type="firstRow">
      <w:rPr>
        <w:b/>
        <w:bCs/>
        <w:color w:val="FFFFFF" w:themeColor="background1"/>
      </w:rPr>
      <w:tblPr/>
      <w:tcPr>
        <w:tcBorders>
          <w:top w:val="single" w:sz="4" w:space="0" w:color="003A5D" w:themeColor="accent1"/>
          <w:left w:val="single" w:sz="4" w:space="0" w:color="003A5D" w:themeColor="accent1"/>
          <w:bottom w:val="single" w:sz="4" w:space="0" w:color="003A5D" w:themeColor="accent1"/>
          <w:right w:val="single" w:sz="4" w:space="0" w:color="003A5D" w:themeColor="accent1"/>
          <w:insideH w:val="nil"/>
          <w:insideV w:val="nil"/>
        </w:tcBorders>
        <w:shd w:val="clear" w:color="auto" w:fill="003A5D" w:themeFill="accent1"/>
      </w:tcPr>
    </w:tblStylePr>
    <w:tblStylePr w:type="lastRow">
      <w:rPr>
        <w:b/>
        <w:bCs/>
      </w:rPr>
      <w:tblPr/>
      <w:tcPr>
        <w:tcBorders>
          <w:top w:val="double" w:sz="4" w:space="0" w:color="003A5D" w:themeColor="accent1"/>
        </w:tcBorders>
      </w:tcPr>
    </w:tblStylePr>
    <w:tblStylePr w:type="firstCol">
      <w:rPr>
        <w:b/>
        <w:bCs/>
      </w:rPr>
    </w:tblStylePr>
    <w:tblStylePr w:type="lastCol">
      <w:rPr>
        <w:b/>
        <w:bCs/>
      </w:rPr>
    </w:tblStylePr>
    <w:tblStylePr w:type="band1Vert">
      <w:tblPr/>
      <w:tcPr>
        <w:shd w:val="clear" w:color="auto" w:fill="ABDFFF" w:themeFill="accent1" w:themeFillTint="33"/>
      </w:tcPr>
    </w:tblStylePr>
    <w:tblStylePr w:type="band1Horz">
      <w:tblPr/>
      <w:tcPr>
        <w:shd w:val="clear" w:color="auto" w:fill="ABDFFF" w:themeFill="accent1" w:themeFillTint="33"/>
      </w:tcPr>
    </w:tblStylePr>
  </w:style>
  <w:style w:type="table" w:styleId="GridTable4-Accent2">
    <w:name w:val="Grid Table 4 Accent 2"/>
    <w:basedOn w:val="TableNormal"/>
    <w:uiPriority w:val="49"/>
    <w:rsid w:val="00F57057"/>
    <w:pPr>
      <w:spacing w:after="0" w:line="240" w:lineRule="auto"/>
    </w:pPr>
    <w:tblPr>
      <w:tblStyleRowBandSize w:val="1"/>
      <w:tblStyleColBandSize w:val="1"/>
      <w:tblBorders>
        <w:top w:val="single" w:sz="4" w:space="0" w:color="43A3E2" w:themeColor="accent2" w:themeTint="99"/>
        <w:left w:val="single" w:sz="4" w:space="0" w:color="43A3E2" w:themeColor="accent2" w:themeTint="99"/>
        <w:bottom w:val="single" w:sz="4" w:space="0" w:color="43A3E2" w:themeColor="accent2" w:themeTint="99"/>
        <w:right w:val="single" w:sz="4" w:space="0" w:color="43A3E2" w:themeColor="accent2" w:themeTint="99"/>
        <w:insideH w:val="single" w:sz="4" w:space="0" w:color="43A3E2" w:themeColor="accent2" w:themeTint="99"/>
        <w:insideV w:val="single" w:sz="4" w:space="0" w:color="43A3E2" w:themeColor="accent2" w:themeTint="99"/>
      </w:tblBorders>
    </w:tblPr>
    <w:tblStylePr w:type="firstRow">
      <w:rPr>
        <w:b/>
        <w:bCs/>
        <w:color w:val="FFFFFF" w:themeColor="background1"/>
      </w:rPr>
      <w:tblPr/>
      <w:tcPr>
        <w:tcBorders>
          <w:top w:val="single" w:sz="4" w:space="0" w:color="145783" w:themeColor="accent2"/>
          <w:left w:val="single" w:sz="4" w:space="0" w:color="145783" w:themeColor="accent2"/>
          <w:bottom w:val="single" w:sz="4" w:space="0" w:color="145783" w:themeColor="accent2"/>
          <w:right w:val="single" w:sz="4" w:space="0" w:color="145783" w:themeColor="accent2"/>
          <w:insideH w:val="nil"/>
          <w:insideV w:val="nil"/>
        </w:tcBorders>
        <w:shd w:val="clear" w:color="auto" w:fill="145783" w:themeFill="accent2"/>
      </w:tcPr>
    </w:tblStylePr>
    <w:tblStylePr w:type="lastRow">
      <w:rPr>
        <w:b/>
        <w:bCs/>
      </w:rPr>
      <w:tblPr/>
      <w:tcPr>
        <w:tcBorders>
          <w:top w:val="double" w:sz="4" w:space="0" w:color="145783" w:themeColor="accent2"/>
        </w:tcBorders>
      </w:tcPr>
    </w:tblStylePr>
    <w:tblStylePr w:type="firstCol">
      <w:rPr>
        <w:b/>
        <w:bCs/>
      </w:rPr>
    </w:tblStylePr>
    <w:tblStylePr w:type="lastCol">
      <w:rPr>
        <w:b/>
        <w:bCs/>
      </w:rPr>
    </w:tblStylePr>
    <w:tblStylePr w:type="band1Vert">
      <w:tblPr/>
      <w:tcPr>
        <w:shd w:val="clear" w:color="auto" w:fill="C0E0F5" w:themeFill="accent2" w:themeFillTint="33"/>
      </w:tcPr>
    </w:tblStylePr>
    <w:tblStylePr w:type="band1Horz">
      <w:tblPr/>
      <w:tcPr>
        <w:shd w:val="clear" w:color="auto" w:fill="C0E0F5" w:themeFill="accent2" w:themeFillTint="33"/>
      </w:tcPr>
    </w:tblStylePr>
  </w:style>
  <w:style w:type="paragraph" w:customStyle="1" w:styleId="Kader">
    <w:name w:val="Kader"/>
    <w:basedOn w:val="Normal"/>
    <w:uiPriority w:val="99"/>
    <w:rsid w:val="00806737"/>
    <w:pPr>
      <w:pBdr>
        <w:top w:val="single" w:sz="4" w:space="1" w:color="1654A3"/>
        <w:left w:val="single" w:sz="4" w:space="4" w:color="1654A3"/>
        <w:bottom w:val="single" w:sz="4" w:space="1" w:color="1654A3"/>
        <w:right w:val="single" w:sz="4" w:space="4" w:color="1654A3"/>
      </w:pBdr>
      <w:spacing w:line="284" w:lineRule="atLeast"/>
      <w:ind w:left="879"/>
    </w:pPr>
    <w:rPr>
      <w:rFonts w:ascii="Tahoma" w:hAnsi="Tahoma"/>
      <w:color w:val="1654A3"/>
      <w:sz w:val="18"/>
    </w:rPr>
  </w:style>
  <w:style w:type="paragraph" w:styleId="BodyTextIndent">
    <w:name w:val="Body Text Indent"/>
    <w:basedOn w:val="Normal"/>
    <w:link w:val="BodyTextIndentChar"/>
    <w:uiPriority w:val="99"/>
    <w:semiHidden/>
    <w:unhideWhenUsed/>
    <w:rsid w:val="00C15220"/>
    <w:pPr>
      <w:spacing w:after="120"/>
      <w:ind w:left="360"/>
    </w:pPr>
  </w:style>
  <w:style w:type="character" w:customStyle="1" w:styleId="BodyTextIndentChar">
    <w:name w:val="Body Text Indent Char"/>
    <w:basedOn w:val="DefaultParagraphFont"/>
    <w:link w:val="BodyTextIndent"/>
    <w:uiPriority w:val="99"/>
    <w:semiHidden/>
    <w:rsid w:val="00C15220"/>
    <w:rPr>
      <w:rFonts w:eastAsia="Times New Roman" w:cs="Times New Roman"/>
      <w:szCs w:val="24"/>
    </w:rPr>
  </w:style>
  <w:style w:type="table" w:customStyle="1" w:styleId="GridTable1Light-Accent51">
    <w:name w:val="Grid Table 1 Light - Accent 51"/>
    <w:basedOn w:val="TableNormal"/>
    <w:uiPriority w:val="46"/>
    <w:rsid w:val="00756FDE"/>
    <w:pPr>
      <w:spacing w:after="0" w:line="240" w:lineRule="auto"/>
    </w:pPr>
    <w:tblPr>
      <w:tblStyleRowBandSize w:val="1"/>
      <w:tblStyleColBandSize w:val="1"/>
      <w:tblInd w:w="0" w:type="nil"/>
      <w:tblBorders>
        <w:top w:val="single" w:sz="4" w:space="0" w:color="D0DADA" w:themeColor="accent5" w:themeTint="66"/>
        <w:left w:val="single" w:sz="4" w:space="0" w:color="D0DADA" w:themeColor="accent5" w:themeTint="66"/>
        <w:bottom w:val="single" w:sz="4" w:space="0" w:color="D0DADA" w:themeColor="accent5" w:themeTint="66"/>
        <w:right w:val="single" w:sz="4" w:space="0" w:color="D0DADA" w:themeColor="accent5" w:themeTint="66"/>
        <w:insideH w:val="single" w:sz="4" w:space="0" w:color="D0DADA" w:themeColor="accent5" w:themeTint="66"/>
        <w:insideV w:val="single" w:sz="4" w:space="0" w:color="D0DADA" w:themeColor="accent5" w:themeTint="66"/>
      </w:tblBorders>
    </w:tblPr>
    <w:tblStylePr w:type="firstRow">
      <w:rPr>
        <w:b/>
        <w:bCs/>
      </w:rPr>
      <w:tblPr/>
      <w:tcPr>
        <w:tcBorders>
          <w:bottom w:val="single" w:sz="12" w:space="0" w:color="B9C8C8" w:themeColor="accent5" w:themeTint="99"/>
        </w:tcBorders>
      </w:tcPr>
    </w:tblStylePr>
    <w:tblStylePr w:type="lastRow">
      <w:rPr>
        <w:b/>
        <w:bCs/>
      </w:rPr>
      <w:tblPr/>
      <w:tcPr>
        <w:tcBorders>
          <w:top w:val="double" w:sz="2" w:space="0" w:color="B9C8C8" w:themeColor="accent5" w:themeTint="99"/>
        </w:tcBorders>
      </w:tcPr>
    </w:tblStylePr>
    <w:tblStylePr w:type="firstCol">
      <w:rPr>
        <w:b/>
        <w:bCs/>
      </w:rPr>
    </w:tblStylePr>
    <w:tblStylePr w:type="lastCol">
      <w:rPr>
        <w:b/>
        <w:bCs/>
      </w:rPr>
    </w:tblStylePr>
  </w:style>
  <w:style w:type="paragraph" w:customStyle="1" w:styleId="Bulletplus">
    <w:name w:val="Bullet plus"/>
    <w:basedOn w:val="Normal"/>
    <w:rsid w:val="00E62459"/>
    <w:pPr>
      <w:numPr>
        <w:numId w:val="3"/>
      </w:numPr>
      <w:spacing w:after="120"/>
    </w:pPr>
    <w:rPr>
      <w:rFonts w:ascii="Arial" w:hAnsi="Arial"/>
      <w:sz w:val="20"/>
      <w:szCs w:val="23"/>
      <w:lang w:val="en-GB"/>
    </w:rPr>
  </w:style>
  <w:style w:type="character" w:customStyle="1" w:styleId="Heading6Char">
    <w:name w:val="Heading 6 Char"/>
    <w:basedOn w:val="DefaultParagraphFont"/>
    <w:link w:val="Heading6"/>
    <w:uiPriority w:val="9"/>
    <w:semiHidden/>
    <w:rsid w:val="009A3F8A"/>
    <w:rPr>
      <w:rFonts w:asciiTheme="majorHAnsi" w:eastAsiaTheme="majorEastAsia" w:hAnsiTheme="majorHAnsi" w:cstheme="majorBidi"/>
      <w:color w:val="001C2E" w:themeColor="accent1" w:themeShade="7F"/>
      <w:szCs w:val="24"/>
    </w:rPr>
  </w:style>
  <w:style w:type="paragraph" w:customStyle="1" w:styleId="TableParagraph">
    <w:name w:val="Table Paragraph"/>
    <w:basedOn w:val="Normal"/>
    <w:uiPriority w:val="1"/>
    <w:qFormat/>
    <w:rsid w:val="005C4AFB"/>
    <w:pPr>
      <w:widowControl w:val="0"/>
    </w:pPr>
    <w:rPr>
      <w:rFonts w:eastAsiaTheme="minorHAnsi" w:cstheme="minorBidi"/>
      <w:szCs w:val="22"/>
    </w:rPr>
  </w:style>
  <w:style w:type="table" w:customStyle="1" w:styleId="DVTable">
    <w:name w:val="DV Table"/>
    <w:basedOn w:val="ListTable3"/>
    <w:uiPriority w:val="99"/>
    <w:rsid w:val="00E36988"/>
    <w:rPr>
      <w:rFonts w:ascii="Cambria" w:hAnsi="Cambria"/>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
    <w:name w:val="List Table 3"/>
    <w:basedOn w:val="TableNormal"/>
    <w:uiPriority w:val="48"/>
    <w:rsid w:val="00E3698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bumpedfont15">
    <w:name w:val="bumpedfont15"/>
    <w:rsid w:val="00811D2C"/>
  </w:style>
  <w:style w:type="paragraph" w:customStyle="1" w:styleId="xmsonormal">
    <w:name w:val="x_msonormal"/>
    <w:basedOn w:val="Normal"/>
    <w:rsid w:val="00EB535E"/>
    <w:rPr>
      <w:rFonts w:ascii="Calibri" w:eastAsiaTheme="minorHAnsi" w:hAnsi="Calibri" w:cs="Calibr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8103">
      <w:bodyDiv w:val="1"/>
      <w:marLeft w:val="0"/>
      <w:marRight w:val="0"/>
      <w:marTop w:val="0"/>
      <w:marBottom w:val="0"/>
      <w:divBdr>
        <w:top w:val="none" w:sz="0" w:space="0" w:color="auto"/>
        <w:left w:val="none" w:sz="0" w:space="0" w:color="auto"/>
        <w:bottom w:val="none" w:sz="0" w:space="0" w:color="auto"/>
        <w:right w:val="none" w:sz="0" w:space="0" w:color="auto"/>
      </w:divBdr>
    </w:div>
    <w:div w:id="52773964">
      <w:bodyDiv w:val="1"/>
      <w:marLeft w:val="0"/>
      <w:marRight w:val="0"/>
      <w:marTop w:val="0"/>
      <w:marBottom w:val="0"/>
      <w:divBdr>
        <w:top w:val="none" w:sz="0" w:space="0" w:color="auto"/>
        <w:left w:val="none" w:sz="0" w:space="0" w:color="auto"/>
        <w:bottom w:val="none" w:sz="0" w:space="0" w:color="auto"/>
        <w:right w:val="none" w:sz="0" w:space="0" w:color="auto"/>
      </w:divBdr>
    </w:div>
    <w:div w:id="54084730">
      <w:bodyDiv w:val="1"/>
      <w:marLeft w:val="0"/>
      <w:marRight w:val="0"/>
      <w:marTop w:val="0"/>
      <w:marBottom w:val="0"/>
      <w:divBdr>
        <w:top w:val="none" w:sz="0" w:space="0" w:color="auto"/>
        <w:left w:val="none" w:sz="0" w:space="0" w:color="auto"/>
        <w:bottom w:val="none" w:sz="0" w:space="0" w:color="auto"/>
        <w:right w:val="none" w:sz="0" w:space="0" w:color="auto"/>
      </w:divBdr>
    </w:div>
    <w:div w:id="74860040">
      <w:bodyDiv w:val="1"/>
      <w:marLeft w:val="0"/>
      <w:marRight w:val="0"/>
      <w:marTop w:val="0"/>
      <w:marBottom w:val="0"/>
      <w:divBdr>
        <w:top w:val="none" w:sz="0" w:space="0" w:color="auto"/>
        <w:left w:val="none" w:sz="0" w:space="0" w:color="auto"/>
        <w:bottom w:val="none" w:sz="0" w:space="0" w:color="auto"/>
        <w:right w:val="none" w:sz="0" w:space="0" w:color="auto"/>
      </w:divBdr>
    </w:div>
    <w:div w:id="81069958">
      <w:bodyDiv w:val="1"/>
      <w:marLeft w:val="0"/>
      <w:marRight w:val="0"/>
      <w:marTop w:val="0"/>
      <w:marBottom w:val="0"/>
      <w:divBdr>
        <w:top w:val="none" w:sz="0" w:space="0" w:color="auto"/>
        <w:left w:val="none" w:sz="0" w:space="0" w:color="auto"/>
        <w:bottom w:val="none" w:sz="0" w:space="0" w:color="auto"/>
        <w:right w:val="none" w:sz="0" w:space="0" w:color="auto"/>
      </w:divBdr>
    </w:div>
    <w:div w:id="81075396">
      <w:bodyDiv w:val="1"/>
      <w:marLeft w:val="0"/>
      <w:marRight w:val="0"/>
      <w:marTop w:val="0"/>
      <w:marBottom w:val="0"/>
      <w:divBdr>
        <w:top w:val="none" w:sz="0" w:space="0" w:color="auto"/>
        <w:left w:val="none" w:sz="0" w:space="0" w:color="auto"/>
        <w:bottom w:val="none" w:sz="0" w:space="0" w:color="auto"/>
        <w:right w:val="none" w:sz="0" w:space="0" w:color="auto"/>
      </w:divBdr>
    </w:div>
    <w:div w:id="88430649">
      <w:bodyDiv w:val="1"/>
      <w:marLeft w:val="0"/>
      <w:marRight w:val="0"/>
      <w:marTop w:val="0"/>
      <w:marBottom w:val="0"/>
      <w:divBdr>
        <w:top w:val="none" w:sz="0" w:space="0" w:color="auto"/>
        <w:left w:val="none" w:sz="0" w:space="0" w:color="auto"/>
        <w:bottom w:val="none" w:sz="0" w:space="0" w:color="auto"/>
        <w:right w:val="none" w:sz="0" w:space="0" w:color="auto"/>
      </w:divBdr>
    </w:div>
    <w:div w:id="136921548">
      <w:bodyDiv w:val="1"/>
      <w:marLeft w:val="0"/>
      <w:marRight w:val="0"/>
      <w:marTop w:val="0"/>
      <w:marBottom w:val="0"/>
      <w:divBdr>
        <w:top w:val="none" w:sz="0" w:space="0" w:color="auto"/>
        <w:left w:val="none" w:sz="0" w:space="0" w:color="auto"/>
        <w:bottom w:val="none" w:sz="0" w:space="0" w:color="auto"/>
        <w:right w:val="none" w:sz="0" w:space="0" w:color="auto"/>
      </w:divBdr>
    </w:div>
    <w:div w:id="166680556">
      <w:bodyDiv w:val="1"/>
      <w:marLeft w:val="0"/>
      <w:marRight w:val="0"/>
      <w:marTop w:val="0"/>
      <w:marBottom w:val="0"/>
      <w:divBdr>
        <w:top w:val="none" w:sz="0" w:space="0" w:color="auto"/>
        <w:left w:val="none" w:sz="0" w:space="0" w:color="auto"/>
        <w:bottom w:val="none" w:sz="0" w:space="0" w:color="auto"/>
        <w:right w:val="none" w:sz="0" w:space="0" w:color="auto"/>
      </w:divBdr>
    </w:div>
    <w:div w:id="184367614">
      <w:bodyDiv w:val="1"/>
      <w:marLeft w:val="0"/>
      <w:marRight w:val="0"/>
      <w:marTop w:val="0"/>
      <w:marBottom w:val="0"/>
      <w:divBdr>
        <w:top w:val="none" w:sz="0" w:space="0" w:color="auto"/>
        <w:left w:val="none" w:sz="0" w:space="0" w:color="auto"/>
        <w:bottom w:val="none" w:sz="0" w:space="0" w:color="auto"/>
        <w:right w:val="none" w:sz="0" w:space="0" w:color="auto"/>
      </w:divBdr>
    </w:div>
    <w:div w:id="236549528">
      <w:bodyDiv w:val="1"/>
      <w:marLeft w:val="0"/>
      <w:marRight w:val="0"/>
      <w:marTop w:val="0"/>
      <w:marBottom w:val="0"/>
      <w:divBdr>
        <w:top w:val="none" w:sz="0" w:space="0" w:color="auto"/>
        <w:left w:val="none" w:sz="0" w:space="0" w:color="auto"/>
        <w:bottom w:val="none" w:sz="0" w:space="0" w:color="auto"/>
        <w:right w:val="none" w:sz="0" w:space="0" w:color="auto"/>
      </w:divBdr>
    </w:div>
    <w:div w:id="259069428">
      <w:bodyDiv w:val="1"/>
      <w:marLeft w:val="0"/>
      <w:marRight w:val="0"/>
      <w:marTop w:val="0"/>
      <w:marBottom w:val="0"/>
      <w:divBdr>
        <w:top w:val="none" w:sz="0" w:space="0" w:color="auto"/>
        <w:left w:val="none" w:sz="0" w:space="0" w:color="auto"/>
        <w:bottom w:val="none" w:sz="0" w:space="0" w:color="auto"/>
        <w:right w:val="none" w:sz="0" w:space="0" w:color="auto"/>
      </w:divBdr>
    </w:div>
    <w:div w:id="283654270">
      <w:bodyDiv w:val="1"/>
      <w:marLeft w:val="0"/>
      <w:marRight w:val="0"/>
      <w:marTop w:val="0"/>
      <w:marBottom w:val="0"/>
      <w:divBdr>
        <w:top w:val="none" w:sz="0" w:space="0" w:color="auto"/>
        <w:left w:val="none" w:sz="0" w:space="0" w:color="auto"/>
        <w:bottom w:val="none" w:sz="0" w:space="0" w:color="auto"/>
        <w:right w:val="none" w:sz="0" w:space="0" w:color="auto"/>
      </w:divBdr>
    </w:div>
    <w:div w:id="406810703">
      <w:bodyDiv w:val="1"/>
      <w:marLeft w:val="0"/>
      <w:marRight w:val="0"/>
      <w:marTop w:val="0"/>
      <w:marBottom w:val="0"/>
      <w:divBdr>
        <w:top w:val="none" w:sz="0" w:space="0" w:color="auto"/>
        <w:left w:val="none" w:sz="0" w:space="0" w:color="auto"/>
        <w:bottom w:val="none" w:sz="0" w:space="0" w:color="auto"/>
        <w:right w:val="none" w:sz="0" w:space="0" w:color="auto"/>
      </w:divBdr>
    </w:div>
    <w:div w:id="418254228">
      <w:bodyDiv w:val="1"/>
      <w:marLeft w:val="0"/>
      <w:marRight w:val="0"/>
      <w:marTop w:val="0"/>
      <w:marBottom w:val="0"/>
      <w:divBdr>
        <w:top w:val="none" w:sz="0" w:space="0" w:color="auto"/>
        <w:left w:val="none" w:sz="0" w:space="0" w:color="auto"/>
        <w:bottom w:val="none" w:sz="0" w:space="0" w:color="auto"/>
        <w:right w:val="none" w:sz="0" w:space="0" w:color="auto"/>
      </w:divBdr>
    </w:div>
    <w:div w:id="441345481">
      <w:bodyDiv w:val="1"/>
      <w:marLeft w:val="0"/>
      <w:marRight w:val="0"/>
      <w:marTop w:val="0"/>
      <w:marBottom w:val="0"/>
      <w:divBdr>
        <w:top w:val="none" w:sz="0" w:space="0" w:color="auto"/>
        <w:left w:val="none" w:sz="0" w:space="0" w:color="auto"/>
        <w:bottom w:val="none" w:sz="0" w:space="0" w:color="auto"/>
        <w:right w:val="none" w:sz="0" w:space="0" w:color="auto"/>
      </w:divBdr>
    </w:div>
    <w:div w:id="445346379">
      <w:bodyDiv w:val="1"/>
      <w:marLeft w:val="0"/>
      <w:marRight w:val="0"/>
      <w:marTop w:val="0"/>
      <w:marBottom w:val="0"/>
      <w:divBdr>
        <w:top w:val="none" w:sz="0" w:space="0" w:color="auto"/>
        <w:left w:val="none" w:sz="0" w:space="0" w:color="auto"/>
        <w:bottom w:val="none" w:sz="0" w:space="0" w:color="auto"/>
        <w:right w:val="none" w:sz="0" w:space="0" w:color="auto"/>
      </w:divBdr>
    </w:div>
    <w:div w:id="448091116">
      <w:bodyDiv w:val="1"/>
      <w:marLeft w:val="0"/>
      <w:marRight w:val="0"/>
      <w:marTop w:val="0"/>
      <w:marBottom w:val="0"/>
      <w:divBdr>
        <w:top w:val="none" w:sz="0" w:space="0" w:color="auto"/>
        <w:left w:val="none" w:sz="0" w:space="0" w:color="auto"/>
        <w:bottom w:val="none" w:sz="0" w:space="0" w:color="auto"/>
        <w:right w:val="none" w:sz="0" w:space="0" w:color="auto"/>
      </w:divBdr>
    </w:div>
    <w:div w:id="448816729">
      <w:bodyDiv w:val="1"/>
      <w:marLeft w:val="0"/>
      <w:marRight w:val="0"/>
      <w:marTop w:val="0"/>
      <w:marBottom w:val="0"/>
      <w:divBdr>
        <w:top w:val="none" w:sz="0" w:space="0" w:color="auto"/>
        <w:left w:val="none" w:sz="0" w:space="0" w:color="auto"/>
        <w:bottom w:val="none" w:sz="0" w:space="0" w:color="auto"/>
        <w:right w:val="none" w:sz="0" w:space="0" w:color="auto"/>
      </w:divBdr>
    </w:div>
    <w:div w:id="457187327">
      <w:bodyDiv w:val="1"/>
      <w:marLeft w:val="0"/>
      <w:marRight w:val="0"/>
      <w:marTop w:val="0"/>
      <w:marBottom w:val="0"/>
      <w:divBdr>
        <w:top w:val="none" w:sz="0" w:space="0" w:color="auto"/>
        <w:left w:val="none" w:sz="0" w:space="0" w:color="auto"/>
        <w:bottom w:val="none" w:sz="0" w:space="0" w:color="auto"/>
        <w:right w:val="none" w:sz="0" w:space="0" w:color="auto"/>
      </w:divBdr>
    </w:div>
    <w:div w:id="461001312">
      <w:bodyDiv w:val="1"/>
      <w:marLeft w:val="0"/>
      <w:marRight w:val="0"/>
      <w:marTop w:val="0"/>
      <w:marBottom w:val="0"/>
      <w:divBdr>
        <w:top w:val="none" w:sz="0" w:space="0" w:color="auto"/>
        <w:left w:val="none" w:sz="0" w:space="0" w:color="auto"/>
        <w:bottom w:val="none" w:sz="0" w:space="0" w:color="auto"/>
        <w:right w:val="none" w:sz="0" w:space="0" w:color="auto"/>
      </w:divBdr>
    </w:div>
    <w:div w:id="462122104">
      <w:bodyDiv w:val="1"/>
      <w:marLeft w:val="0"/>
      <w:marRight w:val="0"/>
      <w:marTop w:val="0"/>
      <w:marBottom w:val="0"/>
      <w:divBdr>
        <w:top w:val="none" w:sz="0" w:space="0" w:color="auto"/>
        <w:left w:val="none" w:sz="0" w:space="0" w:color="auto"/>
        <w:bottom w:val="none" w:sz="0" w:space="0" w:color="auto"/>
        <w:right w:val="none" w:sz="0" w:space="0" w:color="auto"/>
      </w:divBdr>
    </w:div>
    <w:div w:id="489059006">
      <w:bodyDiv w:val="1"/>
      <w:marLeft w:val="0"/>
      <w:marRight w:val="0"/>
      <w:marTop w:val="0"/>
      <w:marBottom w:val="0"/>
      <w:divBdr>
        <w:top w:val="none" w:sz="0" w:space="0" w:color="auto"/>
        <w:left w:val="none" w:sz="0" w:space="0" w:color="auto"/>
        <w:bottom w:val="none" w:sz="0" w:space="0" w:color="auto"/>
        <w:right w:val="none" w:sz="0" w:space="0" w:color="auto"/>
      </w:divBdr>
    </w:div>
    <w:div w:id="512453995">
      <w:bodyDiv w:val="1"/>
      <w:marLeft w:val="0"/>
      <w:marRight w:val="0"/>
      <w:marTop w:val="0"/>
      <w:marBottom w:val="0"/>
      <w:divBdr>
        <w:top w:val="none" w:sz="0" w:space="0" w:color="auto"/>
        <w:left w:val="none" w:sz="0" w:space="0" w:color="auto"/>
        <w:bottom w:val="none" w:sz="0" w:space="0" w:color="auto"/>
        <w:right w:val="none" w:sz="0" w:space="0" w:color="auto"/>
      </w:divBdr>
    </w:div>
    <w:div w:id="514274532">
      <w:bodyDiv w:val="1"/>
      <w:marLeft w:val="0"/>
      <w:marRight w:val="0"/>
      <w:marTop w:val="0"/>
      <w:marBottom w:val="0"/>
      <w:divBdr>
        <w:top w:val="none" w:sz="0" w:space="0" w:color="auto"/>
        <w:left w:val="none" w:sz="0" w:space="0" w:color="auto"/>
        <w:bottom w:val="none" w:sz="0" w:space="0" w:color="auto"/>
        <w:right w:val="none" w:sz="0" w:space="0" w:color="auto"/>
      </w:divBdr>
    </w:div>
    <w:div w:id="561477641">
      <w:bodyDiv w:val="1"/>
      <w:marLeft w:val="0"/>
      <w:marRight w:val="0"/>
      <w:marTop w:val="0"/>
      <w:marBottom w:val="0"/>
      <w:divBdr>
        <w:top w:val="none" w:sz="0" w:space="0" w:color="auto"/>
        <w:left w:val="none" w:sz="0" w:space="0" w:color="auto"/>
        <w:bottom w:val="none" w:sz="0" w:space="0" w:color="auto"/>
        <w:right w:val="none" w:sz="0" w:space="0" w:color="auto"/>
      </w:divBdr>
    </w:div>
    <w:div w:id="570385488">
      <w:bodyDiv w:val="1"/>
      <w:marLeft w:val="0"/>
      <w:marRight w:val="0"/>
      <w:marTop w:val="0"/>
      <w:marBottom w:val="0"/>
      <w:divBdr>
        <w:top w:val="none" w:sz="0" w:space="0" w:color="auto"/>
        <w:left w:val="none" w:sz="0" w:space="0" w:color="auto"/>
        <w:bottom w:val="none" w:sz="0" w:space="0" w:color="auto"/>
        <w:right w:val="none" w:sz="0" w:space="0" w:color="auto"/>
      </w:divBdr>
    </w:div>
    <w:div w:id="592203151">
      <w:bodyDiv w:val="1"/>
      <w:marLeft w:val="0"/>
      <w:marRight w:val="0"/>
      <w:marTop w:val="0"/>
      <w:marBottom w:val="0"/>
      <w:divBdr>
        <w:top w:val="none" w:sz="0" w:space="0" w:color="auto"/>
        <w:left w:val="none" w:sz="0" w:space="0" w:color="auto"/>
        <w:bottom w:val="none" w:sz="0" w:space="0" w:color="auto"/>
        <w:right w:val="none" w:sz="0" w:space="0" w:color="auto"/>
      </w:divBdr>
    </w:div>
    <w:div w:id="599992168">
      <w:bodyDiv w:val="1"/>
      <w:marLeft w:val="0"/>
      <w:marRight w:val="0"/>
      <w:marTop w:val="0"/>
      <w:marBottom w:val="0"/>
      <w:divBdr>
        <w:top w:val="none" w:sz="0" w:space="0" w:color="auto"/>
        <w:left w:val="none" w:sz="0" w:space="0" w:color="auto"/>
        <w:bottom w:val="none" w:sz="0" w:space="0" w:color="auto"/>
        <w:right w:val="none" w:sz="0" w:space="0" w:color="auto"/>
      </w:divBdr>
    </w:div>
    <w:div w:id="642926177">
      <w:bodyDiv w:val="1"/>
      <w:marLeft w:val="0"/>
      <w:marRight w:val="0"/>
      <w:marTop w:val="0"/>
      <w:marBottom w:val="0"/>
      <w:divBdr>
        <w:top w:val="none" w:sz="0" w:space="0" w:color="auto"/>
        <w:left w:val="none" w:sz="0" w:space="0" w:color="auto"/>
        <w:bottom w:val="none" w:sz="0" w:space="0" w:color="auto"/>
        <w:right w:val="none" w:sz="0" w:space="0" w:color="auto"/>
      </w:divBdr>
    </w:div>
    <w:div w:id="678654848">
      <w:bodyDiv w:val="1"/>
      <w:marLeft w:val="0"/>
      <w:marRight w:val="0"/>
      <w:marTop w:val="0"/>
      <w:marBottom w:val="0"/>
      <w:divBdr>
        <w:top w:val="none" w:sz="0" w:space="0" w:color="auto"/>
        <w:left w:val="none" w:sz="0" w:space="0" w:color="auto"/>
        <w:bottom w:val="none" w:sz="0" w:space="0" w:color="auto"/>
        <w:right w:val="none" w:sz="0" w:space="0" w:color="auto"/>
      </w:divBdr>
    </w:div>
    <w:div w:id="693501970">
      <w:bodyDiv w:val="1"/>
      <w:marLeft w:val="0"/>
      <w:marRight w:val="0"/>
      <w:marTop w:val="0"/>
      <w:marBottom w:val="0"/>
      <w:divBdr>
        <w:top w:val="none" w:sz="0" w:space="0" w:color="auto"/>
        <w:left w:val="none" w:sz="0" w:space="0" w:color="auto"/>
        <w:bottom w:val="none" w:sz="0" w:space="0" w:color="auto"/>
        <w:right w:val="none" w:sz="0" w:space="0" w:color="auto"/>
      </w:divBdr>
    </w:div>
    <w:div w:id="732117776">
      <w:bodyDiv w:val="1"/>
      <w:marLeft w:val="0"/>
      <w:marRight w:val="0"/>
      <w:marTop w:val="0"/>
      <w:marBottom w:val="0"/>
      <w:divBdr>
        <w:top w:val="none" w:sz="0" w:space="0" w:color="auto"/>
        <w:left w:val="none" w:sz="0" w:space="0" w:color="auto"/>
        <w:bottom w:val="none" w:sz="0" w:space="0" w:color="auto"/>
        <w:right w:val="none" w:sz="0" w:space="0" w:color="auto"/>
      </w:divBdr>
    </w:div>
    <w:div w:id="749887160">
      <w:bodyDiv w:val="1"/>
      <w:marLeft w:val="0"/>
      <w:marRight w:val="0"/>
      <w:marTop w:val="0"/>
      <w:marBottom w:val="0"/>
      <w:divBdr>
        <w:top w:val="none" w:sz="0" w:space="0" w:color="auto"/>
        <w:left w:val="none" w:sz="0" w:space="0" w:color="auto"/>
        <w:bottom w:val="none" w:sz="0" w:space="0" w:color="auto"/>
        <w:right w:val="none" w:sz="0" w:space="0" w:color="auto"/>
      </w:divBdr>
    </w:div>
    <w:div w:id="758795273">
      <w:bodyDiv w:val="1"/>
      <w:marLeft w:val="0"/>
      <w:marRight w:val="0"/>
      <w:marTop w:val="0"/>
      <w:marBottom w:val="0"/>
      <w:divBdr>
        <w:top w:val="none" w:sz="0" w:space="0" w:color="auto"/>
        <w:left w:val="none" w:sz="0" w:space="0" w:color="auto"/>
        <w:bottom w:val="none" w:sz="0" w:space="0" w:color="auto"/>
        <w:right w:val="none" w:sz="0" w:space="0" w:color="auto"/>
      </w:divBdr>
    </w:div>
    <w:div w:id="760564171">
      <w:bodyDiv w:val="1"/>
      <w:marLeft w:val="0"/>
      <w:marRight w:val="0"/>
      <w:marTop w:val="0"/>
      <w:marBottom w:val="0"/>
      <w:divBdr>
        <w:top w:val="none" w:sz="0" w:space="0" w:color="auto"/>
        <w:left w:val="none" w:sz="0" w:space="0" w:color="auto"/>
        <w:bottom w:val="none" w:sz="0" w:space="0" w:color="auto"/>
        <w:right w:val="none" w:sz="0" w:space="0" w:color="auto"/>
      </w:divBdr>
    </w:div>
    <w:div w:id="764962872">
      <w:bodyDiv w:val="1"/>
      <w:marLeft w:val="0"/>
      <w:marRight w:val="0"/>
      <w:marTop w:val="0"/>
      <w:marBottom w:val="0"/>
      <w:divBdr>
        <w:top w:val="none" w:sz="0" w:space="0" w:color="auto"/>
        <w:left w:val="none" w:sz="0" w:space="0" w:color="auto"/>
        <w:bottom w:val="none" w:sz="0" w:space="0" w:color="auto"/>
        <w:right w:val="none" w:sz="0" w:space="0" w:color="auto"/>
      </w:divBdr>
    </w:div>
    <w:div w:id="778333620">
      <w:bodyDiv w:val="1"/>
      <w:marLeft w:val="0"/>
      <w:marRight w:val="0"/>
      <w:marTop w:val="0"/>
      <w:marBottom w:val="0"/>
      <w:divBdr>
        <w:top w:val="none" w:sz="0" w:space="0" w:color="auto"/>
        <w:left w:val="none" w:sz="0" w:space="0" w:color="auto"/>
        <w:bottom w:val="none" w:sz="0" w:space="0" w:color="auto"/>
        <w:right w:val="none" w:sz="0" w:space="0" w:color="auto"/>
      </w:divBdr>
    </w:div>
    <w:div w:id="784622744">
      <w:bodyDiv w:val="1"/>
      <w:marLeft w:val="0"/>
      <w:marRight w:val="0"/>
      <w:marTop w:val="0"/>
      <w:marBottom w:val="0"/>
      <w:divBdr>
        <w:top w:val="none" w:sz="0" w:space="0" w:color="auto"/>
        <w:left w:val="none" w:sz="0" w:space="0" w:color="auto"/>
        <w:bottom w:val="none" w:sz="0" w:space="0" w:color="auto"/>
        <w:right w:val="none" w:sz="0" w:space="0" w:color="auto"/>
      </w:divBdr>
    </w:div>
    <w:div w:id="791628566">
      <w:bodyDiv w:val="1"/>
      <w:marLeft w:val="0"/>
      <w:marRight w:val="0"/>
      <w:marTop w:val="0"/>
      <w:marBottom w:val="0"/>
      <w:divBdr>
        <w:top w:val="none" w:sz="0" w:space="0" w:color="auto"/>
        <w:left w:val="none" w:sz="0" w:space="0" w:color="auto"/>
        <w:bottom w:val="none" w:sz="0" w:space="0" w:color="auto"/>
        <w:right w:val="none" w:sz="0" w:space="0" w:color="auto"/>
      </w:divBdr>
    </w:div>
    <w:div w:id="796217377">
      <w:bodyDiv w:val="1"/>
      <w:marLeft w:val="0"/>
      <w:marRight w:val="0"/>
      <w:marTop w:val="0"/>
      <w:marBottom w:val="0"/>
      <w:divBdr>
        <w:top w:val="none" w:sz="0" w:space="0" w:color="auto"/>
        <w:left w:val="none" w:sz="0" w:space="0" w:color="auto"/>
        <w:bottom w:val="none" w:sz="0" w:space="0" w:color="auto"/>
        <w:right w:val="none" w:sz="0" w:space="0" w:color="auto"/>
      </w:divBdr>
    </w:div>
    <w:div w:id="808405664">
      <w:bodyDiv w:val="1"/>
      <w:marLeft w:val="0"/>
      <w:marRight w:val="0"/>
      <w:marTop w:val="0"/>
      <w:marBottom w:val="0"/>
      <w:divBdr>
        <w:top w:val="none" w:sz="0" w:space="0" w:color="auto"/>
        <w:left w:val="none" w:sz="0" w:space="0" w:color="auto"/>
        <w:bottom w:val="none" w:sz="0" w:space="0" w:color="auto"/>
        <w:right w:val="none" w:sz="0" w:space="0" w:color="auto"/>
      </w:divBdr>
    </w:div>
    <w:div w:id="844907154">
      <w:bodyDiv w:val="1"/>
      <w:marLeft w:val="0"/>
      <w:marRight w:val="0"/>
      <w:marTop w:val="0"/>
      <w:marBottom w:val="0"/>
      <w:divBdr>
        <w:top w:val="none" w:sz="0" w:space="0" w:color="auto"/>
        <w:left w:val="none" w:sz="0" w:space="0" w:color="auto"/>
        <w:bottom w:val="none" w:sz="0" w:space="0" w:color="auto"/>
        <w:right w:val="none" w:sz="0" w:space="0" w:color="auto"/>
      </w:divBdr>
    </w:div>
    <w:div w:id="849954465">
      <w:bodyDiv w:val="1"/>
      <w:marLeft w:val="0"/>
      <w:marRight w:val="0"/>
      <w:marTop w:val="0"/>
      <w:marBottom w:val="0"/>
      <w:divBdr>
        <w:top w:val="none" w:sz="0" w:space="0" w:color="auto"/>
        <w:left w:val="none" w:sz="0" w:space="0" w:color="auto"/>
        <w:bottom w:val="none" w:sz="0" w:space="0" w:color="auto"/>
        <w:right w:val="none" w:sz="0" w:space="0" w:color="auto"/>
      </w:divBdr>
    </w:div>
    <w:div w:id="897979013">
      <w:bodyDiv w:val="1"/>
      <w:marLeft w:val="0"/>
      <w:marRight w:val="0"/>
      <w:marTop w:val="0"/>
      <w:marBottom w:val="0"/>
      <w:divBdr>
        <w:top w:val="none" w:sz="0" w:space="0" w:color="auto"/>
        <w:left w:val="none" w:sz="0" w:space="0" w:color="auto"/>
        <w:bottom w:val="none" w:sz="0" w:space="0" w:color="auto"/>
        <w:right w:val="none" w:sz="0" w:space="0" w:color="auto"/>
      </w:divBdr>
    </w:div>
    <w:div w:id="904416805">
      <w:bodyDiv w:val="1"/>
      <w:marLeft w:val="0"/>
      <w:marRight w:val="0"/>
      <w:marTop w:val="0"/>
      <w:marBottom w:val="0"/>
      <w:divBdr>
        <w:top w:val="none" w:sz="0" w:space="0" w:color="auto"/>
        <w:left w:val="none" w:sz="0" w:space="0" w:color="auto"/>
        <w:bottom w:val="none" w:sz="0" w:space="0" w:color="auto"/>
        <w:right w:val="none" w:sz="0" w:space="0" w:color="auto"/>
      </w:divBdr>
    </w:div>
    <w:div w:id="919480586">
      <w:bodyDiv w:val="1"/>
      <w:marLeft w:val="0"/>
      <w:marRight w:val="0"/>
      <w:marTop w:val="0"/>
      <w:marBottom w:val="0"/>
      <w:divBdr>
        <w:top w:val="none" w:sz="0" w:space="0" w:color="auto"/>
        <w:left w:val="none" w:sz="0" w:space="0" w:color="auto"/>
        <w:bottom w:val="none" w:sz="0" w:space="0" w:color="auto"/>
        <w:right w:val="none" w:sz="0" w:space="0" w:color="auto"/>
      </w:divBdr>
    </w:div>
    <w:div w:id="957834672">
      <w:bodyDiv w:val="1"/>
      <w:marLeft w:val="0"/>
      <w:marRight w:val="0"/>
      <w:marTop w:val="0"/>
      <w:marBottom w:val="0"/>
      <w:divBdr>
        <w:top w:val="none" w:sz="0" w:space="0" w:color="auto"/>
        <w:left w:val="none" w:sz="0" w:space="0" w:color="auto"/>
        <w:bottom w:val="none" w:sz="0" w:space="0" w:color="auto"/>
        <w:right w:val="none" w:sz="0" w:space="0" w:color="auto"/>
      </w:divBdr>
    </w:div>
    <w:div w:id="966666895">
      <w:bodyDiv w:val="1"/>
      <w:marLeft w:val="0"/>
      <w:marRight w:val="0"/>
      <w:marTop w:val="0"/>
      <w:marBottom w:val="0"/>
      <w:divBdr>
        <w:top w:val="none" w:sz="0" w:space="0" w:color="auto"/>
        <w:left w:val="none" w:sz="0" w:space="0" w:color="auto"/>
        <w:bottom w:val="none" w:sz="0" w:space="0" w:color="auto"/>
        <w:right w:val="none" w:sz="0" w:space="0" w:color="auto"/>
      </w:divBdr>
    </w:div>
    <w:div w:id="971785543">
      <w:bodyDiv w:val="1"/>
      <w:marLeft w:val="0"/>
      <w:marRight w:val="0"/>
      <w:marTop w:val="0"/>
      <w:marBottom w:val="0"/>
      <w:divBdr>
        <w:top w:val="none" w:sz="0" w:space="0" w:color="auto"/>
        <w:left w:val="none" w:sz="0" w:space="0" w:color="auto"/>
        <w:bottom w:val="none" w:sz="0" w:space="0" w:color="auto"/>
        <w:right w:val="none" w:sz="0" w:space="0" w:color="auto"/>
      </w:divBdr>
    </w:div>
    <w:div w:id="1005547960">
      <w:bodyDiv w:val="1"/>
      <w:marLeft w:val="0"/>
      <w:marRight w:val="0"/>
      <w:marTop w:val="0"/>
      <w:marBottom w:val="0"/>
      <w:divBdr>
        <w:top w:val="none" w:sz="0" w:space="0" w:color="auto"/>
        <w:left w:val="none" w:sz="0" w:space="0" w:color="auto"/>
        <w:bottom w:val="none" w:sz="0" w:space="0" w:color="auto"/>
        <w:right w:val="none" w:sz="0" w:space="0" w:color="auto"/>
      </w:divBdr>
    </w:div>
    <w:div w:id="1007487772">
      <w:bodyDiv w:val="1"/>
      <w:marLeft w:val="0"/>
      <w:marRight w:val="0"/>
      <w:marTop w:val="0"/>
      <w:marBottom w:val="0"/>
      <w:divBdr>
        <w:top w:val="none" w:sz="0" w:space="0" w:color="auto"/>
        <w:left w:val="none" w:sz="0" w:space="0" w:color="auto"/>
        <w:bottom w:val="none" w:sz="0" w:space="0" w:color="auto"/>
        <w:right w:val="none" w:sz="0" w:space="0" w:color="auto"/>
      </w:divBdr>
    </w:div>
    <w:div w:id="1086417558">
      <w:bodyDiv w:val="1"/>
      <w:marLeft w:val="0"/>
      <w:marRight w:val="0"/>
      <w:marTop w:val="0"/>
      <w:marBottom w:val="0"/>
      <w:divBdr>
        <w:top w:val="none" w:sz="0" w:space="0" w:color="auto"/>
        <w:left w:val="none" w:sz="0" w:space="0" w:color="auto"/>
        <w:bottom w:val="none" w:sz="0" w:space="0" w:color="auto"/>
        <w:right w:val="none" w:sz="0" w:space="0" w:color="auto"/>
      </w:divBdr>
    </w:div>
    <w:div w:id="1089279695">
      <w:bodyDiv w:val="1"/>
      <w:marLeft w:val="0"/>
      <w:marRight w:val="0"/>
      <w:marTop w:val="0"/>
      <w:marBottom w:val="0"/>
      <w:divBdr>
        <w:top w:val="none" w:sz="0" w:space="0" w:color="auto"/>
        <w:left w:val="none" w:sz="0" w:space="0" w:color="auto"/>
        <w:bottom w:val="none" w:sz="0" w:space="0" w:color="auto"/>
        <w:right w:val="none" w:sz="0" w:space="0" w:color="auto"/>
      </w:divBdr>
    </w:div>
    <w:div w:id="1098213076">
      <w:bodyDiv w:val="1"/>
      <w:marLeft w:val="0"/>
      <w:marRight w:val="0"/>
      <w:marTop w:val="0"/>
      <w:marBottom w:val="0"/>
      <w:divBdr>
        <w:top w:val="none" w:sz="0" w:space="0" w:color="auto"/>
        <w:left w:val="none" w:sz="0" w:space="0" w:color="auto"/>
        <w:bottom w:val="none" w:sz="0" w:space="0" w:color="auto"/>
        <w:right w:val="none" w:sz="0" w:space="0" w:color="auto"/>
      </w:divBdr>
    </w:div>
    <w:div w:id="1162936569">
      <w:bodyDiv w:val="1"/>
      <w:marLeft w:val="0"/>
      <w:marRight w:val="0"/>
      <w:marTop w:val="0"/>
      <w:marBottom w:val="0"/>
      <w:divBdr>
        <w:top w:val="none" w:sz="0" w:space="0" w:color="auto"/>
        <w:left w:val="none" w:sz="0" w:space="0" w:color="auto"/>
        <w:bottom w:val="none" w:sz="0" w:space="0" w:color="auto"/>
        <w:right w:val="none" w:sz="0" w:space="0" w:color="auto"/>
      </w:divBdr>
    </w:div>
    <w:div w:id="1171413324">
      <w:bodyDiv w:val="1"/>
      <w:marLeft w:val="0"/>
      <w:marRight w:val="0"/>
      <w:marTop w:val="0"/>
      <w:marBottom w:val="0"/>
      <w:divBdr>
        <w:top w:val="none" w:sz="0" w:space="0" w:color="auto"/>
        <w:left w:val="none" w:sz="0" w:space="0" w:color="auto"/>
        <w:bottom w:val="none" w:sz="0" w:space="0" w:color="auto"/>
        <w:right w:val="none" w:sz="0" w:space="0" w:color="auto"/>
      </w:divBdr>
    </w:div>
    <w:div w:id="1228496786">
      <w:bodyDiv w:val="1"/>
      <w:marLeft w:val="0"/>
      <w:marRight w:val="0"/>
      <w:marTop w:val="0"/>
      <w:marBottom w:val="0"/>
      <w:divBdr>
        <w:top w:val="none" w:sz="0" w:space="0" w:color="auto"/>
        <w:left w:val="none" w:sz="0" w:space="0" w:color="auto"/>
        <w:bottom w:val="none" w:sz="0" w:space="0" w:color="auto"/>
        <w:right w:val="none" w:sz="0" w:space="0" w:color="auto"/>
      </w:divBdr>
    </w:div>
    <w:div w:id="1232541035">
      <w:bodyDiv w:val="1"/>
      <w:marLeft w:val="0"/>
      <w:marRight w:val="0"/>
      <w:marTop w:val="0"/>
      <w:marBottom w:val="0"/>
      <w:divBdr>
        <w:top w:val="none" w:sz="0" w:space="0" w:color="auto"/>
        <w:left w:val="none" w:sz="0" w:space="0" w:color="auto"/>
        <w:bottom w:val="none" w:sz="0" w:space="0" w:color="auto"/>
        <w:right w:val="none" w:sz="0" w:space="0" w:color="auto"/>
      </w:divBdr>
    </w:div>
    <w:div w:id="1253196179">
      <w:bodyDiv w:val="1"/>
      <w:marLeft w:val="0"/>
      <w:marRight w:val="0"/>
      <w:marTop w:val="0"/>
      <w:marBottom w:val="0"/>
      <w:divBdr>
        <w:top w:val="none" w:sz="0" w:space="0" w:color="auto"/>
        <w:left w:val="none" w:sz="0" w:space="0" w:color="auto"/>
        <w:bottom w:val="none" w:sz="0" w:space="0" w:color="auto"/>
        <w:right w:val="none" w:sz="0" w:space="0" w:color="auto"/>
      </w:divBdr>
    </w:div>
    <w:div w:id="1261917314">
      <w:bodyDiv w:val="1"/>
      <w:marLeft w:val="0"/>
      <w:marRight w:val="0"/>
      <w:marTop w:val="0"/>
      <w:marBottom w:val="0"/>
      <w:divBdr>
        <w:top w:val="none" w:sz="0" w:space="0" w:color="auto"/>
        <w:left w:val="none" w:sz="0" w:space="0" w:color="auto"/>
        <w:bottom w:val="none" w:sz="0" w:space="0" w:color="auto"/>
        <w:right w:val="none" w:sz="0" w:space="0" w:color="auto"/>
      </w:divBdr>
    </w:div>
    <w:div w:id="1308437574">
      <w:bodyDiv w:val="1"/>
      <w:marLeft w:val="0"/>
      <w:marRight w:val="0"/>
      <w:marTop w:val="0"/>
      <w:marBottom w:val="0"/>
      <w:divBdr>
        <w:top w:val="none" w:sz="0" w:space="0" w:color="auto"/>
        <w:left w:val="none" w:sz="0" w:space="0" w:color="auto"/>
        <w:bottom w:val="none" w:sz="0" w:space="0" w:color="auto"/>
        <w:right w:val="none" w:sz="0" w:space="0" w:color="auto"/>
      </w:divBdr>
    </w:div>
    <w:div w:id="1366982182">
      <w:bodyDiv w:val="1"/>
      <w:marLeft w:val="0"/>
      <w:marRight w:val="0"/>
      <w:marTop w:val="0"/>
      <w:marBottom w:val="0"/>
      <w:divBdr>
        <w:top w:val="none" w:sz="0" w:space="0" w:color="auto"/>
        <w:left w:val="none" w:sz="0" w:space="0" w:color="auto"/>
        <w:bottom w:val="none" w:sz="0" w:space="0" w:color="auto"/>
        <w:right w:val="none" w:sz="0" w:space="0" w:color="auto"/>
      </w:divBdr>
    </w:div>
    <w:div w:id="1392193710">
      <w:bodyDiv w:val="1"/>
      <w:marLeft w:val="0"/>
      <w:marRight w:val="0"/>
      <w:marTop w:val="0"/>
      <w:marBottom w:val="0"/>
      <w:divBdr>
        <w:top w:val="none" w:sz="0" w:space="0" w:color="auto"/>
        <w:left w:val="none" w:sz="0" w:space="0" w:color="auto"/>
        <w:bottom w:val="none" w:sz="0" w:space="0" w:color="auto"/>
        <w:right w:val="none" w:sz="0" w:space="0" w:color="auto"/>
      </w:divBdr>
    </w:div>
    <w:div w:id="1393886110">
      <w:bodyDiv w:val="1"/>
      <w:marLeft w:val="0"/>
      <w:marRight w:val="0"/>
      <w:marTop w:val="0"/>
      <w:marBottom w:val="0"/>
      <w:divBdr>
        <w:top w:val="none" w:sz="0" w:space="0" w:color="auto"/>
        <w:left w:val="none" w:sz="0" w:space="0" w:color="auto"/>
        <w:bottom w:val="none" w:sz="0" w:space="0" w:color="auto"/>
        <w:right w:val="none" w:sz="0" w:space="0" w:color="auto"/>
      </w:divBdr>
    </w:div>
    <w:div w:id="1398548606">
      <w:bodyDiv w:val="1"/>
      <w:marLeft w:val="0"/>
      <w:marRight w:val="0"/>
      <w:marTop w:val="0"/>
      <w:marBottom w:val="0"/>
      <w:divBdr>
        <w:top w:val="none" w:sz="0" w:space="0" w:color="auto"/>
        <w:left w:val="none" w:sz="0" w:space="0" w:color="auto"/>
        <w:bottom w:val="none" w:sz="0" w:space="0" w:color="auto"/>
        <w:right w:val="none" w:sz="0" w:space="0" w:color="auto"/>
      </w:divBdr>
    </w:div>
    <w:div w:id="1471288962">
      <w:bodyDiv w:val="1"/>
      <w:marLeft w:val="0"/>
      <w:marRight w:val="0"/>
      <w:marTop w:val="0"/>
      <w:marBottom w:val="0"/>
      <w:divBdr>
        <w:top w:val="none" w:sz="0" w:space="0" w:color="auto"/>
        <w:left w:val="none" w:sz="0" w:space="0" w:color="auto"/>
        <w:bottom w:val="none" w:sz="0" w:space="0" w:color="auto"/>
        <w:right w:val="none" w:sz="0" w:space="0" w:color="auto"/>
      </w:divBdr>
    </w:div>
    <w:div w:id="1523594411">
      <w:bodyDiv w:val="1"/>
      <w:marLeft w:val="0"/>
      <w:marRight w:val="0"/>
      <w:marTop w:val="0"/>
      <w:marBottom w:val="0"/>
      <w:divBdr>
        <w:top w:val="none" w:sz="0" w:space="0" w:color="auto"/>
        <w:left w:val="none" w:sz="0" w:space="0" w:color="auto"/>
        <w:bottom w:val="none" w:sz="0" w:space="0" w:color="auto"/>
        <w:right w:val="none" w:sz="0" w:space="0" w:color="auto"/>
      </w:divBdr>
    </w:div>
    <w:div w:id="1536042329">
      <w:bodyDiv w:val="1"/>
      <w:marLeft w:val="0"/>
      <w:marRight w:val="0"/>
      <w:marTop w:val="0"/>
      <w:marBottom w:val="0"/>
      <w:divBdr>
        <w:top w:val="none" w:sz="0" w:space="0" w:color="auto"/>
        <w:left w:val="none" w:sz="0" w:space="0" w:color="auto"/>
        <w:bottom w:val="none" w:sz="0" w:space="0" w:color="auto"/>
        <w:right w:val="none" w:sz="0" w:space="0" w:color="auto"/>
      </w:divBdr>
    </w:div>
    <w:div w:id="1536649434">
      <w:bodyDiv w:val="1"/>
      <w:marLeft w:val="0"/>
      <w:marRight w:val="0"/>
      <w:marTop w:val="0"/>
      <w:marBottom w:val="0"/>
      <w:divBdr>
        <w:top w:val="none" w:sz="0" w:space="0" w:color="auto"/>
        <w:left w:val="none" w:sz="0" w:space="0" w:color="auto"/>
        <w:bottom w:val="none" w:sz="0" w:space="0" w:color="auto"/>
        <w:right w:val="none" w:sz="0" w:space="0" w:color="auto"/>
      </w:divBdr>
    </w:div>
    <w:div w:id="1606964483">
      <w:bodyDiv w:val="1"/>
      <w:marLeft w:val="0"/>
      <w:marRight w:val="0"/>
      <w:marTop w:val="0"/>
      <w:marBottom w:val="0"/>
      <w:divBdr>
        <w:top w:val="none" w:sz="0" w:space="0" w:color="auto"/>
        <w:left w:val="none" w:sz="0" w:space="0" w:color="auto"/>
        <w:bottom w:val="none" w:sz="0" w:space="0" w:color="auto"/>
        <w:right w:val="none" w:sz="0" w:space="0" w:color="auto"/>
      </w:divBdr>
      <w:divsChild>
        <w:div w:id="547230121">
          <w:marLeft w:val="0"/>
          <w:marRight w:val="0"/>
          <w:marTop w:val="0"/>
          <w:marBottom w:val="0"/>
          <w:divBdr>
            <w:top w:val="none" w:sz="0" w:space="0" w:color="auto"/>
            <w:left w:val="none" w:sz="0" w:space="0" w:color="auto"/>
            <w:bottom w:val="none" w:sz="0" w:space="0" w:color="auto"/>
            <w:right w:val="none" w:sz="0" w:space="0" w:color="auto"/>
          </w:divBdr>
        </w:div>
        <w:div w:id="319890890">
          <w:marLeft w:val="0"/>
          <w:marRight w:val="0"/>
          <w:marTop w:val="0"/>
          <w:marBottom w:val="0"/>
          <w:divBdr>
            <w:top w:val="none" w:sz="0" w:space="0" w:color="auto"/>
            <w:left w:val="none" w:sz="0" w:space="0" w:color="auto"/>
            <w:bottom w:val="none" w:sz="0" w:space="0" w:color="auto"/>
            <w:right w:val="none" w:sz="0" w:space="0" w:color="auto"/>
          </w:divBdr>
        </w:div>
        <w:div w:id="1245651458">
          <w:marLeft w:val="0"/>
          <w:marRight w:val="0"/>
          <w:marTop w:val="0"/>
          <w:marBottom w:val="0"/>
          <w:divBdr>
            <w:top w:val="none" w:sz="0" w:space="0" w:color="auto"/>
            <w:left w:val="none" w:sz="0" w:space="0" w:color="auto"/>
            <w:bottom w:val="none" w:sz="0" w:space="0" w:color="auto"/>
            <w:right w:val="none" w:sz="0" w:space="0" w:color="auto"/>
          </w:divBdr>
        </w:div>
        <w:div w:id="1008019597">
          <w:marLeft w:val="0"/>
          <w:marRight w:val="0"/>
          <w:marTop w:val="0"/>
          <w:marBottom w:val="0"/>
          <w:divBdr>
            <w:top w:val="none" w:sz="0" w:space="0" w:color="auto"/>
            <w:left w:val="none" w:sz="0" w:space="0" w:color="auto"/>
            <w:bottom w:val="none" w:sz="0" w:space="0" w:color="auto"/>
            <w:right w:val="none" w:sz="0" w:space="0" w:color="auto"/>
          </w:divBdr>
        </w:div>
        <w:div w:id="733625044">
          <w:marLeft w:val="0"/>
          <w:marRight w:val="0"/>
          <w:marTop w:val="0"/>
          <w:marBottom w:val="0"/>
          <w:divBdr>
            <w:top w:val="none" w:sz="0" w:space="0" w:color="auto"/>
            <w:left w:val="none" w:sz="0" w:space="0" w:color="auto"/>
            <w:bottom w:val="none" w:sz="0" w:space="0" w:color="auto"/>
            <w:right w:val="none" w:sz="0" w:space="0" w:color="auto"/>
          </w:divBdr>
        </w:div>
      </w:divsChild>
    </w:div>
    <w:div w:id="1616714655">
      <w:bodyDiv w:val="1"/>
      <w:marLeft w:val="0"/>
      <w:marRight w:val="0"/>
      <w:marTop w:val="0"/>
      <w:marBottom w:val="0"/>
      <w:divBdr>
        <w:top w:val="none" w:sz="0" w:space="0" w:color="auto"/>
        <w:left w:val="none" w:sz="0" w:space="0" w:color="auto"/>
        <w:bottom w:val="none" w:sz="0" w:space="0" w:color="auto"/>
        <w:right w:val="none" w:sz="0" w:space="0" w:color="auto"/>
      </w:divBdr>
    </w:div>
    <w:div w:id="1672176636">
      <w:bodyDiv w:val="1"/>
      <w:marLeft w:val="0"/>
      <w:marRight w:val="0"/>
      <w:marTop w:val="0"/>
      <w:marBottom w:val="0"/>
      <w:divBdr>
        <w:top w:val="none" w:sz="0" w:space="0" w:color="auto"/>
        <w:left w:val="none" w:sz="0" w:space="0" w:color="auto"/>
        <w:bottom w:val="none" w:sz="0" w:space="0" w:color="auto"/>
        <w:right w:val="none" w:sz="0" w:space="0" w:color="auto"/>
      </w:divBdr>
    </w:div>
    <w:div w:id="1697459823">
      <w:bodyDiv w:val="1"/>
      <w:marLeft w:val="0"/>
      <w:marRight w:val="0"/>
      <w:marTop w:val="0"/>
      <w:marBottom w:val="0"/>
      <w:divBdr>
        <w:top w:val="none" w:sz="0" w:space="0" w:color="auto"/>
        <w:left w:val="none" w:sz="0" w:space="0" w:color="auto"/>
        <w:bottom w:val="none" w:sz="0" w:space="0" w:color="auto"/>
        <w:right w:val="none" w:sz="0" w:space="0" w:color="auto"/>
      </w:divBdr>
    </w:div>
    <w:div w:id="1736733798">
      <w:bodyDiv w:val="1"/>
      <w:marLeft w:val="0"/>
      <w:marRight w:val="0"/>
      <w:marTop w:val="0"/>
      <w:marBottom w:val="0"/>
      <w:divBdr>
        <w:top w:val="none" w:sz="0" w:space="0" w:color="auto"/>
        <w:left w:val="none" w:sz="0" w:space="0" w:color="auto"/>
        <w:bottom w:val="none" w:sz="0" w:space="0" w:color="auto"/>
        <w:right w:val="none" w:sz="0" w:space="0" w:color="auto"/>
      </w:divBdr>
    </w:div>
    <w:div w:id="1741903972">
      <w:bodyDiv w:val="1"/>
      <w:marLeft w:val="0"/>
      <w:marRight w:val="0"/>
      <w:marTop w:val="0"/>
      <w:marBottom w:val="0"/>
      <w:divBdr>
        <w:top w:val="none" w:sz="0" w:space="0" w:color="auto"/>
        <w:left w:val="none" w:sz="0" w:space="0" w:color="auto"/>
        <w:bottom w:val="none" w:sz="0" w:space="0" w:color="auto"/>
        <w:right w:val="none" w:sz="0" w:space="0" w:color="auto"/>
      </w:divBdr>
    </w:div>
    <w:div w:id="1850296254">
      <w:bodyDiv w:val="1"/>
      <w:marLeft w:val="0"/>
      <w:marRight w:val="0"/>
      <w:marTop w:val="0"/>
      <w:marBottom w:val="0"/>
      <w:divBdr>
        <w:top w:val="none" w:sz="0" w:space="0" w:color="auto"/>
        <w:left w:val="none" w:sz="0" w:space="0" w:color="auto"/>
        <w:bottom w:val="none" w:sz="0" w:space="0" w:color="auto"/>
        <w:right w:val="none" w:sz="0" w:space="0" w:color="auto"/>
      </w:divBdr>
    </w:div>
    <w:div w:id="1900167424">
      <w:bodyDiv w:val="1"/>
      <w:marLeft w:val="0"/>
      <w:marRight w:val="0"/>
      <w:marTop w:val="0"/>
      <w:marBottom w:val="0"/>
      <w:divBdr>
        <w:top w:val="none" w:sz="0" w:space="0" w:color="auto"/>
        <w:left w:val="none" w:sz="0" w:space="0" w:color="auto"/>
        <w:bottom w:val="none" w:sz="0" w:space="0" w:color="auto"/>
        <w:right w:val="none" w:sz="0" w:space="0" w:color="auto"/>
      </w:divBdr>
    </w:div>
    <w:div w:id="1911843242">
      <w:bodyDiv w:val="1"/>
      <w:marLeft w:val="0"/>
      <w:marRight w:val="0"/>
      <w:marTop w:val="0"/>
      <w:marBottom w:val="0"/>
      <w:divBdr>
        <w:top w:val="none" w:sz="0" w:space="0" w:color="auto"/>
        <w:left w:val="none" w:sz="0" w:space="0" w:color="auto"/>
        <w:bottom w:val="none" w:sz="0" w:space="0" w:color="auto"/>
        <w:right w:val="none" w:sz="0" w:space="0" w:color="auto"/>
      </w:divBdr>
    </w:div>
    <w:div w:id="1920941844">
      <w:bodyDiv w:val="1"/>
      <w:marLeft w:val="0"/>
      <w:marRight w:val="0"/>
      <w:marTop w:val="0"/>
      <w:marBottom w:val="0"/>
      <w:divBdr>
        <w:top w:val="none" w:sz="0" w:space="0" w:color="auto"/>
        <w:left w:val="none" w:sz="0" w:space="0" w:color="auto"/>
        <w:bottom w:val="none" w:sz="0" w:space="0" w:color="auto"/>
        <w:right w:val="none" w:sz="0" w:space="0" w:color="auto"/>
      </w:divBdr>
    </w:div>
    <w:div w:id="1925215126">
      <w:bodyDiv w:val="1"/>
      <w:marLeft w:val="0"/>
      <w:marRight w:val="0"/>
      <w:marTop w:val="0"/>
      <w:marBottom w:val="0"/>
      <w:divBdr>
        <w:top w:val="none" w:sz="0" w:space="0" w:color="auto"/>
        <w:left w:val="none" w:sz="0" w:space="0" w:color="auto"/>
        <w:bottom w:val="none" w:sz="0" w:space="0" w:color="auto"/>
        <w:right w:val="none" w:sz="0" w:space="0" w:color="auto"/>
      </w:divBdr>
    </w:div>
    <w:div w:id="1970088858">
      <w:bodyDiv w:val="1"/>
      <w:marLeft w:val="0"/>
      <w:marRight w:val="0"/>
      <w:marTop w:val="0"/>
      <w:marBottom w:val="0"/>
      <w:divBdr>
        <w:top w:val="none" w:sz="0" w:space="0" w:color="auto"/>
        <w:left w:val="none" w:sz="0" w:space="0" w:color="auto"/>
        <w:bottom w:val="none" w:sz="0" w:space="0" w:color="auto"/>
        <w:right w:val="none" w:sz="0" w:space="0" w:color="auto"/>
      </w:divBdr>
    </w:div>
    <w:div w:id="2015065622">
      <w:bodyDiv w:val="1"/>
      <w:marLeft w:val="0"/>
      <w:marRight w:val="0"/>
      <w:marTop w:val="0"/>
      <w:marBottom w:val="0"/>
      <w:divBdr>
        <w:top w:val="none" w:sz="0" w:space="0" w:color="auto"/>
        <w:left w:val="none" w:sz="0" w:space="0" w:color="auto"/>
        <w:bottom w:val="none" w:sz="0" w:space="0" w:color="auto"/>
        <w:right w:val="none" w:sz="0" w:space="0" w:color="auto"/>
      </w:divBdr>
    </w:div>
    <w:div w:id="2065444735">
      <w:bodyDiv w:val="1"/>
      <w:marLeft w:val="0"/>
      <w:marRight w:val="0"/>
      <w:marTop w:val="0"/>
      <w:marBottom w:val="0"/>
      <w:divBdr>
        <w:top w:val="none" w:sz="0" w:space="0" w:color="auto"/>
        <w:left w:val="none" w:sz="0" w:space="0" w:color="auto"/>
        <w:bottom w:val="none" w:sz="0" w:space="0" w:color="auto"/>
        <w:right w:val="none" w:sz="0" w:space="0" w:color="auto"/>
      </w:divBdr>
    </w:div>
    <w:div w:id="2090805613">
      <w:bodyDiv w:val="1"/>
      <w:marLeft w:val="0"/>
      <w:marRight w:val="0"/>
      <w:marTop w:val="0"/>
      <w:marBottom w:val="0"/>
      <w:divBdr>
        <w:top w:val="none" w:sz="0" w:space="0" w:color="auto"/>
        <w:left w:val="none" w:sz="0" w:space="0" w:color="auto"/>
        <w:bottom w:val="none" w:sz="0" w:space="0" w:color="auto"/>
        <w:right w:val="none" w:sz="0" w:space="0" w:color="auto"/>
      </w:divBdr>
    </w:div>
    <w:div w:id="2143038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emf"/><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footer" Target="footer3.xm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image" Target="media/image17.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Townsend Standard">
      <a:dk1>
        <a:srgbClr val="000000"/>
      </a:dk1>
      <a:lt1>
        <a:sysClr val="window" lastClr="FFFFFF"/>
      </a:lt1>
      <a:dk2>
        <a:srgbClr val="003A5D"/>
      </a:dk2>
      <a:lt2>
        <a:srgbClr val="FFFFFF"/>
      </a:lt2>
      <a:accent1>
        <a:srgbClr val="003A5D"/>
      </a:accent1>
      <a:accent2>
        <a:srgbClr val="145783"/>
      </a:accent2>
      <a:accent3>
        <a:srgbClr val="5A6F5E"/>
      </a:accent3>
      <a:accent4>
        <a:srgbClr val="AFB575"/>
      </a:accent4>
      <a:accent5>
        <a:srgbClr val="8CA4A4"/>
      </a:accent5>
      <a:accent6>
        <a:srgbClr val="EC6B1D"/>
      </a:accent6>
      <a:hlink>
        <a:srgbClr val="00355D"/>
      </a:hlink>
      <a:folHlink>
        <a:srgbClr val="00355D"/>
      </a:folHlink>
    </a:clrScheme>
    <a:fontScheme name="Townsend Standard">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5728A0EDF6724A87396224776B17E8" ma:contentTypeVersion="9" ma:contentTypeDescription="Create a new document." ma:contentTypeScope="" ma:versionID="ead6e728c623e978b6637fcf85a8696e">
  <xsd:schema xmlns:xsd="http://www.w3.org/2001/XMLSchema" xmlns:xs="http://www.w3.org/2001/XMLSchema" xmlns:p="http://schemas.microsoft.com/office/2006/metadata/properties" xmlns:ns3="011bb5b9-8301-4f84-be81-3a5e2371cdf1" targetNamespace="http://schemas.microsoft.com/office/2006/metadata/properties" ma:root="true" ma:fieldsID="bf25412bcf4fa7e846937ce58ebd6348" ns3:_="">
    <xsd:import namespace="011bb5b9-8301-4f84-be81-3a5e2371cdf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bb5b9-8301-4f84-be81-3a5e2371cd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FDFC22D-9FCB-4F96-A647-06EBC5D1B0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bb5b9-8301-4f84-be81-3a5e2371cd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2AD7247-3CAE-4F29-87E6-7957584FCBC1}">
  <ds:schemaRefs>
    <ds:schemaRef ds:uri="http://schemas.openxmlformats.org/officeDocument/2006/bibliography"/>
  </ds:schemaRefs>
</ds:datastoreItem>
</file>

<file path=customXml/itemProps3.xml><?xml version="1.0" encoding="utf-8"?>
<ds:datastoreItem xmlns:ds="http://schemas.openxmlformats.org/officeDocument/2006/customXml" ds:itemID="{4B6EF0FA-4D65-43D6-96D5-C4691B01514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934A7B6-04AE-4F29-ADB3-8A158BE02B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36</Pages>
  <Words>12257</Words>
  <Characters>69869</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zhemng</dc:creator>
  <cp:keywords/>
  <dc:description/>
  <cp:lastModifiedBy>Zane Hemming</cp:lastModifiedBy>
  <cp:revision>3</cp:revision>
  <cp:lastPrinted>2024-10-01T19:51:00Z</cp:lastPrinted>
  <dcterms:created xsi:type="dcterms:W3CDTF">2025-02-11T18:57:00Z</dcterms:created>
  <dcterms:modified xsi:type="dcterms:W3CDTF">2025-02-11T20:48:00Z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03a0f9f6-f5b6-4e72-b95f-5a7350428457</vt:lpwstr>
  </property>
  <property fmtid="{D5CDD505-2E9C-101B-9397-08002B2CF9AE}" pid="3" name="AonClassification">
    <vt:lpwstr>ADC_class_200</vt:lpwstr>
  </property>
  <property fmtid="{D5CDD505-2E9C-101B-9397-08002B2CF9AE}" pid="4" name="ContentTypeId">
    <vt:lpwstr>0x010100B45728A0EDF6724A87396224776B17E8</vt:lpwstr>
  </property>
  <property fmtid="{D5CDD505-2E9C-101B-9397-08002B2CF9AE}" pid="5" name="MSIP_Label_875a5b46-6a40-4ffc-90be-3fcbddbfaaf1_ActionId">
    <vt:lpwstr>af1c16e7-5f8a-46ed-84e2-5c28272d01b6</vt:lpwstr>
  </property>
  <property fmtid="{D5CDD505-2E9C-101B-9397-08002B2CF9AE}" pid="6" name="MSIP_Label_875a5b46-6a40-4ffc-90be-3fcbddbfaaf1_Name">
    <vt:lpwstr>CONFIDENTIAL \ CONFIDENTIAL</vt:lpwstr>
  </property>
  <property fmtid="{D5CDD505-2E9C-101B-9397-08002B2CF9AE}" pid="7" name="MSIP_Label_875a5b46-6a40-4ffc-90be-3fcbddbfaaf1_SetDate">
    <vt:lpwstr>2024-08-06T21:48:41Z</vt:lpwstr>
  </property>
  <property fmtid="{D5CDD505-2E9C-101B-9397-08002B2CF9AE}" pid="8" name="MSIP_Label_875a5b46-6a40-4ffc-90be-3fcbddbfaaf1_SiteId">
    <vt:lpwstr>94cfddbc-0627-494a-ad7a-29aea3aea832</vt:lpwstr>
  </property>
  <property fmtid="{D5CDD505-2E9C-101B-9397-08002B2CF9AE}" pid="9" name="MSIP_Label_875a5b46-6a40-4ffc-90be-3fcbddbfaaf1_Enabled">
    <vt:lpwstr>True</vt:lpwstr>
  </property>
  <property fmtid="{D5CDD505-2E9C-101B-9397-08002B2CF9AE}" pid="10" name="MSIP_Label_875a5b46-6a40-4ffc-90be-3fcbddbfaaf1_Removed">
    <vt:lpwstr>False</vt:lpwstr>
  </property>
  <property fmtid="{D5CDD505-2E9C-101B-9397-08002B2CF9AE}" pid="11" name="MSIP_Label_875a5b46-6a40-4ffc-90be-3fcbddbfaaf1_Parent">
    <vt:lpwstr>fa45f789-1f0b-4e07-bb5a-5b7474c73833</vt:lpwstr>
  </property>
  <property fmtid="{D5CDD505-2E9C-101B-9397-08002B2CF9AE}" pid="12" name="MSIP_Label_875a5b46-6a40-4ffc-90be-3fcbddbfaaf1_Extended_MSFT_Method">
    <vt:lpwstr>Standard</vt:lpwstr>
  </property>
  <property fmtid="{D5CDD505-2E9C-101B-9397-08002B2CF9AE}" pid="13" name="MSIP_Label_fa45f789-1f0b-4e07-bb5a-5b7474c73833_Enabled">
    <vt:lpwstr>True</vt:lpwstr>
  </property>
  <property fmtid="{D5CDD505-2E9C-101B-9397-08002B2CF9AE}" pid="14" name="MSIP_Label_fa45f789-1f0b-4e07-bb5a-5b7474c73833_SiteId">
    <vt:lpwstr>94cfddbc-0627-494a-ad7a-29aea3aea832</vt:lpwstr>
  </property>
  <property fmtid="{D5CDD505-2E9C-101B-9397-08002B2CF9AE}" pid="15" name="MSIP_Label_fa45f789-1f0b-4e07-bb5a-5b7474c73833_SetDate">
    <vt:lpwstr>2024-08-06T21:48:41Z</vt:lpwstr>
  </property>
  <property fmtid="{D5CDD505-2E9C-101B-9397-08002B2CF9AE}" pid="16" name="MSIP_Label_fa45f789-1f0b-4e07-bb5a-5b7474c73833_Name">
    <vt:lpwstr>CONFIDENTIAL</vt:lpwstr>
  </property>
  <property fmtid="{D5CDD505-2E9C-101B-9397-08002B2CF9AE}" pid="17" name="MSIP_Label_fa45f789-1f0b-4e07-bb5a-5b7474c73833_ActionId">
    <vt:lpwstr>d46e5f6d-73df-4581-aaee-7e49120bc7da</vt:lpwstr>
  </property>
  <property fmtid="{D5CDD505-2E9C-101B-9397-08002B2CF9AE}" pid="18" name="MSIP_Label_fa45f789-1f0b-4e07-bb5a-5b7474c73833_Extended_MSFT_Method">
    <vt:lpwstr>Standard</vt:lpwstr>
  </property>
  <property fmtid="{D5CDD505-2E9C-101B-9397-08002B2CF9AE}" pid="19" name="Sensitivity">
    <vt:lpwstr>CONFIDENTIAL \ CONFIDENTIAL CONFIDENTIAL</vt:lpwstr>
  </property>
</Properties>
</file>