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EE97" w14:textId="77777777" w:rsidR="00925A3C" w:rsidRPr="00925A3C" w:rsidRDefault="00925A3C" w:rsidP="00925A3C">
      <w:pPr>
        <w:rPr>
          <w:b/>
          <w:bCs/>
        </w:rPr>
      </w:pPr>
      <w:r w:rsidRPr="00925A3C">
        <w:rPr>
          <w:b/>
          <w:bCs/>
        </w:rPr>
        <w:t>Townsend Underwriting &amp; Rating Framework (TURF)</w:t>
      </w:r>
    </w:p>
    <w:p w14:paraId="795EED18" w14:textId="77777777" w:rsidR="00925A3C" w:rsidRPr="00925A3C" w:rsidRDefault="00925A3C" w:rsidP="00925A3C">
      <w:r w:rsidRPr="00925A3C">
        <w:rPr>
          <w:i/>
          <w:iCs/>
        </w:rPr>
        <w:t>A structured, section-by-section approach to IC memos and fund ratings</w:t>
      </w:r>
    </w:p>
    <w:p w14:paraId="49BAB48B" w14:textId="77777777" w:rsidR="00925A3C" w:rsidRPr="00925A3C" w:rsidRDefault="00925A3C" w:rsidP="00925A3C">
      <w:r w:rsidRPr="00925A3C">
        <w:rPr>
          <w:b/>
          <w:bCs/>
        </w:rPr>
        <w:t>Purpose</w:t>
      </w:r>
      <w:r w:rsidRPr="00925A3C">
        <w:br/>
        <w:t xml:space="preserve">TURF recasts Townsend’s time-tested IC memo structure into a disciplined, rating-driven format. It enables both </w:t>
      </w:r>
      <w:r w:rsidRPr="00925A3C">
        <w:rPr>
          <w:b/>
          <w:bCs/>
        </w:rPr>
        <w:t>deep underwriting</w:t>
      </w:r>
      <w:r w:rsidRPr="00925A3C">
        <w:t xml:space="preserve"> and </w:t>
      </w:r>
      <w:r w:rsidRPr="00925A3C">
        <w:rPr>
          <w:b/>
          <w:bCs/>
        </w:rPr>
        <w:t>scalable automation</w:t>
      </w:r>
      <w:r w:rsidRPr="00925A3C">
        <w:t>, while retaining Townsend’s rigor, tone, and fiduciary standards.</w:t>
      </w:r>
    </w:p>
    <w:p w14:paraId="1AAD1808" w14:textId="77777777" w:rsidR="00925A3C" w:rsidRPr="00925A3C" w:rsidRDefault="00925A3C" w:rsidP="00925A3C">
      <w:r w:rsidRPr="00925A3C">
        <w:pict w14:anchorId="26C821DE">
          <v:rect id="_x0000_i1049" style="width:0;height:1.5pt" o:hralign="center" o:hrstd="t" o:hr="t" fillcolor="#a0a0a0" stroked="f"/>
        </w:pict>
      </w:r>
    </w:p>
    <w:p w14:paraId="7D7FB515" w14:textId="77777777" w:rsidR="00925A3C" w:rsidRPr="00925A3C" w:rsidRDefault="00925A3C" w:rsidP="00925A3C">
      <w:pPr>
        <w:rPr>
          <w:b/>
          <w:bCs/>
        </w:rPr>
      </w:pPr>
      <w:r w:rsidRPr="00925A3C">
        <w:rPr>
          <w:b/>
          <w:bCs/>
        </w:rPr>
        <w:t>Evaluation Principles</w:t>
      </w:r>
    </w:p>
    <w:p w14:paraId="2752E017" w14:textId="77777777" w:rsidR="00925A3C" w:rsidRPr="00925A3C" w:rsidRDefault="00925A3C" w:rsidP="00925A3C">
      <w:pPr>
        <w:numPr>
          <w:ilvl w:val="0"/>
          <w:numId w:val="1"/>
        </w:numPr>
      </w:pPr>
      <w:r w:rsidRPr="00925A3C">
        <w:t xml:space="preserve">Every section is rated on a </w:t>
      </w:r>
      <w:r w:rsidRPr="00925A3C">
        <w:rPr>
          <w:b/>
          <w:bCs/>
        </w:rPr>
        <w:t>5-point qualitative scale</w:t>
      </w:r>
      <w:r w:rsidRPr="00925A3C">
        <w:t>:</w:t>
      </w:r>
      <w:r w:rsidRPr="00925A3C">
        <w:br/>
      </w:r>
      <w:r w:rsidRPr="00925A3C">
        <w:rPr>
          <w:b/>
          <w:bCs/>
        </w:rPr>
        <w:t>Very Positive / Positive / Neutral / Negative / Very Negative</w:t>
      </w:r>
      <w:r w:rsidRPr="00925A3C">
        <w:t>.</w:t>
      </w:r>
    </w:p>
    <w:p w14:paraId="316B96C4" w14:textId="77777777" w:rsidR="00925A3C" w:rsidRPr="00925A3C" w:rsidRDefault="00925A3C" w:rsidP="00925A3C">
      <w:pPr>
        <w:numPr>
          <w:ilvl w:val="0"/>
          <w:numId w:val="1"/>
        </w:numPr>
      </w:pPr>
      <w:r w:rsidRPr="00925A3C">
        <w:t xml:space="preserve">Ratings feed into five integrated evaluation questions that shape the </w:t>
      </w:r>
      <w:r w:rsidRPr="00925A3C">
        <w:rPr>
          <w:b/>
          <w:bCs/>
        </w:rPr>
        <w:t>final recommendation</w:t>
      </w:r>
      <w:r w:rsidRPr="00925A3C">
        <w:t>.</w:t>
      </w:r>
    </w:p>
    <w:p w14:paraId="0783B0D4" w14:textId="77777777" w:rsidR="00925A3C" w:rsidRPr="00925A3C" w:rsidRDefault="00925A3C" w:rsidP="00925A3C">
      <w:r w:rsidRPr="00925A3C">
        <w:pict w14:anchorId="66C80468">
          <v:rect id="_x0000_i1050" style="width:0;height:1.5pt" o:hralign="center" o:hrstd="t" o:hr="t" fillcolor="#a0a0a0" stroked="f"/>
        </w:pict>
      </w:r>
    </w:p>
    <w:p w14:paraId="62235D66" w14:textId="77777777" w:rsidR="00925A3C" w:rsidRPr="00925A3C" w:rsidRDefault="00925A3C" w:rsidP="00925A3C">
      <w:pPr>
        <w:rPr>
          <w:b/>
          <w:bCs/>
        </w:rPr>
      </w:pPr>
      <w:r w:rsidRPr="00925A3C">
        <w:rPr>
          <w:b/>
          <w:bCs/>
        </w:rPr>
        <w:t>Five Core Evaluation Questions</w:t>
      </w:r>
    </w:p>
    <w:p w14:paraId="01C30E97" w14:textId="77777777" w:rsidR="00925A3C" w:rsidRPr="00925A3C" w:rsidRDefault="00925A3C" w:rsidP="00925A3C">
      <w:pPr>
        <w:numPr>
          <w:ilvl w:val="0"/>
          <w:numId w:val="2"/>
        </w:numPr>
      </w:pPr>
      <w:r w:rsidRPr="00925A3C">
        <w:t xml:space="preserve">Is there a </w:t>
      </w:r>
      <w:r w:rsidRPr="00925A3C">
        <w:rPr>
          <w:b/>
          <w:bCs/>
        </w:rPr>
        <w:t>compelling market opportunity</w:t>
      </w:r>
      <w:r w:rsidRPr="00925A3C">
        <w:t>? (Sec. 2)</w:t>
      </w:r>
    </w:p>
    <w:p w14:paraId="331365FD" w14:textId="77777777" w:rsidR="00925A3C" w:rsidRPr="00925A3C" w:rsidRDefault="00925A3C" w:rsidP="00925A3C">
      <w:pPr>
        <w:numPr>
          <w:ilvl w:val="0"/>
          <w:numId w:val="2"/>
        </w:numPr>
      </w:pPr>
      <w:r w:rsidRPr="00925A3C">
        <w:t xml:space="preserve">Is the </w:t>
      </w:r>
      <w:r w:rsidRPr="00925A3C">
        <w:rPr>
          <w:b/>
          <w:bCs/>
        </w:rPr>
        <w:t>strategy aligned</w:t>
      </w:r>
      <w:r w:rsidRPr="00925A3C">
        <w:t xml:space="preserve"> with that opportunity? (Sec. 3–4)</w:t>
      </w:r>
    </w:p>
    <w:p w14:paraId="0A3C580F" w14:textId="77777777" w:rsidR="00925A3C" w:rsidRPr="00925A3C" w:rsidRDefault="00925A3C" w:rsidP="00925A3C">
      <w:pPr>
        <w:numPr>
          <w:ilvl w:val="0"/>
          <w:numId w:val="2"/>
        </w:numPr>
      </w:pPr>
      <w:r w:rsidRPr="00925A3C">
        <w:t xml:space="preserve">Do </w:t>
      </w:r>
      <w:r w:rsidRPr="00925A3C">
        <w:rPr>
          <w:b/>
          <w:bCs/>
        </w:rPr>
        <w:t>returns justify risks</w:t>
      </w:r>
      <w:r w:rsidRPr="00925A3C">
        <w:t>? (Sec. 5–6)</w:t>
      </w:r>
    </w:p>
    <w:p w14:paraId="480AE3F5" w14:textId="77777777" w:rsidR="00925A3C" w:rsidRPr="00925A3C" w:rsidRDefault="00925A3C" w:rsidP="00925A3C">
      <w:pPr>
        <w:numPr>
          <w:ilvl w:val="0"/>
          <w:numId w:val="2"/>
        </w:numPr>
      </w:pPr>
      <w:r w:rsidRPr="00925A3C">
        <w:t xml:space="preserve">Is this the </w:t>
      </w:r>
      <w:r w:rsidRPr="00925A3C">
        <w:rPr>
          <w:b/>
          <w:bCs/>
        </w:rPr>
        <w:t>best available option</w:t>
      </w:r>
      <w:r w:rsidRPr="00925A3C">
        <w:t xml:space="preserve"> — or are we compensated if not? (Sec. 7)</w:t>
      </w:r>
    </w:p>
    <w:p w14:paraId="64D803CB" w14:textId="77777777" w:rsidR="00925A3C" w:rsidRPr="00925A3C" w:rsidRDefault="00925A3C" w:rsidP="00925A3C">
      <w:pPr>
        <w:numPr>
          <w:ilvl w:val="0"/>
          <w:numId w:val="2"/>
        </w:numPr>
      </w:pPr>
      <w:r w:rsidRPr="00925A3C">
        <w:t xml:space="preserve">Are </w:t>
      </w:r>
      <w:r w:rsidRPr="00925A3C">
        <w:rPr>
          <w:b/>
          <w:bCs/>
        </w:rPr>
        <w:t>terms fair and governance sound</w:t>
      </w:r>
      <w:r w:rsidRPr="00925A3C">
        <w:t>? (Sec. 8–10)</w:t>
      </w:r>
    </w:p>
    <w:p w14:paraId="4E168220" w14:textId="77777777" w:rsidR="00925A3C" w:rsidRPr="00925A3C" w:rsidRDefault="00925A3C" w:rsidP="00925A3C">
      <w:r w:rsidRPr="00925A3C">
        <w:pict w14:anchorId="225E03EB">
          <v:rect id="_x0000_i1051" style="width:0;height:1.5pt" o:hralign="center" o:hrstd="t" o:hr="t" fillcolor="#a0a0a0" stroked="f"/>
        </w:pict>
      </w:r>
    </w:p>
    <w:p w14:paraId="508AD75F" w14:textId="77777777" w:rsidR="00925A3C" w:rsidRPr="00925A3C" w:rsidRDefault="00925A3C" w:rsidP="00925A3C">
      <w:pPr>
        <w:rPr>
          <w:b/>
          <w:bCs/>
        </w:rPr>
      </w:pPr>
      <w:r w:rsidRPr="00925A3C">
        <w:rPr>
          <w:b/>
          <w:bCs/>
        </w:rPr>
        <w:t>TURF IC Memo Sections (11 Total)</w:t>
      </w:r>
    </w:p>
    <w:p w14:paraId="797537DE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Executive Summary</w:t>
      </w:r>
      <w:r w:rsidRPr="00925A3C">
        <w:t xml:space="preserve"> – Synthesizes findings and recommendation (not graded).</w:t>
      </w:r>
    </w:p>
    <w:p w14:paraId="20ED301E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Market Opportunity</w:t>
      </w:r>
      <w:r w:rsidRPr="00925A3C">
        <w:t xml:space="preserve"> – Macro themes, supply/demand, barriers, return drivers.</w:t>
      </w:r>
    </w:p>
    <w:p w14:paraId="465BBB1A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Investment Strategy</w:t>
      </w:r>
      <w:r w:rsidRPr="00925A3C">
        <w:t xml:space="preserve"> – Fund focus, approach, sourcing, value creation levers.</w:t>
      </w:r>
    </w:p>
    <w:p w14:paraId="4825A3DE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Return Potential</w:t>
      </w:r>
      <w:r w:rsidRPr="00925A3C">
        <w:t xml:space="preserve"> – Target IRRs, multiples, drivers vs. benchmarks.</w:t>
      </w:r>
    </w:p>
    <w:p w14:paraId="670C6A2A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Sponsor / GP Overview</w:t>
      </w:r>
      <w:r w:rsidRPr="00925A3C">
        <w:t xml:space="preserve"> – Team, platform, alignment, governance.</w:t>
      </w:r>
    </w:p>
    <w:p w14:paraId="6251CA63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Track Record</w:t>
      </w:r>
      <w:r w:rsidRPr="00925A3C">
        <w:t xml:space="preserve"> – Historical performance, attribution, peer quartiles.</w:t>
      </w:r>
    </w:p>
    <w:p w14:paraId="76CE1ED7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Competitive Set Comparison</w:t>
      </w:r>
      <w:r w:rsidRPr="00925A3C">
        <w:t xml:space="preserve"> – Peers, relative performance, differentiation.</w:t>
      </w:r>
    </w:p>
    <w:p w14:paraId="5C820701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Fund Terms &amp; Alignment</w:t>
      </w:r>
      <w:r w:rsidRPr="00925A3C">
        <w:t xml:space="preserve"> – Fees, carry, GP commitment, LP protections.</w:t>
      </w:r>
    </w:p>
    <w:p w14:paraId="03539698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Governance, Ops &amp; ESG</w:t>
      </w:r>
      <w:r w:rsidRPr="00925A3C">
        <w:t xml:space="preserve"> – IC rigor, compliance, ESG/DEI, tech stack, reporting.</w:t>
      </w:r>
    </w:p>
    <w:p w14:paraId="38C507E8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Legal / Structural</w:t>
      </w:r>
      <w:r w:rsidRPr="00925A3C">
        <w:t xml:space="preserve"> – Fund domicile, structure, tax/regulatory, LP rights.</w:t>
      </w:r>
    </w:p>
    <w:p w14:paraId="79CD1C15" w14:textId="77777777" w:rsidR="00925A3C" w:rsidRPr="00925A3C" w:rsidRDefault="00925A3C" w:rsidP="00925A3C">
      <w:pPr>
        <w:numPr>
          <w:ilvl w:val="0"/>
          <w:numId w:val="3"/>
        </w:numPr>
      </w:pPr>
      <w:r w:rsidRPr="00925A3C">
        <w:rPr>
          <w:b/>
          <w:bCs/>
        </w:rPr>
        <w:t>Evaluation &amp; Recommendation</w:t>
      </w:r>
      <w:r w:rsidRPr="00925A3C">
        <w:t xml:space="preserve"> – Synthesis across sections; strengths, risks, mitigants; explicit ratings for the five core questions.</w:t>
      </w:r>
    </w:p>
    <w:p w14:paraId="4CBB4970" w14:textId="77777777" w:rsidR="00925A3C" w:rsidRPr="00925A3C" w:rsidRDefault="00925A3C" w:rsidP="00925A3C">
      <w:r w:rsidRPr="00925A3C">
        <w:pict w14:anchorId="0BC904B3">
          <v:rect id="_x0000_i1052" style="width:0;height:1.5pt" o:hralign="center" o:hrstd="t" o:hr="t" fillcolor="#a0a0a0" stroked="f"/>
        </w:pict>
      </w:r>
    </w:p>
    <w:p w14:paraId="47FD389C" w14:textId="77777777" w:rsidR="00925A3C" w:rsidRPr="00925A3C" w:rsidRDefault="00925A3C" w:rsidP="00925A3C">
      <w:pPr>
        <w:rPr>
          <w:b/>
          <w:bCs/>
        </w:rPr>
      </w:pPr>
      <w:r w:rsidRPr="00925A3C">
        <w:rPr>
          <w:b/>
          <w:bCs/>
        </w:rPr>
        <w:t>Key Features</w:t>
      </w:r>
    </w:p>
    <w:p w14:paraId="58719A3A" w14:textId="77777777" w:rsidR="00925A3C" w:rsidRPr="00925A3C" w:rsidRDefault="00925A3C" w:rsidP="00925A3C">
      <w:pPr>
        <w:numPr>
          <w:ilvl w:val="0"/>
          <w:numId w:val="4"/>
        </w:numPr>
      </w:pPr>
      <w:r w:rsidRPr="00925A3C">
        <w:rPr>
          <w:b/>
          <w:bCs/>
        </w:rPr>
        <w:t>Evidence-based</w:t>
      </w:r>
      <w:r w:rsidRPr="00925A3C">
        <w:t>: every claim tied to source material.</w:t>
      </w:r>
    </w:p>
    <w:p w14:paraId="19368FF2" w14:textId="77777777" w:rsidR="00925A3C" w:rsidRPr="00925A3C" w:rsidRDefault="00925A3C" w:rsidP="00925A3C">
      <w:pPr>
        <w:numPr>
          <w:ilvl w:val="0"/>
          <w:numId w:val="4"/>
        </w:numPr>
      </w:pPr>
      <w:r w:rsidRPr="00925A3C">
        <w:rPr>
          <w:b/>
          <w:bCs/>
        </w:rPr>
        <w:t>Comparable</w:t>
      </w:r>
      <w:r w:rsidRPr="00925A3C">
        <w:t>: consistent scoring across funds.</w:t>
      </w:r>
    </w:p>
    <w:p w14:paraId="5D3CE777" w14:textId="77777777" w:rsidR="00925A3C" w:rsidRPr="00925A3C" w:rsidRDefault="00925A3C" w:rsidP="00925A3C">
      <w:pPr>
        <w:numPr>
          <w:ilvl w:val="0"/>
          <w:numId w:val="4"/>
        </w:numPr>
      </w:pPr>
      <w:r w:rsidRPr="00925A3C">
        <w:rPr>
          <w:b/>
          <w:bCs/>
        </w:rPr>
        <w:t>Decision-ready</w:t>
      </w:r>
      <w:r w:rsidRPr="00925A3C">
        <w:t>: clear strengths/risks, ratings, and recommendation.</w:t>
      </w:r>
    </w:p>
    <w:p w14:paraId="0488B50C" w14:textId="77777777" w:rsidR="00925A3C" w:rsidRPr="00925A3C" w:rsidRDefault="00925A3C" w:rsidP="00925A3C">
      <w:pPr>
        <w:numPr>
          <w:ilvl w:val="0"/>
          <w:numId w:val="4"/>
        </w:numPr>
      </w:pPr>
      <w:r w:rsidRPr="00925A3C">
        <w:rPr>
          <w:b/>
          <w:bCs/>
        </w:rPr>
        <w:t>Scalable</w:t>
      </w:r>
      <w:r w:rsidRPr="00925A3C">
        <w:t>: designed for automation while maintaining Townsend-level rigor.</w:t>
      </w:r>
    </w:p>
    <w:p w14:paraId="3CA86DFD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168F"/>
    <w:multiLevelType w:val="multilevel"/>
    <w:tmpl w:val="6366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D729C"/>
    <w:multiLevelType w:val="multilevel"/>
    <w:tmpl w:val="4C32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E35E9"/>
    <w:multiLevelType w:val="multilevel"/>
    <w:tmpl w:val="CB6A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87EFE"/>
    <w:multiLevelType w:val="multilevel"/>
    <w:tmpl w:val="7AA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36605">
    <w:abstractNumId w:val="3"/>
  </w:num>
  <w:num w:numId="2" w16cid:durableId="821770988">
    <w:abstractNumId w:val="2"/>
  </w:num>
  <w:num w:numId="3" w16cid:durableId="1441685815">
    <w:abstractNumId w:val="0"/>
  </w:num>
  <w:num w:numId="4" w16cid:durableId="212114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5"/>
    <w:rsid w:val="00272783"/>
    <w:rsid w:val="00501285"/>
    <w:rsid w:val="005A1B5C"/>
    <w:rsid w:val="00904F65"/>
    <w:rsid w:val="00925A3C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16BB"/>
  <w15:chartTrackingRefBased/>
  <w15:docId w15:val="{4DCBB7DD-4E2D-4068-AE46-F587606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2025-08-18T17:06:00Z</dcterms:created>
  <dcterms:modified xsi:type="dcterms:W3CDTF">2025-08-18T17:06:00Z</dcterms:modified>
</cp:coreProperties>
</file>