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A0031" w14:textId="6285F897" w:rsidR="00D637BE" w:rsidRPr="00D637BE" w:rsidRDefault="00D637BE" w:rsidP="00D637BE">
      <w:pPr>
        <w:rPr>
          <w:b/>
          <w:bCs/>
        </w:rPr>
      </w:pPr>
      <w:r w:rsidRPr="00D637BE">
        <w:rPr>
          <w:b/>
          <w:bCs/>
        </w:rPr>
        <w:t xml:space="preserve">Section 3 – Investment Strategy </w:t>
      </w:r>
    </w:p>
    <w:p w14:paraId="3F463DEE" w14:textId="77777777" w:rsidR="00D637BE" w:rsidRPr="00D637BE" w:rsidRDefault="00D637BE" w:rsidP="00D637BE">
      <w:r w:rsidRPr="00D637BE">
        <w:rPr>
          <w:b/>
          <w:bCs/>
        </w:rPr>
        <w:t>Evaluation Grade:</w:t>
      </w:r>
      <w:r w:rsidRPr="00D637BE">
        <w:t xml:space="preserve"> ☐ Very Positive ☐ Positive ☐ Neutral ☐ Negative ☐ Very Negative</w:t>
      </w:r>
    </w:p>
    <w:p w14:paraId="04C29D0B" w14:textId="77777777" w:rsidR="00D637BE" w:rsidRPr="00D637BE" w:rsidRDefault="00D637BE" w:rsidP="00D637BE">
      <w:r w:rsidRPr="00D637BE">
        <w:pict w14:anchorId="42EC0469">
          <v:rect id="_x0000_i1070" style="width:0;height:1.5pt" o:hralign="center" o:hrstd="t" o:hr="t" fillcolor="#a0a0a0" stroked="f"/>
        </w:pict>
      </w:r>
    </w:p>
    <w:p w14:paraId="390F70B5" w14:textId="77777777" w:rsidR="00D637BE" w:rsidRPr="00D637BE" w:rsidRDefault="00D637BE" w:rsidP="00D637BE">
      <w:r w:rsidRPr="00D637BE">
        <w:rPr>
          <w:b/>
          <w:bCs/>
        </w:rPr>
        <w:t>Instructions:</w:t>
      </w:r>
      <w:r w:rsidRPr="00D637BE">
        <w:br/>
        <w:t>For each sub-criterion below, present:</w:t>
      </w:r>
    </w:p>
    <w:p w14:paraId="2063B50F" w14:textId="77777777" w:rsidR="00D637BE" w:rsidRPr="00D637BE" w:rsidRDefault="00D637BE" w:rsidP="00D637BE">
      <w:pPr>
        <w:numPr>
          <w:ilvl w:val="0"/>
          <w:numId w:val="8"/>
        </w:numPr>
      </w:pPr>
      <w:r w:rsidRPr="00D637BE">
        <w:rPr>
          <w:b/>
          <w:bCs/>
        </w:rPr>
        <w:t>Narrative paragraph</w:t>
      </w:r>
      <w:r w:rsidRPr="00D637BE">
        <w:t xml:space="preserve"> (Townsend IC memo tone: objective, fact-driven, no marketing language).</w:t>
      </w:r>
    </w:p>
    <w:p w14:paraId="2C25CA1B" w14:textId="77777777" w:rsidR="00D637BE" w:rsidRPr="00D637BE" w:rsidRDefault="00D637BE" w:rsidP="00D637BE">
      <w:pPr>
        <w:numPr>
          <w:ilvl w:val="0"/>
          <w:numId w:val="8"/>
        </w:numPr>
      </w:pPr>
      <w:r w:rsidRPr="00D637BE">
        <w:rPr>
          <w:b/>
          <w:bCs/>
        </w:rPr>
        <w:t>Supporting data</w:t>
      </w:r>
      <w:r w:rsidRPr="00D637BE">
        <w:t xml:space="preserve"> in bullets or tables (</w:t>
      </w:r>
      <w:r w:rsidRPr="00D637BE">
        <w:rPr>
          <w:b/>
          <w:bCs/>
        </w:rPr>
        <w:t>at least one numeric datapoint per sub-criterion</w:t>
      </w:r>
      <w:r w:rsidRPr="00D637BE">
        <w:t>).</w:t>
      </w:r>
    </w:p>
    <w:p w14:paraId="40C7367D" w14:textId="77777777" w:rsidR="00D637BE" w:rsidRPr="00D637BE" w:rsidRDefault="00D637BE" w:rsidP="00D637BE">
      <w:pPr>
        <w:numPr>
          <w:ilvl w:val="0"/>
          <w:numId w:val="8"/>
        </w:numPr>
      </w:pPr>
      <w:r w:rsidRPr="00D637BE">
        <w:rPr>
          <w:b/>
          <w:bCs/>
        </w:rPr>
        <w:t>Peer/benchmark comparisons</w:t>
      </w:r>
      <w:r w:rsidRPr="00D637BE">
        <w:t xml:space="preserve"> where possible.</w:t>
      </w:r>
    </w:p>
    <w:p w14:paraId="35823A98" w14:textId="77777777" w:rsidR="00D637BE" w:rsidRPr="00D637BE" w:rsidRDefault="00D637BE" w:rsidP="00D637BE">
      <w:pPr>
        <w:numPr>
          <w:ilvl w:val="0"/>
          <w:numId w:val="8"/>
        </w:numPr>
      </w:pPr>
      <w:r w:rsidRPr="00D637BE">
        <w:rPr>
          <w:b/>
          <w:bCs/>
        </w:rPr>
        <w:t>Risk/sensitivity notes</w:t>
      </w:r>
      <w:r w:rsidRPr="00D637BE">
        <w:t xml:space="preserve">: highlight downside scenarios and </w:t>
      </w:r>
      <w:r w:rsidRPr="00D637BE">
        <w:rPr>
          <w:b/>
          <w:bCs/>
        </w:rPr>
        <w:t>quantify</w:t>
      </w:r>
      <w:r w:rsidRPr="00D637BE">
        <w:t xml:space="preserve"> potential return impacts.</w:t>
      </w:r>
    </w:p>
    <w:p w14:paraId="600EA33F" w14:textId="77777777" w:rsidR="00D637BE" w:rsidRPr="00D637BE" w:rsidRDefault="00D637BE" w:rsidP="00D637BE">
      <w:r w:rsidRPr="00D637BE">
        <w:pict w14:anchorId="73720449">
          <v:rect id="_x0000_i1071" style="width:0;height:1.5pt" o:hralign="center" o:hrstd="t" o:hr="t" fillcolor="#a0a0a0" stroked="f"/>
        </w:pict>
      </w:r>
    </w:p>
    <w:p w14:paraId="2C999369" w14:textId="77777777" w:rsidR="00D637BE" w:rsidRPr="00D637BE" w:rsidRDefault="00D637BE" w:rsidP="00D637BE">
      <w:pPr>
        <w:rPr>
          <w:b/>
          <w:bCs/>
        </w:rPr>
      </w:pPr>
      <w:r w:rsidRPr="00D637BE">
        <w:rPr>
          <w:b/>
          <w:bCs/>
        </w:rPr>
        <w:t>Sub-Criteria:</w:t>
      </w:r>
    </w:p>
    <w:p w14:paraId="1AB8EFB9" w14:textId="77777777" w:rsidR="00D637BE" w:rsidRPr="00D637BE" w:rsidRDefault="00D637BE" w:rsidP="00D637BE">
      <w:r w:rsidRPr="00D637BE">
        <w:rPr>
          <w:b/>
          <w:bCs/>
        </w:rPr>
        <w:t>1. Strategy Clarity &amp; Fit</w:t>
      </w:r>
    </w:p>
    <w:p w14:paraId="43D1581C" w14:textId="77777777" w:rsidR="00D637BE" w:rsidRPr="00D637BE" w:rsidRDefault="00D637BE" w:rsidP="00D637BE">
      <w:pPr>
        <w:numPr>
          <w:ilvl w:val="0"/>
          <w:numId w:val="9"/>
        </w:numPr>
      </w:pPr>
      <w:r w:rsidRPr="00D637BE">
        <w:t>Evaluate clarity of investment thesis, competitive defensibility, and alignment with sponsor’s expertise.</w:t>
      </w:r>
    </w:p>
    <w:p w14:paraId="512E0416" w14:textId="77777777" w:rsidR="00D637BE" w:rsidRPr="00D637BE" w:rsidRDefault="00D637BE" w:rsidP="00D637BE">
      <w:pPr>
        <w:numPr>
          <w:ilvl w:val="0"/>
          <w:numId w:val="9"/>
        </w:numPr>
      </w:pPr>
      <w:r w:rsidRPr="00D637BE">
        <w:t>Explain how the strategy is positioned in the current cycle and relative to market peers.</w:t>
      </w:r>
    </w:p>
    <w:p w14:paraId="6D5F98A1" w14:textId="77777777" w:rsidR="00D637BE" w:rsidRPr="00D637BE" w:rsidRDefault="00D637BE" w:rsidP="00D637BE">
      <w:r w:rsidRPr="00D637BE">
        <w:rPr>
          <w:b/>
          <w:bCs/>
        </w:rPr>
        <w:t>2. Risk Mitigation Plan</w:t>
      </w:r>
    </w:p>
    <w:p w14:paraId="076F5420" w14:textId="77777777" w:rsidR="00D637BE" w:rsidRPr="00D637BE" w:rsidRDefault="00D637BE" w:rsidP="00D637BE">
      <w:pPr>
        <w:numPr>
          <w:ilvl w:val="0"/>
          <w:numId w:val="10"/>
        </w:numPr>
      </w:pPr>
      <w:r w:rsidRPr="00D637BE">
        <w:t>Assess specific measures for mitigating market, execution, and financing risks (e.g., pre-sales, GMP contracts, interest rate hedging).</w:t>
      </w:r>
    </w:p>
    <w:p w14:paraId="54FAF803" w14:textId="77777777" w:rsidR="00D637BE" w:rsidRPr="00D637BE" w:rsidRDefault="00D637BE" w:rsidP="00D637BE">
      <w:pPr>
        <w:numPr>
          <w:ilvl w:val="0"/>
          <w:numId w:val="10"/>
        </w:numPr>
      </w:pPr>
      <w:r w:rsidRPr="00D637BE">
        <w:t>Quantify expected impact of risk mitigants on returns.</w:t>
      </w:r>
    </w:p>
    <w:p w14:paraId="3B096142" w14:textId="77777777" w:rsidR="00D637BE" w:rsidRPr="00D637BE" w:rsidRDefault="00D637BE" w:rsidP="00D637BE">
      <w:r w:rsidRPr="00D637BE">
        <w:rPr>
          <w:b/>
          <w:bCs/>
        </w:rPr>
        <w:t>3. Strategy Risk Profile</w:t>
      </w:r>
    </w:p>
    <w:p w14:paraId="71E4F678" w14:textId="77777777" w:rsidR="00D637BE" w:rsidRPr="00D637BE" w:rsidRDefault="00D637BE" w:rsidP="00D637BE">
      <w:pPr>
        <w:numPr>
          <w:ilvl w:val="0"/>
          <w:numId w:val="11"/>
        </w:numPr>
      </w:pPr>
      <w:r w:rsidRPr="00D637BE">
        <w:t>Classify the strategy (Core, Core Plus, Value Add, Opportunistic).</w:t>
      </w:r>
    </w:p>
    <w:p w14:paraId="77D03D18" w14:textId="77777777" w:rsidR="00D637BE" w:rsidRPr="00D637BE" w:rsidRDefault="00D637BE" w:rsidP="00D637BE">
      <w:pPr>
        <w:numPr>
          <w:ilvl w:val="0"/>
          <w:numId w:val="11"/>
        </w:numPr>
      </w:pPr>
      <w:r w:rsidRPr="00D637BE">
        <w:t>Relate expected IRR/MOIC to peer ranges for similar risk profiles.</w:t>
      </w:r>
    </w:p>
    <w:p w14:paraId="0AC4CA51" w14:textId="77777777" w:rsidR="00D637BE" w:rsidRPr="00D637BE" w:rsidRDefault="00D637BE" w:rsidP="00D637BE">
      <w:r w:rsidRPr="00D637BE">
        <w:rPr>
          <w:b/>
          <w:bCs/>
        </w:rPr>
        <w:t>4. Seed Capital</w:t>
      </w:r>
    </w:p>
    <w:p w14:paraId="3A923DFF" w14:textId="77777777" w:rsidR="00D637BE" w:rsidRPr="00D637BE" w:rsidRDefault="00D637BE" w:rsidP="00D637BE">
      <w:pPr>
        <w:numPr>
          <w:ilvl w:val="0"/>
          <w:numId w:val="12"/>
        </w:numPr>
      </w:pPr>
      <w:r w:rsidRPr="00D637BE">
        <w:t>Detail percentage of committed capital invested or allocated at fund close.</w:t>
      </w:r>
    </w:p>
    <w:p w14:paraId="17613ECC" w14:textId="77777777" w:rsidR="00D637BE" w:rsidRPr="00D637BE" w:rsidRDefault="00D637BE" w:rsidP="00D637BE">
      <w:pPr>
        <w:numPr>
          <w:ilvl w:val="0"/>
          <w:numId w:val="12"/>
        </w:numPr>
      </w:pPr>
      <w:r w:rsidRPr="00D637BE">
        <w:lastRenderedPageBreak/>
        <w:t>Describe strategic benefits of seed assets (e.g., quicker ramp-up, proven underwriting).</w:t>
      </w:r>
    </w:p>
    <w:p w14:paraId="08B2E5D0" w14:textId="77777777" w:rsidR="00D637BE" w:rsidRPr="00D637BE" w:rsidRDefault="00D637BE" w:rsidP="00D637BE">
      <w:r w:rsidRPr="00D637BE">
        <w:rPr>
          <w:b/>
          <w:bCs/>
        </w:rPr>
        <w:t>5. Leverage Policy &amp; Usage</w:t>
      </w:r>
    </w:p>
    <w:p w14:paraId="52271DE6" w14:textId="77777777" w:rsidR="00D637BE" w:rsidRPr="00D637BE" w:rsidRDefault="00D637BE" w:rsidP="00D637BE">
      <w:pPr>
        <w:numPr>
          <w:ilvl w:val="0"/>
          <w:numId w:val="13"/>
        </w:numPr>
      </w:pPr>
      <w:r w:rsidRPr="00D637BE">
        <w:t>Provide target and maximum LTV/LTC, recourse structure, and use of hedging.</w:t>
      </w:r>
    </w:p>
    <w:p w14:paraId="41B2E961" w14:textId="77777777" w:rsidR="00D637BE" w:rsidRPr="00D637BE" w:rsidRDefault="00D637BE" w:rsidP="00D637BE">
      <w:pPr>
        <w:numPr>
          <w:ilvl w:val="0"/>
          <w:numId w:val="13"/>
        </w:numPr>
      </w:pPr>
      <w:r w:rsidRPr="00D637BE">
        <w:t>Compare to peer norms and market averages.</w:t>
      </w:r>
    </w:p>
    <w:p w14:paraId="07B00C80" w14:textId="77777777" w:rsidR="00D637BE" w:rsidRPr="00D637BE" w:rsidRDefault="00D637BE" w:rsidP="00D637BE">
      <w:r w:rsidRPr="00D637BE">
        <w:rPr>
          <w:b/>
          <w:bCs/>
        </w:rPr>
        <w:t>6. Liquidity Profile</w:t>
      </w:r>
    </w:p>
    <w:p w14:paraId="07DC5150" w14:textId="77777777" w:rsidR="00D637BE" w:rsidRPr="00D637BE" w:rsidRDefault="00D637BE" w:rsidP="00D637BE">
      <w:pPr>
        <w:numPr>
          <w:ilvl w:val="0"/>
          <w:numId w:val="14"/>
        </w:numPr>
      </w:pPr>
      <w:r w:rsidRPr="00D637BE">
        <w:t>Evaluate hold period assumptions, portfolio turnover expectations, and investor base diversification.</w:t>
      </w:r>
    </w:p>
    <w:p w14:paraId="2A281021" w14:textId="77777777" w:rsidR="00D637BE" w:rsidRPr="00D637BE" w:rsidRDefault="00D637BE" w:rsidP="00D637BE">
      <w:pPr>
        <w:numPr>
          <w:ilvl w:val="0"/>
          <w:numId w:val="14"/>
        </w:numPr>
      </w:pPr>
      <w:r w:rsidRPr="00D637BE">
        <w:t>Assess flexibility in exit timing and capital redeployment.</w:t>
      </w:r>
    </w:p>
    <w:p w14:paraId="5DFF7FF4" w14:textId="77777777" w:rsidR="00D637BE" w:rsidRPr="00D637BE" w:rsidRDefault="00D637BE" w:rsidP="00D637BE">
      <w:r w:rsidRPr="00D637BE">
        <w:rPr>
          <w:b/>
          <w:bCs/>
        </w:rPr>
        <w:t>7. Exit Realism</w:t>
      </w:r>
    </w:p>
    <w:p w14:paraId="2DDC95CC" w14:textId="77777777" w:rsidR="00D637BE" w:rsidRPr="00D637BE" w:rsidRDefault="00D637BE" w:rsidP="00D637BE">
      <w:pPr>
        <w:numPr>
          <w:ilvl w:val="0"/>
          <w:numId w:val="15"/>
        </w:numPr>
      </w:pPr>
      <w:r w:rsidRPr="00D637BE">
        <w:t>Assess feasibility of planned exit routes (recap, sale) given current market liquidity.</w:t>
      </w:r>
    </w:p>
    <w:p w14:paraId="026B8B01" w14:textId="77777777" w:rsidR="00D637BE" w:rsidRPr="00D637BE" w:rsidRDefault="00D637BE" w:rsidP="00D637BE">
      <w:pPr>
        <w:numPr>
          <w:ilvl w:val="0"/>
          <w:numId w:val="15"/>
        </w:numPr>
      </w:pPr>
      <w:r w:rsidRPr="00D637BE">
        <w:t>Include data on buyer universe depth, transaction volume trends, and pricing stability.</w:t>
      </w:r>
    </w:p>
    <w:p w14:paraId="72C05B4F" w14:textId="77777777" w:rsidR="00D637BE" w:rsidRPr="00D637BE" w:rsidRDefault="00D637BE" w:rsidP="00D637BE">
      <w:r w:rsidRPr="00D637BE">
        <w:rPr>
          <w:b/>
          <w:bCs/>
        </w:rPr>
        <w:t>8. Asset Class Diversification</w:t>
      </w:r>
    </w:p>
    <w:p w14:paraId="587BDD83" w14:textId="77777777" w:rsidR="00D637BE" w:rsidRPr="00D637BE" w:rsidRDefault="00D637BE" w:rsidP="00D637BE">
      <w:pPr>
        <w:numPr>
          <w:ilvl w:val="0"/>
          <w:numId w:val="16"/>
        </w:numPr>
      </w:pPr>
      <w:r w:rsidRPr="00D637BE">
        <w:t>State allocation targets by property type and rationale.</w:t>
      </w:r>
    </w:p>
    <w:p w14:paraId="22EDC614" w14:textId="77777777" w:rsidR="00D637BE" w:rsidRPr="00D637BE" w:rsidRDefault="00D637BE" w:rsidP="00D637BE">
      <w:pPr>
        <w:numPr>
          <w:ilvl w:val="0"/>
          <w:numId w:val="16"/>
        </w:numPr>
      </w:pPr>
      <w:r w:rsidRPr="00D637BE">
        <w:t>Compare diversification approach to peer funds.</w:t>
      </w:r>
    </w:p>
    <w:p w14:paraId="16D4BECA" w14:textId="77777777" w:rsidR="00D637BE" w:rsidRPr="00D637BE" w:rsidRDefault="00D637BE" w:rsidP="00D637BE">
      <w:r w:rsidRPr="00D637BE">
        <w:rPr>
          <w:b/>
          <w:bCs/>
        </w:rPr>
        <w:t>9. Loan Strategy Complexity (if applicable)</w:t>
      </w:r>
    </w:p>
    <w:p w14:paraId="7AA816D5" w14:textId="77777777" w:rsidR="00D637BE" w:rsidRPr="00D637BE" w:rsidRDefault="00D637BE" w:rsidP="00D637BE">
      <w:pPr>
        <w:numPr>
          <w:ilvl w:val="0"/>
          <w:numId w:val="17"/>
        </w:numPr>
      </w:pPr>
      <w:r w:rsidRPr="00D637BE">
        <w:t>Assess any mezzanine, stretch senior, or bridge financing exposure.</w:t>
      </w:r>
    </w:p>
    <w:p w14:paraId="1D80E636" w14:textId="77777777" w:rsidR="00D637BE" w:rsidRPr="00D637BE" w:rsidRDefault="00D637BE" w:rsidP="00D637BE">
      <w:pPr>
        <w:numPr>
          <w:ilvl w:val="0"/>
          <w:numId w:val="17"/>
        </w:numPr>
      </w:pPr>
      <w:r w:rsidRPr="00D637BE">
        <w:t>Quantify risk/return impact vs. traditional lending.</w:t>
      </w:r>
    </w:p>
    <w:p w14:paraId="750C70C4" w14:textId="77777777" w:rsidR="00D637BE" w:rsidRPr="00D637BE" w:rsidRDefault="00D637BE" w:rsidP="00D637BE">
      <w:r w:rsidRPr="00D637BE">
        <w:rPr>
          <w:b/>
          <w:bCs/>
        </w:rPr>
        <w:t>10. Recycling Provisions</w:t>
      </w:r>
    </w:p>
    <w:p w14:paraId="794F1685" w14:textId="77777777" w:rsidR="00D637BE" w:rsidRPr="00D637BE" w:rsidRDefault="00D637BE" w:rsidP="00D637BE">
      <w:pPr>
        <w:numPr>
          <w:ilvl w:val="0"/>
          <w:numId w:val="18"/>
        </w:numPr>
      </w:pPr>
      <w:r w:rsidRPr="00D637BE">
        <w:t>Describe policy for reusing capital from realizations during the fund term.</w:t>
      </w:r>
    </w:p>
    <w:p w14:paraId="6A1FEE51" w14:textId="77777777" w:rsidR="00D637BE" w:rsidRPr="00D637BE" w:rsidRDefault="00D637BE" w:rsidP="00D637BE">
      <w:pPr>
        <w:numPr>
          <w:ilvl w:val="0"/>
          <w:numId w:val="18"/>
        </w:numPr>
      </w:pPr>
      <w:r w:rsidRPr="00D637BE">
        <w:t>Evaluate benefits and risks (e.g., concentration risk, IRR drag).</w:t>
      </w:r>
    </w:p>
    <w:p w14:paraId="660678F5" w14:textId="77777777" w:rsidR="00D637BE" w:rsidRPr="00D637BE" w:rsidRDefault="00D637BE" w:rsidP="00D637BE">
      <w:r w:rsidRPr="00D637BE">
        <w:rPr>
          <w:b/>
          <w:bCs/>
        </w:rPr>
        <w:t>11. Sourcing Methodology</w:t>
      </w:r>
    </w:p>
    <w:p w14:paraId="215B3F8C" w14:textId="77777777" w:rsidR="00D637BE" w:rsidRPr="00D637BE" w:rsidRDefault="00D637BE" w:rsidP="00D637BE">
      <w:pPr>
        <w:numPr>
          <w:ilvl w:val="0"/>
          <w:numId w:val="19"/>
        </w:numPr>
      </w:pPr>
      <w:r w:rsidRPr="00D637BE">
        <w:t>Identify proportion of deals from proprietary channels, brokered processes, and repeat relationships.</w:t>
      </w:r>
    </w:p>
    <w:p w14:paraId="44A1B0F4" w14:textId="77777777" w:rsidR="00D637BE" w:rsidRPr="00D637BE" w:rsidRDefault="00D637BE" w:rsidP="00D637BE">
      <w:pPr>
        <w:numPr>
          <w:ilvl w:val="0"/>
          <w:numId w:val="19"/>
        </w:numPr>
      </w:pPr>
      <w:r w:rsidRPr="00D637BE">
        <w:t>Quantify pipeline visibility (number of deals in active discussion).</w:t>
      </w:r>
    </w:p>
    <w:p w14:paraId="0A0E6B58" w14:textId="77777777" w:rsidR="00D637BE" w:rsidRPr="00D637BE" w:rsidRDefault="00D637BE" w:rsidP="00D637BE">
      <w:r w:rsidRPr="00D637BE">
        <w:rPr>
          <w:b/>
          <w:bCs/>
        </w:rPr>
        <w:t>12. Operational Complexity</w:t>
      </w:r>
    </w:p>
    <w:p w14:paraId="6638B541" w14:textId="77777777" w:rsidR="00D637BE" w:rsidRPr="00D637BE" w:rsidRDefault="00D637BE" w:rsidP="00D637BE">
      <w:pPr>
        <w:numPr>
          <w:ilvl w:val="0"/>
          <w:numId w:val="20"/>
        </w:numPr>
      </w:pPr>
      <w:r w:rsidRPr="00D637BE">
        <w:lastRenderedPageBreak/>
        <w:t>Contrast execution requirements for development, forward commitment, and stabilized acquisitions.</w:t>
      </w:r>
    </w:p>
    <w:p w14:paraId="288E77D9" w14:textId="77777777" w:rsidR="00D637BE" w:rsidRPr="00D637BE" w:rsidRDefault="00D637BE" w:rsidP="00D637BE">
      <w:pPr>
        <w:numPr>
          <w:ilvl w:val="0"/>
          <w:numId w:val="20"/>
        </w:numPr>
      </w:pPr>
      <w:r w:rsidRPr="00D637BE">
        <w:t>Include staffing/resource implications.</w:t>
      </w:r>
    </w:p>
    <w:p w14:paraId="7C98959F" w14:textId="77777777" w:rsidR="00D637BE" w:rsidRPr="00D637BE" w:rsidRDefault="00D637BE" w:rsidP="00D637BE">
      <w:r w:rsidRPr="00D637BE">
        <w:rPr>
          <w:b/>
          <w:bCs/>
        </w:rPr>
        <w:t>13. ESG-Adjusted Underwriting</w:t>
      </w:r>
    </w:p>
    <w:p w14:paraId="04B0F425" w14:textId="77777777" w:rsidR="00D637BE" w:rsidRPr="00D637BE" w:rsidRDefault="00D637BE" w:rsidP="00D637BE">
      <w:pPr>
        <w:numPr>
          <w:ilvl w:val="0"/>
          <w:numId w:val="21"/>
        </w:numPr>
      </w:pPr>
      <w:r w:rsidRPr="00D637BE">
        <w:t>Note whether climate risk, ESG compliance, or sustainability certifications are integrated into underwriting.</w:t>
      </w:r>
    </w:p>
    <w:p w14:paraId="1392DAD4" w14:textId="77777777" w:rsidR="00D637BE" w:rsidRPr="00D637BE" w:rsidRDefault="00D637BE" w:rsidP="00D637BE">
      <w:pPr>
        <w:numPr>
          <w:ilvl w:val="0"/>
          <w:numId w:val="21"/>
        </w:numPr>
      </w:pPr>
      <w:r w:rsidRPr="00D637BE">
        <w:t xml:space="preserve">Include </w:t>
      </w:r>
      <w:proofErr w:type="gramStart"/>
      <w:r w:rsidRPr="00D637BE">
        <w:t>example</w:t>
      </w:r>
      <w:proofErr w:type="gramEnd"/>
      <w:r w:rsidRPr="00D637BE">
        <w:t xml:space="preserve"> of ESG adjustment to financial projections.</w:t>
      </w:r>
    </w:p>
    <w:p w14:paraId="03E1B104" w14:textId="77777777" w:rsidR="00D637BE" w:rsidRPr="00D637BE" w:rsidRDefault="00D637BE" w:rsidP="00D637BE">
      <w:r w:rsidRPr="00D637BE">
        <w:rPr>
          <w:b/>
          <w:bCs/>
        </w:rPr>
        <w:t>14. Strategy Differentiation &amp; Competitive Positioning</w:t>
      </w:r>
    </w:p>
    <w:p w14:paraId="04508A33" w14:textId="77777777" w:rsidR="00D637BE" w:rsidRPr="00D637BE" w:rsidRDefault="00D637BE" w:rsidP="00D637BE">
      <w:pPr>
        <w:numPr>
          <w:ilvl w:val="0"/>
          <w:numId w:val="22"/>
        </w:numPr>
      </w:pPr>
      <w:r w:rsidRPr="00D637BE">
        <w:t>Explicitly assess how the strategy stands out relative to peers — unique deal structures, geographic dominance, proprietary relationships, speed to close, or cost of capital advantages.</w:t>
      </w:r>
    </w:p>
    <w:p w14:paraId="20D26C4B" w14:textId="77777777" w:rsidR="00D637BE" w:rsidRPr="00D637BE" w:rsidRDefault="00D637BE" w:rsidP="00D637BE">
      <w:pPr>
        <w:numPr>
          <w:ilvl w:val="0"/>
          <w:numId w:val="22"/>
        </w:numPr>
      </w:pPr>
      <w:r w:rsidRPr="00D637BE">
        <w:t>Provide comparative table vs. 3–5 closest peer funds.</w:t>
      </w:r>
    </w:p>
    <w:p w14:paraId="439141B4" w14:textId="77777777" w:rsidR="00D637BE" w:rsidRPr="00D637BE" w:rsidRDefault="00D637BE" w:rsidP="00D637BE">
      <w:r w:rsidRPr="00D637BE">
        <w:rPr>
          <w:b/>
          <w:bCs/>
        </w:rPr>
        <w:t>15. Alignment with Capital Markets Trends</w:t>
      </w:r>
    </w:p>
    <w:p w14:paraId="369262AB" w14:textId="77777777" w:rsidR="00D637BE" w:rsidRPr="00D637BE" w:rsidRDefault="00D637BE" w:rsidP="00D637BE">
      <w:pPr>
        <w:numPr>
          <w:ilvl w:val="0"/>
          <w:numId w:val="23"/>
        </w:numPr>
      </w:pPr>
      <w:r w:rsidRPr="00D637BE">
        <w:t>Analyze how the strategy is advantaged or disadvantaged by current capital market conditions (e.g., spread widening, lender pullback).</w:t>
      </w:r>
    </w:p>
    <w:p w14:paraId="28E01084" w14:textId="77777777" w:rsidR="00D637BE" w:rsidRPr="00D637BE" w:rsidRDefault="00D637BE" w:rsidP="00D637BE">
      <w:pPr>
        <w:numPr>
          <w:ilvl w:val="0"/>
          <w:numId w:val="23"/>
        </w:numPr>
      </w:pPr>
      <w:r w:rsidRPr="00D637BE">
        <w:t>Link to expected impact on entry pricing, deal flow, and exit valuations.</w:t>
      </w:r>
    </w:p>
    <w:p w14:paraId="36E65BFD" w14:textId="77777777" w:rsidR="00D637BE" w:rsidRPr="00D637BE" w:rsidRDefault="00D637BE" w:rsidP="00D637BE">
      <w:r w:rsidRPr="00D637BE">
        <w:rPr>
          <w:b/>
          <w:bCs/>
        </w:rPr>
        <w:t>16. Scalability &amp; Deployment Pace</w:t>
      </w:r>
    </w:p>
    <w:p w14:paraId="3E63D00D" w14:textId="77777777" w:rsidR="00D637BE" w:rsidRPr="00D637BE" w:rsidRDefault="00D637BE" w:rsidP="00D637BE">
      <w:pPr>
        <w:numPr>
          <w:ilvl w:val="0"/>
          <w:numId w:val="24"/>
        </w:numPr>
      </w:pPr>
      <w:r w:rsidRPr="00D637BE">
        <w:t>Evaluate whether the market opportunity set supports full deployment of targeted capital at underwritten returns within the investment period.</w:t>
      </w:r>
    </w:p>
    <w:p w14:paraId="16316615" w14:textId="77777777" w:rsidR="00D637BE" w:rsidRPr="00D637BE" w:rsidRDefault="00D637BE" w:rsidP="00D637BE">
      <w:pPr>
        <w:numPr>
          <w:ilvl w:val="0"/>
          <w:numId w:val="24"/>
        </w:numPr>
      </w:pPr>
      <w:r w:rsidRPr="00D637BE">
        <w:t xml:space="preserve">Provide historical deployment pace for prior funds and </w:t>
      </w:r>
      <w:proofErr w:type="gramStart"/>
      <w:r w:rsidRPr="00D637BE">
        <w:t>compare</w:t>
      </w:r>
      <w:proofErr w:type="gramEnd"/>
      <w:r w:rsidRPr="00D637BE">
        <w:t xml:space="preserve"> to current pipeline.</w:t>
      </w:r>
    </w:p>
    <w:p w14:paraId="0025E190" w14:textId="77777777" w:rsidR="00D637BE" w:rsidRPr="00D637BE" w:rsidRDefault="00D637BE" w:rsidP="00D637BE">
      <w:r w:rsidRPr="00D637BE">
        <w:rPr>
          <w:b/>
          <w:bCs/>
        </w:rPr>
        <w:t>17. Track Record Linkage to Strategy</w:t>
      </w:r>
    </w:p>
    <w:p w14:paraId="484B120D" w14:textId="77777777" w:rsidR="00D637BE" w:rsidRPr="00D637BE" w:rsidRDefault="00D637BE" w:rsidP="00D637BE">
      <w:pPr>
        <w:numPr>
          <w:ilvl w:val="0"/>
          <w:numId w:val="25"/>
        </w:numPr>
      </w:pPr>
      <w:r w:rsidRPr="00D637BE">
        <w:t>Assess how past fund performance validates (or contradicts) the strategy being pursued.</w:t>
      </w:r>
    </w:p>
    <w:p w14:paraId="0300542B" w14:textId="77777777" w:rsidR="00D637BE" w:rsidRPr="00D637BE" w:rsidRDefault="00D637BE" w:rsidP="00D637BE">
      <w:pPr>
        <w:numPr>
          <w:ilvl w:val="0"/>
          <w:numId w:val="25"/>
        </w:numPr>
      </w:pPr>
      <w:r w:rsidRPr="00D637BE">
        <w:t>Note changes to underwriting or structure from prior vintages to address lessons learned.</w:t>
      </w:r>
    </w:p>
    <w:p w14:paraId="3EA9B682" w14:textId="77777777" w:rsidR="00D637BE" w:rsidRPr="00D637BE" w:rsidRDefault="00D637BE" w:rsidP="00D637BE">
      <w:r w:rsidRPr="00D637BE">
        <w:pict w14:anchorId="781B640B">
          <v:rect id="_x0000_i1072" style="width:0;height:1.5pt" o:hralign="center" o:hrstd="t" o:hr="t" fillcolor="#a0a0a0" stroked="f"/>
        </w:pict>
      </w:r>
    </w:p>
    <w:p w14:paraId="0FCB7E9C" w14:textId="77777777" w:rsidR="00D637BE" w:rsidRPr="00D637BE" w:rsidRDefault="00D637BE" w:rsidP="00D637BE">
      <w:r w:rsidRPr="00D637BE">
        <w:rPr>
          <w:b/>
          <w:bCs/>
        </w:rPr>
        <w:t>Wrap-Up:</w:t>
      </w:r>
    </w:p>
    <w:p w14:paraId="0CC4E7F0" w14:textId="77777777" w:rsidR="00D637BE" w:rsidRPr="00D637BE" w:rsidRDefault="00D637BE" w:rsidP="00D637BE">
      <w:pPr>
        <w:numPr>
          <w:ilvl w:val="0"/>
          <w:numId w:val="26"/>
        </w:numPr>
      </w:pPr>
      <w:r w:rsidRPr="00D637BE">
        <w:rPr>
          <w:b/>
          <w:bCs/>
        </w:rPr>
        <w:t>3–4 bullet summary</w:t>
      </w:r>
      <w:r w:rsidRPr="00D637BE">
        <w:t xml:space="preserve"> of the most material strengths and risks in the strategy.</w:t>
      </w:r>
    </w:p>
    <w:p w14:paraId="79029DAD" w14:textId="77777777" w:rsidR="00D637BE" w:rsidRPr="00D637BE" w:rsidRDefault="00D637BE" w:rsidP="00D637BE">
      <w:pPr>
        <w:numPr>
          <w:ilvl w:val="0"/>
          <w:numId w:val="26"/>
        </w:numPr>
      </w:pPr>
      <w:r w:rsidRPr="00D637BE">
        <w:rPr>
          <w:b/>
          <w:bCs/>
        </w:rPr>
        <w:lastRenderedPageBreak/>
        <w:t>Preliminary Section Rating:</w:t>
      </w:r>
      <w:r w:rsidRPr="00D637BE">
        <w:t xml:space="preserve"> [Rating] — [Justification].</w:t>
      </w:r>
    </w:p>
    <w:p w14:paraId="202B2AC8" w14:textId="77777777" w:rsidR="00DC1007" w:rsidRPr="008553BD" w:rsidRDefault="00DC1007" w:rsidP="008553BD"/>
    <w:sectPr w:rsidR="00DC1007" w:rsidRPr="0085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5264"/>
    <w:multiLevelType w:val="multilevel"/>
    <w:tmpl w:val="40CC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3C46"/>
    <w:multiLevelType w:val="multilevel"/>
    <w:tmpl w:val="F5D2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B2314"/>
    <w:multiLevelType w:val="multilevel"/>
    <w:tmpl w:val="BD94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21F8F"/>
    <w:multiLevelType w:val="multilevel"/>
    <w:tmpl w:val="DEAE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71194"/>
    <w:multiLevelType w:val="multilevel"/>
    <w:tmpl w:val="141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D17C9"/>
    <w:multiLevelType w:val="multilevel"/>
    <w:tmpl w:val="5A62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B6AF1"/>
    <w:multiLevelType w:val="multilevel"/>
    <w:tmpl w:val="DB7A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64FEB"/>
    <w:multiLevelType w:val="multilevel"/>
    <w:tmpl w:val="822E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5E04E5"/>
    <w:multiLevelType w:val="multilevel"/>
    <w:tmpl w:val="062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925B3"/>
    <w:multiLevelType w:val="multilevel"/>
    <w:tmpl w:val="DC9E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86840"/>
    <w:multiLevelType w:val="multilevel"/>
    <w:tmpl w:val="357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A2DC8"/>
    <w:multiLevelType w:val="multilevel"/>
    <w:tmpl w:val="0028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A031C"/>
    <w:multiLevelType w:val="multilevel"/>
    <w:tmpl w:val="1600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16391"/>
    <w:multiLevelType w:val="multilevel"/>
    <w:tmpl w:val="F5F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24C08"/>
    <w:multiLevelType w:val="multilevel"/>
    <w:tmpl w:val="04F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217FC"/>
    <w:multiLevelType w:val="multilevel"/>
    <w:tmpl w:val="8B14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C743E"/>
    <w:multiLevelType w:val="multilevel"/>
    <w:tmpl w:val="76A6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67992"/>
    <w:multiLevelType w:val="multilevel"/>
    <w:tmpl w:val="7180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120A2"/>
    <w:multiLevelType w:val="multilevel"/>
    <w:tmpl w:val="1DE6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224E7"/>
    <w:multiLevelType w:val="multilevel"/>
    <w:tmpl w:val="ED6E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B7ED8"/>
    <w:multiLevelType w:val="multilevel"/>
    <w:tmpl w:val="E0CA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284A67"/>
    <w:multiLevelType w:val="multilevel"/>
    <w:tmpl w:val="21F6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5056C"/>
    <w:multiLevelType w:val="multilevel"/>
    <w:tmpl w:val="40D2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E70A0"/>
    <w:multiLevelType w:val="multilevel"/>
    <w:tmpl w:val="EE18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1819DF"/>
    <w:multiLevelType w:val="multilevel"/>
    <w:tmpl w:val="492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8C7DFF"/>
    <w:multiLevelType w:val="multilevel"/>
    <w:tmpl w:val="0A92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498820">
    <w:abstractNumId w:val="24"/>
  </w:num>
  <w:num w:numId="2" w16cid:durableId="139737070">
    <w:abstractNumId w:val="20"/>
  </w:num>
  <w:num w:numId="3" w16cid:durableId="370149573">
    <w:abstractNumId w:val="16"/>
  </w:num>
  <w:num w:numId="4" w16cid:durableId="767770359">
    <w:abstractNumId w:val="1"/>
  </w:num>
  <w:num w:numId="5" w16cid:durableId="1373967662">
    <w:abstractNumId w:val="13"/>
  </w:num>
  <w:num w:numId="6" w16cid:durableId="1840536406">
    <w:abstractNumId w:val="7"/>
  </w:num>
  <w:num w:numId="7" w16cid:durableId="686099525">
    <w:abstractNumId w:val="8"/>
  </w:num>
  <w:num w:numId="8" w16cid:durableId="1234700374">
    <w:abstractNumId w:val="18"/>
  </w:num>
  <w:num w:numId="9" w16cid:durableId="320475095">
    <w:abstractNumId w:val="25"/>
  </w:num>
  <w:num w:numId="10" w16cid:durableId="1811288921">
    <w:abstractNumId w:val="12"/>
  </w:num>
  <w:num w:numId="11" w16cid:durableId="1806973296">
    <w:abstractNumId w:val="0"/>
  </w:num>
  <w:num w:numId="12" w16cid:durableId="1141383620">
    <w:abstractNumId w:val="11"/>
  </w:num>
  <w:num w:numId="13" w16cid:durableId="752119563">
    <w:abstractNumId w:val="4"/>
  </w:num>
  <w:num w:numId="14" w16cid:durableId="157229182">
    <w:abstractNumId w:val="10"/>
  </w:num>
  <w:num w:numId="15" w16cid:durableId="1728452179">
    <w:abstractNumId w:val="6"/>
  </w:num>
  <w:num w:numId="16" w16cid:durableId="302195475">
    <w:abstractNumId w:val="2"/>
  </w:num>
  <w:num w:numId="17" w16cid:durableId="1216158998">
    <w:abstractNumId w:val="9"/>
  </w:num>
  <w:num w:numId="18" w16cid:durableId="68499415">
    <w:abstractNumId w:val="22"/>
  </w:num>
  <w:num w:numId="19" w16cid:durableId="6908581">
    <w:abstractNumId w:val="15"/>
  </w:num>
  <w:num w:numId="20" w16cid:durableId="2096392872">
    <w:abstractNumId w:val="3"/>
  </w:num>
  <w:num w:numId="21" w16cid:durableId="925840723">
    <w:abstractNumId w:val="21"/>
  </w:num>
  <w:num w:numId="22" w16cid:durableId="1691949539">
    <w:abstractNumId w:val="23"/>
  </w:num>
  <w:num w:numId="23" w16cid:durableId="511574700">
    <w:abstractNumId w:val="14"/>
  </w:num>
  <w:num w:numId="24" w16cid:durableId="1599437684">
    <w:abstractNumId w:val="5"/>
  </w:num>
  <w:num w:numId="25" w16cid:durableId="997810248">
    <w:abstractNumId w:val="19"/>
  </w:num>
  <w:num w:numId="26" w16cid:durableId="14826530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F6"/>
    <w:rsid w:val="000E38F6"/>
    <w:rsid w:val="00272783"/>
    <w:rsid w:val="00286A3B"/>
    <w:rsid w:val="00501285"/>
    <w:rsid w:val="008553BD"/>
    <w:rsid w:val="00CD1604"/>
    <w:rsid w:val="00D637BE"/>
    <w:rsid w:val="00DC1007"/>
    <w:rsid w:val="00D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331D"/>
  <w15:chartTrackingRefBased/>
  <w15:docId w15:val="{40421947-E570-44A4-9167-A324B980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3</cp:revision>
  <dcterms:created xsi:type="dcterms:W3CDTF">2025-08-11T21:24:00Z</dcterms:created>
  <dcterms:modified xsi:type="dcterms:W3CDTF">2025-08-11T21:32:00Z</dcterms:modified>
</cp:coreProperties>
</file>