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51162" w14:textId="77777777" w:rsidR="00B53501" w:rsidRPr="00B53501" w:rsidRDefault="00B53501" w:rsidP="00B53501">
      <w:r w:rsidRPr="00B53501">
        <w:rPr>
          <w:b/>
          <w:bCs/>
        </w:rPr>
        <w:t>Section 4 – Return Potential (Fully Enhanced TURF + Townsend Depth)</w:t>
      </w:r>
      <w:r w:rsidRPr="00B53501">
        <w:br/>
      </w:r>
      <w:r w:rsidRPr="00B53501">
        <w:rPr>
          <w:b/>
          <w:bCs/>
        </w:rPr>
        <w:t>Evaluation Grade:</w:t>
      </w:r>
      <w:r w:rsidRPr="00B53501">
        <w:t xml:space="preserve"> ☐ Very Positive ☐ Positive ☐ Neutral ☐ Negative ☐ Very Negative</w:t>
      </w:r>
    </w:p>
    <w:p w14:paraId="1318BE9C" w14:textId="77777777" w:rsidR="00B53501" w:rsidRPr="00B53501" w:rsidRDefault="00B53501" w:rsidP="00B53501">
      <w:r w:rsidRPr="00B53501">
        <w:rPr>
          <w:b/>
          <w:bCs/>
        </w:rPr>
        <w:t>Instructions:</w:t>
      </w:r>
      <w:r w:rsidRPr="00B53501">
        <w:br/>
        <w:t>For each sub-criterion below, present:</w:t>
      </w:r>
    </w:p>
    <w:p w14:paraId="375530A1" w14:textId="77777777" w:rsidR="00B53501" w:rsidRPr="00B53501" w:rsidRDefault="00B53501" w:rsidP="00B53501">
      <w:pPr>
        <w:numPr>
          <w:ilvl w:val="0"/>
          <w:numId w:val="1"/>
        </w:numPr>
      </w:pPr>
      <w:r w:rsidRPr="00B53501">
        <w:t>Narrative paragraph (Townsend IC memo tone: objective, fact-driven, no marketing language).</w:t>
      </w:r>
    </w:p>
    <w:p w14:paraId="5A374EAD" w14:textId="77777777" w:rsidR="00B53501" w:rsidRPr="00B53501" w:rsidRDefault="00B53501" w:rsidP="00B53501">
      <w:pPr>
        <w:numPr>
          <w:ilvl w:val="0"/>
          <w:numId w:val="1"/>
        </w:numPr>
      </w:pPr>
      <w:r w:rsidRPr="00B53501">
        <w:t>Supporting data in bullets or tables (show at least one numeric datapoint per sub-criterion).</w:t>
      </w:r>
    </w:p>
    <w:p w14:paraId="16D239E9" w14:textId="77777777" w:rsidR="00B53501" w:rsidRPr="00B53501" w:rsidRDefault="00B53501" w:rsidP="00B53501">
      <w:pPr>
        <w:numPr>
          <w:ilvl w:val="0"/>
          <w:numId w:val="1"/>
        </w:numPr>
      </w:pPr>
      <w:r w:rsidRPr="00B53501">
        <w:t>Peer/benchmark comparisons where possible.</w:t>
      </w:r>
    </w:p>
    <w:p w14:paraId="1A046B2D" w14:textId="77777777" w:rsidR="00B53501" w:rsidRPr="00B53501" w:rsidRDefault="00B53501" w:rsidP="00B53501">
      <w:pPr>
        <w:numPr>
          <w:ilvl w:val="0"/>
          <w:numId w:val="1"/>
        </w:numPr>
      </w:pPr>
      <w:r w:rsidRPr="00B53501">
        <w:t>Sensitivity analysis: highlight downside scenarios and quantify potential IRR/MOIC impacts.</w:t>
      </w:r>
    </w:p>
    <w:p w14:paraId="3690546C" w14:textId="77777777" w:rsidR="00B53501" w:rsidRPr="00B53501" w:rsidRDefault="00B53501" w:rsidP="00B53501">
      <w:r w:rsidRPr="00B53501">
        <w:rPr>
          <w:b/>
          <w:bCs/>
        </w:rPr>
        <w:t>Sub-Criteria:</w:t>
      </w:r>
    </w:p>
    <w:p w14:paraId="5A037A1E" w14:textId="77777777" w:rsidR="00B53501" w:rsidRPr="00B53501" w:rsidRDefault="00B53501" w:rsidP="00B53501">
      <w:pPr>
        <w:numPr>
          <w:ilvl w:val="0"/>
          <w:numId w:val="2"/>
        </w:numPr>
      </w:pPr>
      <w:r w:rsidRPr="00B53501">
        <w:rPr>
          <w:b/>
          <w:bCs/>
        </w:rPr>
        <w:t>Sponsor Target Returns</w:t>
      </w:r>
    </w:p>
    <w:p w14:paraId="5270A44B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Present GP’s stated net IRR and equity multiple objectives.</w:t>
      </w:r>
    </w:p>
    <w:p w14:paraId="465BB174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Compare to historical performance of prior funds and to market peer benchmarks.</w:t>
      </w:r>
    </w:p>
    <w:p w14:paraId="46B391AC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Identify whether target returns are gross or net and if they are achievable based on underwriting and market context.</w:t>
      </w:r>
    </w:p>
    <w:p w14:paraId="71E847DA" w14:textId="77777777" w:rsidR="00B53501" w:rsidRPr="00B53501" w:rsidRDefault="00B53501" w:rsidP="00B53501">
      <w:pPr>
        <w:numPr>
          <w:ilvl w:val="0"/>
          <w:numId w:val="2"/>
        </w:numPr>
      </w:pPr>
      <w:r w:rsidRPr="00B53501">
        <w:rPr>
          <w:b/>
          <w:bCs/>
        </w:rPr>
        <w:t>Initial Income</w:t>
      </w:r>
    </w:p>
    <w:p w14:paraId="77196443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Detail expected cash yield or income from seeded/stabilized assets, if any.</w:t>
      </w:r>
    </w:p>
    <w:p w14:paraId="2428581A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Compare to sector averages and show projected contribution to overall return.</w:t>
      </w:r>
    </w:p>
    <w:p w14:paraId="3AC8975E" w14:textId="77777777" w:rsidR="00B53501" w:rsidRPr="00B53501" w:rsidRDefault="00B53501" w:rsidP="00B53501">
      <w:pPr>
        <w:numPr>
          <w:ilvl w:val="0"/>
          <w:numId w:val="2"/>
        </w:numPr>
      </w:pPr>
      <w:r w:rsidRPr="00B53501">
        <w:rPr>
          <w:b/>
          <w:bCs/>
        </w:rPr>
        <w:t>Income Growth Potential</w:t>
      </w:r>
    </w:p>
    <w:p w14:paraId="3C63B449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Evaluate NOI and rent growth trajectory, using market-level and property-type forecasts.</w:t>
      </w:r>
    </w:p>
    <w:p w14:paraId="580824C4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Include historical rent growth trends for target markets over 5–10 years.</w:t>
      </w:r>
    </w:p>
    <w:p w14:paraId="4B7761A6" w14:textId="77777777" w:rsidR="00B53501" w:rsidRPr="00B53501" w:rsidRDefault="00B53501" w:rsidP="00B53501">
      <w:pPr>
        <w:numPr>
          <w:ilvl w:val="0"/>
          <w:numId w:val="2"/>
        </w:numPr>
      </w:pPr>
      <w:r w:rsidRPr="00B53501">
        <w:rPr>
          <w:b/>
          <w:bCs/>
        </w:rPr>
        <w:t>Capital Appreciation</w:t>
      </w:r>
    </w:p>
    <w:p w14:paraId="3DE9ED1B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Break down valuation uplift assumptions (exit cap rates, mark-to-market, asset repositioning).</w:t>
      </w:r>
    </w:p>
    <w:p w14:paraId="5239E971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lastRenderedPageBreak/>
        <w:t>Benchmark exit assumptions vs. recent market transactions.</w:t>
      </w:r>
    </w:p>
    <w:p w14:paraId="12BD7C94" w14:textId="77777777" w:rsidR="00B53501" w:rsidRPr="00B53501" w:rsidRDefault="00B53501" w:rsidP="00B53501">
      <w:pPr>
        <w:numPr>
          <w:ilvl w:val="0"/>
          <w:numId w:val="2"/>
        </w:numPr>
      </w:pPr>
      <w:r w:rsidRPr="00B53501">
        <w:rPr>
          <w:b/>
          <w:bCs/>
        </w:rPr>
        <w:t>Development Return Uplift</w:t>
      </w:r>
    </w:p>
    <w:p w14:paraId="0A60FC28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Calculate yield-on-cost vs. market cap-rate spread for development or major redevelopment projects.</w:t>
      </w:r>
    </w:p>
    <w:p w14:paraId="45B63B76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Include scenario analysis on cost overruns or rent underperformance.</w:t>
      </w:r>
    </w:p>
    <w:p w14:paraId="7B13E8CB" w14:textId="77777777" w:rsidR="00B53501" w:rsidRPr="00B53501" w:rsidRDefault="00B53501" w:rsidP="00B53501">
      <w:pPr>
        <w:numPr>
          <w:ilvl w:val="0"/>
          <w:numId w:val="2"/>
        </w:numPr>
      </w:pPr>
      <w:r w:rsidRPr="00B53501">
        <w:rPr>
          <w:b/>
          <w:bCs/>
        </w:rPr>
        <w:t>Leverage Impact</w:t>
      </w:r>
    </w:p>
    <w:p w14:paraId="45D6A629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Quantify the contribution of leverage to projected IRR/MOIC.</w:t>
      </w:r>
    </w:p>
    <w:p w14:paraId="56B15AD2" w14:textId="77777777" w:rsidR="00B53501" w:rsidRPr="00B53501" w:rsidRDefault="00B53501" w:rsidP="00B53501">
      <w:pPr>
        <w:numPr>
          <w:ilvl w:val="1"/>
          <w:numId w:val="2"/>
        </w:numPr>
      </w:pPr>
      <w:r w:rsidRPr="00B53501">
        <w:t>Include stress testing under higher interest rate or lower exit pricing scenarios.</w:t>
      </w:r>
    </w:p>
    <w:p w14:paraId="34AA5BEE" w14:textId="77777777" w:rsidR="00B53501" w:rsidRPr="00B53501" w:rsidRDefault="00B53501" w:rsidP="00B53501">
      <w:pPr>
        <w:numPr>
          <w:ilvl w:val="0"/>
          <w:numId w:val="3"/>
        </w:numPr>
      </w:pPr>
      <w:r w:rsidRPr="00B53501">
        <w:rPr>
          <w:b/>
          <w:bCs/>
        </w:rPr>
        <w:t>Sensitivity &amp; Downside Analysis</w:t>
      </w:r>
    </w:p>
    <w:p w14:paraId="06958179" w14:textId="77777777" w:rsidR="00B53501" w:rsidRPr="00B53501" w:rsidRDefault="00B53501" w:rsidP="00B53501">
      <w:pPr>
        <w:numPr>
          <w:ilvl w:val="1"/>
          <w:numId w:val="3"/>
        </w:numPr>
      </w:pPr>
      <w:r w:rsidRPr="00B53501">
        <w:t>Present return sensitivity to key assumptions (cap rate expansion, slower rent growth, cost overruns).</w:t>
      </w:r>
    </w:p>
    <w:p w14:paraId="3094A16D" w14:textId="77777777" w:rsidR="00B53501" w:rsidRPr="00B53501" w:rsidRDefault="00B53501" w:rsidP="00B53501">
      <w:pPr>
        <w:numPr>
          <w:ilvl w:val="1"/>
          <w:numId w:val="3"/>
        </w:numPr>
      </w:pPr>
      <w:r w:rsidRPr="00B53501">
        <w:t xml:space="preserve">Include a summary table: </w:t>
      </w:r>
      <w:r w:rsidRPr="00B53501">
        <w:rPr>
          <w:i/>
          <w:iCs/>
        </w:rPr>
        <w:t>Variable | Base Case | Downside Case | IRR/MOIC Impact</w:t>
      </w:r>
      <w:r w:rsidRPr="00B53501">
        <w:t>.</w:t>
      </w:r>
    </w:p>
    <w:p w14:paraId="51019B5A" w14:textId="77777777" w:rsidR="00B53501" w:rsidRPr="00B53501" w:rsidRDefault="00B53501" w:rsidP="00B53501">
      <w:pPr>
        <w:numPr>
          <w:ilvl w:val="0"/>
          <w:numId w:val="3"/>
        </w:numPr>
      </w:pPr>
      <w:r w:rsidRPr="00B53501">
        <w:rPr>
          <w:b/>
          <w:bCs/>
        </w:rPr>
        <w:t>Return Composition</w:t>
      </w:r>
    </w:p>
    <w:p w14:paraId="45B1B3D8" w14:textId="77777777" w:rsidR="00B53501" w:rsidRPr="00B53501" w:rsidRDefault="00B53501" w:rsidP="00B53501">
      <w:pPr>
        <w:numPr>
          <w:ilvl w:val="1"/>
          <w:numId w:val="3"/>
        </w:numPr>
      </w:pPr>
      <w:r w:rsidRPr="00B53501">
        <w:t>Break down return sources (current income %, capital appreciation %, fees, other sources).</w:t>
      </w:r>
    </w:p>
    <w:p w14:paraId="4D4D51BD" w14:textId="77777777" w:rsidR="00B53501" w:rsidRPr="00B53501" w:rsidRDefault="00B53501" w:rsidP="00B53501">
      <w:pPr>
        <w:numPr>
          <w:ilvl w:val="1"/>
          <w:numId w:val="3"/>
        </w:numPr>
      </w:pPr>
      <w:r w:rsidRPr="00B53501">
        <w:t>Show how the mix compares to prior funds and to peers.</w:t>
      </w:r>
    </w:p>
    <w:p w14:paraId="2A45AB8F" w14:textId="77777777" w:rsidR="00B53501" w:rsidRPr="00B53501" w:rsidRDefault="00B53501" w:rsidP="00B53501">
      <w:pPr>
        <w:numPr>
          <w:ilvl w:val="0"/>
          <w:numId w:val="3"/>
        </w:numPr>
      </w:pPr>
      <w:r w:rsidRPr="00B53501">
        <w:rPr>
          <w:b/>
          <w:bCs/>
        </w:rPr>
        <w:t>Impact of Fees &amp; Expenses</w:t>
      </w:r>
    </w:p>
    <w:p w14:paraId="4DD35601" w14:textId="77777777" w:rsidR="00B53501" w:rsidRPr="00B53501" w:rsidRDefault="00B53501" w:rsidP="00B53501">
      <w:pPr>
        <w:numPr>
          <w:ilvl w:val="1"/>
          <w:numId w:val="3"/>
        </w:numPr>
      </w:pPr>
      <w:r w:rsidRPr="00B53501">
        <w:t>Quantify the net return drag from management fees, carried interest, and other expenses.</w:t>
      </w:r>
    </w:p>
    <w:p w14:paraId="3F974206" w14:textId="77777777" w:rsidR="00B53501" w:rsidRPr="00B53501" w:rsidRDefault="00B53501" w:rsidP="00B53501">
      <w:pPr>
        <w:numPr>
          <w:ilvl w:val="1"/>
          <w:numId w:val="3"/>
        </w:numPr>
      </w:pPr>
      <w:r w:rsidRPr="00B53501">
        <w:t>Compare fee load to market norms.</w:t>
      </w:r>
    </w:p>
    <w:p w14:paraId="28CCBBF8" w14:textId="77777777" w:rsidR="00B53501" w:rsidRPr="00B53501" w:rsidRDefault="00B53501" w:rsidP="00B53501">
      <w:pPr>
        <w:numPr>
          <w:ilvl w:val="0"/>
          <w:numId w:val="3"/>
        </w:numPr>
      </w:pPr>
      <w:r w:rsidRPr="00B53501">
        <w:rPr>
          <w:b/>
          <w:bCs/>
        </w:rPr>
        <w:t>Historical Hit Rate on Underwritten Returns</w:t>
      </w:r>
    </w:p>
    <w:p w14:paraId="5153E020" w14:textId="77777777" w:rsidR="00B53501" w:rsidRPr="00B53501" w:rsidRDefault="00B53501" w:rsidP="00B53501">
      <w:pPr>
        <w:numPr>
          <w:ilvl w:val="1"/>
          <w:numId w:val="3"/>
        </w:numPr>
      </w:pPr>
      <w:r w:rsidRPr="00B53501">
        <w:t>Assess how often the sponsor has met or exceeded underwritten returns in prior funds.</w:t>
      </w:r>
    </w:p>
    <w:p w14:paraId="19CA0CF6" w14:textId="77777777" w:rsidR="00B53501" w:rsidRPr="00B53501" w:rsidRDefault="00B53501" w:rsidP="00B53501">
      <w:pPr>
        <w:numPr>
          <w:ilvl w:val="1"/>
          <w:numId w:val="3"/>
        </w:numPr>
      </w:pPr>
      <w:r w:rsidRPr="00B53501">
        <w:t>Provide data on over/under-performance relative to original pro forma.</w:t>
      </w:r>
    </w:p>
    <w:p w14:paraId="775FEAF7" w14:textId="77777777" w:rsidR="00B53501" w:rsidRPr="00B53501" w:rsidRDefault="00B53501" w:rsidP="00B53501">
      <w:r w:rsidRPr="00B53501">
        <w:rPr>
          <w:b/>
          <w:bCs/>
        </w:rPr>
        <w:t>Wrap-Up:</w:t>
      </w:r>
    </w:p>
    <w:p w14:paraId="35C60F60" w14:textId="77777777" w:rsidR="00B53501" w:rsidRPr="00B53501" w:rsidRDefault="00B53501" w:rsidP="00B53501">
      <w:pPr>
        <w:numPr>
          <w:ilvl w:val="0"/>
          <w:numId w:val="4"/>
        </w:numPr>
      </w:pPr>
      <w:r w:rsidRPr="00B53501">
        <w:lastRenderedPageBreak/>
        <w:t>3–4 bullets summarizing the most material upside and downside factors in the return profile.</w:t>
      </w:r>
    </w:p>
    <w:p w14:paraId="0A48A348" w14:textId="77777777" w:rsidR="00B53501" w:rsidRPr="00B53501" w:rsidRDefault="00B53501" w:rsidP="00B53501">
      <w:pPr>
        <w:numPr>
          <w:ilvl w:val="0"/>
          <w:numId w:val="4"/>
        </w:numPr>
      </w:pPr>
      <w:r w:rsidRPr="00B53501">
        <w:t>Preliminary Section Rating: [Rating] — [Justification].</w:t>
      </w:r>
    </w:p>
    <w:p w14:paraId="3A0F67DD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D77CA"/>
    <w:multiLevelType w:val="multilevel"/>
    <w:tmpl w:val="C36A6F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B67F2"/>
    <w:multiLevelType w:val="multilevel"/>
    <w:tmpl w:val="D6CA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C16DA"/>
    <w:multiLevelType w:val="multilevel"/>
    <w:tmpl w:val="9F4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10664"/>
    <w:multiLevelType w:val="multilevel"/>
    <w:tmpl w:val="B49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981429">
    <w:abstractNumId w:val="2"/>
  </w:num>
  <w:num w:numId="2" w16cid:durableId="1411585912">
    <w:abstractNumId w:val="1"/>
  </w:num>
  <w:num w:numId="3" w16cid:durableId="1121607327">
    <w:abstractNumId w:val="0"/>
  </w:num>
  <w:num w:numId="4" w16cid:durableId="29865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D0"/>
    <w:rsid w:val="00272783"/>
    <w:rsid w:val="00286A3B"/>
    <w:rsid w:val="00501285"/>
    <w:rsid w:val="008B24D0"/>
    <w:rsid w:val="00B53501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9734"/>
  <w15:chartTrackingRefBased/>
  <w15:docId w15:val="{1D7D2387-7DBF-409A-98E7-1AFC25A5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2</cp:revision>
  <dcterms:created xsi:type="dcterms:W3CDTF">2025-08-11T21:34:00Z</dcterms:created>
  <dcterms:modified xsi:type="dcterms:W3CDTF">2025-08-11T21:37:00Z</dcterms:modified>
</cp:coreProperties>
</file>