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6C867" w14:textId="77777777" w:rsidR="00BC5ED7" w:rsidRPr="00BC5ED7" w:rsidRDefault="00BC5ED7" w:rsidP="00BC5ED7">
      <w:pPr>
        <w:rPr>
          <w:b/>
          <w:bCs/>
        </w:rPr>
      </w:pPr>
      <w:r w:rsidRPr="00BC5ED7">
        <w:rPr>
          <w:b/>
          <w:bCs/>
        </w:rPr>
        <w:t>ChatGPT said:</w:t>
      </w:r>
    </w:p>
    <w:p w14:paraId="03A31DB2" w14:textId="77777777" w:rsidR="00BC5ED7" w:rsidRPr="00BC5ED7" w:rsidRDefault="00BC5ED7" w:rsidP="00BC5ED7">
      <w:r w:rsidRPr="00BC5ED7">
        <w:t xml:space="preserve">Here’s the enhanced </w:t>
      </w:r>
      <w:r w:rsidRPr="00BC5ED7">
        <w:rPr>
          <w:b/>
          <w:bCs/>
        </w:rPr>
        <w:t>Section 8 – Fund Terms &amp; Alignment</w:t>
      </w:r>
      <w:r w:rsidRPr="00BC5ED7">
        <w:t xml:space="preserve"> prompt incorporating additional depth from the Townsend IC memo, while retaining all the existing sub-criteria you provided:</w:t>
      </w:r>
    </w:p>
    <w:p w14:paraId="23B6D5F6" w14:textId="77777777" w:rsidR="00BC5ED7" w:rsidRPr="00BC5ED7" w:rsidRDefault="00BC5ED7" w:rsidP="00BC5ED7">
      <w:r w:rsidRPr="00BC5ED7">
        <w:pict w14:anchorId="21164F23">
          <v:rect id="_x0000_i1031" style="width:0;height:1.5pt" o:hralign="center" o:hrstd="t" o:hr="t" fillcolor="#a0a0a0" stroked="f"/>
        </w:pict>
      </w:r>
    </w:p>
    <w:p w14:paraId="383AFCDC" w14:textId="77777777" w:rsidR="00BC5ED7" w:rsidRPr="00BC5ED7" w:rsidRDefault="00BC5ED7" w:rsidP="00BC5ED7">
      <w:r w:rsidRPr="00BC5ED7">
        <w:rPr>
          <w:b/>
          <w:bCs/>
        </w:rPr>
        <w:t>Section 8 – Fund Terms &amp; Alignment (Fully Enhanced TURF + Townsend Depth)</w:t>
      </w:r>
      <w:r w:rsidRPr="00BC5ED7">
        <w:br/>
      </w:r>
      <w:r w:rsidRPr="00BC5ED7">
        <w:rPr>
          <w:b/>
          <w:bCs/>
        </w:rPr>
        <w:t>Evaluation Grade:</w:t>
      </w:r>
      <w:r w:rsidRPr="00BC5ED7">
        <w:t xml:space="preserve"> ☐ Very Positive ☐ Positive ☐ Neutral ☐ Negative ☐ Very Negative</w:t>
      </w:r>
    </w:p>
    <w:p w14:paraId="4A034A21" w14:textId="77777777" w:rsidR="00BC5ED7" w:rsidRPr="00BC5ED7" w:rsidRDefault="00BC5ED7" w:rsidP="00BC5ED7">
      <w:r w:rsidRPr="00BC5ED7">
        <w:rPr>
          <w:b/>
          <w:bCs/>
        </w:rPr>
        <w:t>Instructions:</w:t>
      </w:r>
      <w:r w:rsidRPr="00BC5ED7">
        <w:br/>
        <w:t>For each sub-criterion below, present:</w:t>
      </w:r>
    </w:p>
    <w:p w14:paraId="7B3FB564" w14:textId="77777777" w:rsidR="00BC5ED7" w:rsidRPr="00BC5ED7" w:rsidRDefault="00BC5ED7" w:rsidP="00BC5ED7">
      <w:pPr>
        <w:numPr>
          <w:ilvl w:val="0"/>
          <w:numId w:val="1"/>
        </w:numPr>
      </w:pPr>
      <w:r w:rsidRPr="00BC5ED7">
        <w:rPr>
          <w:b/>
          <w:bCs/>
        </w:rPr>
        <w:t>Narrative paragraph</w:t>
      </w:r>
      <w:r w:rsidRPr="00BC5ED7">
        <w:t xml:space="preserve"> (Townsend IC memo tone: fact-driven, no marketing language).</w:t>
      </w:r>
    </w:p>
    <w:p w14:paraId="561EC2A0" w14:textId="77777777" w:rsidR="00BC5ED7" w:rsidRPr="00BC5ED7" w:rsidRDefault="00BC5ED7" w:rsidP="00BC5ED7">
      <w:pPr>
        <w:numPr>
          <w:ilvl w:val="0"/>
          <w:numId w:val="1"/>
        </w:numPr>
      </w:pPr>
      <w:r w:rsidRPr="00BC5ED7">
        <w:rPr>
          <w:b/>
          <w:bCs/>
        </w:rPr>
        <w:t>Tables/charts</w:t>
      </w:r>
      <w:r w:rsidRPr="00BC5ED7">
        <w:t xml:space="preserve"> comparing proposed terms to peer fund averages for the same vintage, strategy, and size.</w:t>
      </w:r>
    </w:p>
    <w:p w14:paraId="751D535B" w14:textId="77777777" w:rsidR="00BC5ED7" w:rsidRPr="00BC5ED7" w:rsidRDefault="00BC5ED7" w:rsidP="00BC5ED7">
      <w:pPr>
        <w:numPr>
          <w:ilvl w:val="0"/>
          <w:numId w:val="1"/>
        </w:numPr>
      </w:pPr>
      <w:r w:rsidRPr="00BC5ED7">
        <w:rPr>
          <w:b/>
          <w:bCs/>
        </w:rPr>
        <w:t>Scenario analysis</w:t>
      </w:r>
      <w:r w:rsidRPr="00BC5ED7">
        <w:t xml:space="preserve"> where applicable (e.g., effect of fee structures on net returns).</w:t>
      </w:r>
    </w:p>
    <w:p w14:paraId="0113C518" w14:textId="77777777" w:rsidR="00BC5ED7" w:rsidRPr="00BC5ED7" w:rsidRDefault="00BC5ED7" w:rsidP="00BC5ED7">
      <w:pPr>
        <w:numPr>
          <w:ilvl w:val="0"/>
          <w:numId w:val="1"/>
        </w:numPr>
      </w:pPr>
      <w:r w:rsidRPr="00BC5ED7">
        <w:t xml:space="preserve">Highlight any </w:t>
      </w:r>
      <w:r w:rsidRPr="00BC5ED7">
        <w:rPr>
          <w:b/>
          <w:bCs/>
        </w:rPr>
        <w:t>LP-unfriendly terms</w:t>
      </w:r>
      <w:r w:rsidRPr="00BC5ED7">
        <w:t xml:space="preserve"> or deviations from industry standards, including rationale provided by GP.</w:t>
      </w:r>
    </w:p>
    <w:p w14:paraId="6E7CE715" w14:textId="77777777" w:rsidR="00BC5ED7" w:rsidRPr="00BC5ED7" w:rsidRDefault="00BC5ED7" w:rsidP="00BC5ED7">
      <w:r w:rsidRPr="00BC5ED7">
        <w:rPr>
          <w:b/>
          <w:bCs/>
        </w:rPr>
        <w:t>Sub-Criteria:</w:t>
      </w:r>
    </w:p>
    <w:p w14:paraId="48BA07C4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Management &amp; Carry Fees</w:t>
      </w:r>
    </w:p>
    <w:p w14:paraId="23C8C83D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Percentages, basis point structure, and competitiveness vs. peers.</w:t>
      </w:r>
    </w:p>
    <w:p w14:paraId="68B6A46C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Include whether management fees step down post-investment period.</w:t>
      </w:r>
    </w:p>
    <w:p w14:paraId="41CEC263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Compare carry % and hurdle rate to industry norms.</w:t>
      </w:r>
    </w:p>
    <w:p w14:paraId="3404332C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Waterfall Mechanics</w:t>
      </w:r>
    </w:p>
    <w:p w14:paraId="202BE558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Detail European vs. American waterfall; highlight fairness and LP risk implications.</w:t>
      </w:r>
    </w:p>
    <w:p w14:paraId="4F0A29F3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Identify presence of true-up provisions, catch-up mechanics, and clawbacks.</w:t>
      </w:r>
    </w:p>
    <w:p w14:paraId="53F825F8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GP Commitment &amp; Co-Invest</w:t>
      </w:r>
    </w:p>
    <w:p w14:paraId="71D57B00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GP’s capital commitment % of total fund.</w:t>
      </w:r>
    </w:p>
    <w:p w14:paraId="25DC9C06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Co-investment rights for GP and team.</w:t>
      </w:r>
    </w:p>
    <w:p w14:paraId="1B5A50BF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lastRenderedPageBreak/>
        <w:t>Compare GP commitment level to peers for alignment.</w:t>
      </w:r>
    </w:p>
    <w:p w14:paraId="72D87C8F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Fee Offsets &amp; Transparency</w:t>
      </w:r>
    </w:p>
    <w:p w14:paraId="762F7D98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Identify any management fee offsets from transaction, monitoring, or other fees.</w:t>
      </w:r>
    </w:p>
    <w:p w14:paraId="16F235F8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Specify caps, and whether offsets are 100% or partial.</w:t>
      </w:r>
    </w:p>
    <w:p w14:paraId="650D2769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Note transparency in fee reporting and audit process.</w:t>
      </w:r>
    </w:p>
    <w:p w14:paraId="44ADC973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LP Protections &amp; Side Letters</w:t>
      </w:r>
    </w:p>
    <w:p w14:paraId="5A16269B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Key person provisions, no-fault divorce, removal rights.</w:t>
      </w:r>
    </w:p>
    <w:p w14:paraId="1ED3DC61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Most-favored-nation clauses and enforceability.</w:t>
      </w:r>
    </w:p>
    <w:p w14:paraId="40BA476F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Co-Invest Optionality</w:t>
      </w:r>
    </w:p>
    <w:p w14:paraId="45535121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Frequency of co-investment opportunities in prior funds.</w:t>
      </w:r>
    </w:p>
    <w:p w14:paraId="285C36BB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Allocation methodology and whether offered pro-rata to LPs.</w:t>
      </w:r>
    </w:p>
    <w:p w14:paraId="74AC724E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Historical co-invest performance vs. fund performance.</w:t>
      </w:r>
    </w:p>
    <w:p w14:paraId="16AA1A64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LP Liquidity Rights</w:t>
      </w:r>
    </w:p>
    <w:p w14:paraId="16C33224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Secondaries provisions, redemption rights, and transfer restrictions.</w:t>
      </w:r>
    </w:p>
    <w:p w14:paraId="59675150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Gates or suspensions allowed under LPA.</w:t>
      </w:r>
    </w:p>
    <w:p w14:paraId="6BA759C7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NAV Calculation</w:t>
      </w:r>
    </w:p>
    <w:p w14:paraId="0E2C20D4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Frequency, independence of valuation provider, methodology transparency.</w:t>
      </w:r>
    </w:p>
    <w:p w14:paraId="4DF43078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Pre-ID Asset Disclosure</w:t>
      </w:r>
    </w:p>
    <w:p w14:paraId="2BF44210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Transparency and level of detail in disclosing seed or early-stage deals.</w:t>
      </w:r>
    </w:p>
    <w:p w14:paraId="54972AD1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Whether underwritten metrics are provided pre-close.</w:t>
      </w:r>
    </w:p>
    <w:p w14:paraId="465266F2" w14:textId="77777777" w:rsidR="00BC5ED7" w:rsidRPr="00BC5ED7" w:rsidRDefault="00BC5ED7" w:rsidP="00BC5ED7">
      <w:pPr>
        <w:numPr>
          <w:ilvl w:val="0"/>
          <w:numId w:val="2"/>
        </w:numPr>
      </w:pPr>
      <w:r w:rsidRPr="00BC5ED7">
        <w:rPr>
          <w:b/>
          <w:bCs/>
        </w:rPr>
        <w:t>Co-Invest Economics</w:t>
      </w:r>
    </w:p>
    <w:p w14:paraId="624435A4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Impact of co-investment on promote dilution for main fund LPs.</w:t>
      </w:r>
    </w:p>
    <w:p w14:paraId="6DCACBB6" w14:textId="77777777" w:rsidR="00BC5ED7" w:rsidRPr="00BC5ED7" w:rsidRDefault="00BC5ED7" w:rsidP="00BC5ED7">
      <w:pPr>
        <w:numPr>
          <w:ilvl w:val="1"/>
          <w:numId w:val="2"/>
        </w:numPr>
      </w:pPr>
      <w:r w:rsidRPr="00BC5ED7">
        <w:t>Analysis of whether economics are LP-friendly or GP-favoring.</w:t>
      </w:r>
    </w:p>
    <w:p w14:paraId="531D3935" w14:textId="77777777" w:rsidR="00BC5ED7" w:rsidRPr="00BC5ED7" w:rsidRDefault="00BC5ED7" w:rsidP="00BC5ED7">
      <w:pPr>
        <w:numPr>
          <w:ilvl w:val="0"/>
          <w:numId w:val="3"/>
        </w:numPr>
      </w:pPr>
      <w:r w:rsidRPr="00BC5ED7">
        <w:rPr>
          <w:b/>
          <w:bCs/>
        </w:rPr>
        <w:t>Expense Policy Clarity</w:t>
      </w:r>
    </w:p>
    <w:p w14:paraId="23289AD8" w14:textId="77777777" w:rsidR="00BC5ED7" w:rsidRPr="00BC5ED7" w:rsidRDefault="00BC5ED7" w:rsidP="00BC5ED7">
      <w:pPr>
        <w:numPr>
          <w:ilvl w:val="1"/>
          <w:numId w:val="3"/>
        </w:numPr>
      </w:pPr>
      <w:r w:rsidRPr="00BC5ED7">
        <w:t>Specificity in which costs are borne by the fund vs. the GP.</w:t>
      </w:r>
    </w:p>
    <w:p w14:paraId="67C91C38" w14:textId="77777777" w:rsidR="00BC5ED7" w:rsidRPr="00BC5ED7" w:rsidRDefault="00BC5ED7" w:rsidP="00BC5ED7">
      <w:pPr>
        <w:numPr>
          <w:ilvl w:val="1"/>
          <w:numId w:val="3"/>
        </w:numPr>
      </w:pPr>
      <w:r w:rsidRPr="00BC5ED7">
        <w:lastRenderedPageBreak/>
        <w:t>Treatment of organizational expenses, broken deal costs, and travel/overhead allocations.</w:t>
      </w:r>
    </w:p>
    <w:p w14:paraId="294C82B0" w14:textId="77777777" w:rsidR="00BC5ED7" w:rsidRPr="00BC5ED7" w:rsidRDefault="00BC5ED7" w:rsidP="00BC5ED7">
      <w:pPr>
        <w:numPr>
          <w:ilvl w:val="0"/>
          <w:numId w:val="3"/>
        </w:numPr>
      </w:pPr>
      <w:r w:rsidRPr="00BC5ED7">
        <w:rPr>
          <w:b/>
          <w:bCs/>
        </w:rPr>
        <w:t>Tax Efficiency &amp; Structuring</w:t>
      </w:r>
    </w:p>
    <w:p w14:paraId="773E5474" w14:textId="77777777" w:rsidR="00BC5ED7" w:rsidRPr="00BC5ED7" w:rsidRDefault="00BC5ED7" w:rsidP="00BC5ED7">
      <w:pPr>
        <w:numPr>
          <w:ilvl w:val="1"/>
          <w:numId w:val="3"/>
        </w:numPr>
      </w:pPr>
      <w:r w:rsidRPr="00BC5ED7">
        <w:t>GP’s approach to optimizing after-tax returns for a diverse LP base (domestic vs. offshore).</w:t>
      </w:r>
    </w:p>
    <w:p w14:paraId="2D3AE106" w14:textId="77777777" w:rsidR="00BC5ED7" w:rsidRPr="00BC5ED7" w:rsidRDefault="00BC5ED7" w:rsidP="00BC5ED7">
      <w:pPr>
        <w:numPr>
          <w:ilvl w:val="1"/>
          <w:numId w:val="3"/>
        </w:numPr>
      </w:pPr>
      <w:r w:rsidRPr="00BC5ED7">
        <w:t>Use of blockers, feeders, and whether tax leakage is modeled.</w:t>
      </w:r>
    </w:p>
    <w:p w14:paraId="46D778D3" w14:textId="77777777" w:rsidR="00BC5ED7" w:rsidRPr="00BC5ED7" w:rsidRDefault="00BC5ED7" w:rsidP="00BC5ED7">
      <w:pPr>
        <w:numPr>
          <w:ilvl w:val="0"/>
          <w:numId w:val="3"/>
        </w:numPr>
      </w:pPr>
      <w:r w:rsidRPr="00BC5ED7">
        <w:rPr>
          <w:b/>
          <w:bCs/>
        </w:rPr>
        <w:t>Term Length &amp; Extensions</w:t>
      </w:r>
    </w:p>
    <w:p w14:paraId="534301BB" w14:textId="77777777" w:rsidR="00BC5ED7" w:rsidRPr="00BC5ED7" w:rsidRDefault="00BC5ED7" w:rsidP="00BC5ED7">
      <w:pPr>
        <w:numPr>
          <w:ilvl w:val="1"/>
          <w:numId w:val="3"/>
        </w:numPr>
      </w:pPr>
      <w:r w:rsidRPr="00BC5ED7">
        <w:t>Base term and extension mechanics; compare to industry standards.</w:t>
      </w:r>
    </w:p>
    <w:p w14:paraId="4CA63CEC" w14:textId="77777777" w:rsidR="00BC5ED7" w:rsidRPr="00BC5ED7" w:rsidRDefault="00BC5ED7" w:rsidP="00BC5ED7">
      <w:pPr>
        <w:numPr>
          <w:ilvl w:val="1"/>
          <w:numId w:val="3"/>
        </w:numPr>
      </w:pPr>
      <w:r w:rsidRPr="00BC5ED7">
        <w:t>LP approval rights over extensions.</w:t>
      </w:r>
    </w:p>
    <w:p w14:paraId="207C0958" w14:textId="77777777" w:rsidR="00BC5ED7" w:rsidRPr="00BC5ED7" w:rsidRDefault="00BC5ED7" w:rsidP="00BC5ED7">
      <w:pPr>
        <w:numPr>
          <w:ilvl w:val="0"/>
          <w:numId w:val="3"/>
        </w:numPr>
      </w:pPr>
      <w:r w:rsidRPr="00BC5ED7">
        <w:rPr>
          <w:b/>
          <w:bCs/>
        </w:rPr>
        <w:t>Fundraising Concentration Risk</w:t>
      </w:r>
    </w:p>
    <w:p w14:paraId="517F461E" w14:textId="77777777" w:rsidR="00BC5ED7" w:rsidRPr="00BC5ED7" w:rsidRDefault="00BC5ED7" w:rsidP="00BC5ED7">
      <w:pPr>
        <w:numPr>
          <w:ilvl w:val="1"/>
          <w:numId w:val="3"/>
        </w:numPr>
      </w:pPr>
      <w:r w:rsidRPr="00BC5ED7">
        <w:t>Degree of dependence on anchor investors or a concentrated LP base.</w:t>
      </w:r>
    </w:p>
    <w:p w14:paraId="1AB1BBE0" w14:textId="77777777" w:rsidR="00BC5ED7" w:rsidRPr="00BC5ED7" w:rsidRDefault="00BC5ED7" w:rsidP="00BC5ED7">
      <w:pPr>
        <w:numPr>
          <w:ilvl w:val="1"/>
          <w:numId w:val="3"/>
        </w:numPr>
      </w:pPr>
      <w:r w:rsidRPr="00BC5ED7">
        <w:t>Implications for governance and negotiating leverage.</w:t>
      </w:r>
    </w:p>
    <w:p w14:paraId="2F814516" w14:textId="77777777" w:rsidR="00BC5ED7" w:rsidRPr="00BC5ED7" w:rsidRDefault="00BC5ED7" w:rsidP="00BC5ED7">
      <w:r w:rsidRPr="00BC5ED7">
        <w:rPr>
          <w:b/>
          <w:bCs/>
        </w:rPr>
        <w:t>Wrap-Up:</w:t>
      </w:r>
      <w:r w:rsidRPr="00BC5ED7">
        <w:br/>
        <w:t>3–4 bullet summary of material LP-friendly and LP-unfriendly terms.</w:t>
      </w:r>
      <w:r w:rsidRPr="00BC5ED7">
        <w:br/>
        <w:t>Preliminary Section Rating: [Rating] — [Justification].</w:t>
      </w:r>
    </w:p>
    <w:p w14:paraId="1561B701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1D"/>
    <w:multiLevelType w:val="multilevel"/>
    <w:tmpl w:val="FC04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F0777E"/>
    <w:multiLevelType w:val="multilevel"/>
    <w:tmpl w:val="E9C268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644A7"/>
    <w:multiLevelType w:val="multilevel"/>
    <w:tmpl w:val="F76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405883">
    <w:abstractNumId w:val="2"/>
  </w:num>
  <w:num w:numId="2" w16cid:durableId="1671980043">
    <w:abstractNumId w:val="0"/>
  </w:num>
  <w:num w:numId="3" w16cid:durableId="951590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20"/>
    <w:rsid w:val="0002504E"/>
    <w:rsid w:val="00272783"/>
    <w:rsid w:val="00286A3B"/>
    <w:rsid w:val="00421C20"/>
    <w:rsid w:val="00501285"/>
    <w:rsid w:val="00BC5ED7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8859"/>
  <w15:chartTrackingRefBased/>
  <w15:docId w15:val="{5A82C5AD-E41C-4892-BB38-B2C2D046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3</cp:revision>
  <dcterms:created xsi:type="dcterms:W3CDTF">2025-08-11T21:49:00Z</dcterms:created>
  <dcterms:modified xsi:type="dcterms:W3CDTF">2025-08-11T21:51:00Z</dcterms:modified>
</cp:coreProperties>
</file>