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36F95" w14:textId="77777777" w:rsidR="00202BA1" w:rsidRPr="00202BA1" w:rsidRDefault="00202BA1" w:rsidP="00202BA1">
      <w:r w:rsidRPr="00202BA1">
        <w:rPr>
          <w:b/>
          <w:bCs/>
        </w:rPr>
        <w:t>Section 9 – Governance, Ops &amp; ESG (Fully Enhanced TURF + Townsend Depth)</w:t>
      </w:r>
      <w:r w:rsidRPr="00202BA1">
        <w:br/>
      </w:r>
      <w:r w:rsidRPr="00202BA1">
        <w:rPr>
          <w:b/>
          <w:bCs/>
        </w:rPr>
        <w:t>Evaluation Grade:</w:t>
      </w:r>
      <w:r w:rsidRPr="00202BA1">
        <w:t xml:space="preserve"> ☐ Very Positive ☐ Positive ☐ Neutral ☐ Negative ☐ Very Negative</w:t>
      </w:r>
    </w:p>
    <w:p w14:paraId="537C9293" w14:textId="77777777" w:rsidR="00202BA1" w:rsidRPr="00202BA1" w:rsidRDefault="00202BA1" w:rsidP="00202BA1">
      <w:r w:rsidRPr="00202BA1">
        <w:rPr>
          <w:b/>
          <w:bCs/>
        </w:rPr>
        <w:t>Instructions:</w:t>
      </w:r>
      <w:r w:rsidRPr="00202BA1">
        <w:br/>
        <w:t>For each sub-criterion below, present:</w:t>
      </w:r>
    </w:p>
    <w:p w14:paraId="6D0FFD85" w14:textId="77777777" w:rsidR="00202BA1" w:rsidRPr="00202BA1" w:rsidRDefault="00202BA1" w:rsidP="00202BA1">
      <w:pPr>
        <w:numPr>
          <w:ilvl w:val="0"/>
          <w:numId w:val="1"/>
        </w:numPr>
      </w:pPr>
      <w:r w:rsidRPr="00202BA1">
        <w:rPr>
          <w:b/>
          <w:bCs/>
        </w:rPr>
        <w:t>Narrative paragraph</w:t>
      </w:r>
      <w:r w:rsidRPr="00202BA1">
        <w:t xml:space="preserve"> in Townsend IC memo tone (fact-driven, balanced).</w:t>
      </w:r>
    </w:p>
    <w:p w14:paraId="197DDBA4" w14:textId="77777777" w:rsidR="00202BA1" w:rsidRPr="00202BA1" w:rsidRDefault="00202BA1" w:rsidP="00202BA1">
      <w:pPr>
        <w:numPr>
          <w:ilvl w:val="0"/>
          <w:numId w:val="1"/>
        </w:numPr>
      </w:pPr>
      <w:r w:rsidRPr="00202BA1">
        <w:rPr>
          <w:b/>
          <w:bCs/>
        </w:rPr>
        <w:t>Supporting data in bullets or tables</w:t>
      </w:r>
      <w:r w:rsidRPr="00202BA1">
        <w:t xml:space="preserve"> with at least one quantitative or policy-based reference per sub-criterion.</w:t>
      </w:r>
    </w:p>
    <w:p w14:paraId="0C5FF407" w14:textId="77777777" w:rsidR="00202BA1" w:rsidRPr="00202BA1" w:rsidRDefault="00202BA1" w:rsidP="00202BA1">
      <w:pPr>
        <w:numPr>
          <w:ilvl w:val="0"/>
          <w:numId w:val="1"/>
        </w:numPr>
      </w:pPr>
      <w:r w:rsidRPr="00202BA1">
        <w:rPr>
          <w:b/>
          <w:bCs/>
        </w:rPr>
        <w:t>Peer/benchmark comparisons</w:t>
      </w:r>
      <w:r w:rsidRPr="00202BA1">
        <w:t xml:space="preserve"> where applicable.</w:t>
      </w:r>
    </w:p>
    <w:p w14:paraId="58217507" w14:textId="77777777" w:rsidR="00202BA1" w:rsidRPr="00202BA1" w:rsidRDefault="00202BA1" w:rsidP="00202BA1">
      <w:pPr>
        <w:numPr>
          <w:ilvl w:val="0"/>
          <w:numId w:val="1"/>
        </w:numPr>
      </w:pPr>
      <w:r w:rsidRPr="00202BA1">
        <w:rPr>
          <w:b/>
          <w:bCs/>
        </w:rPr>
        <w:t>Risk/sensitivity commentary</w:t>
      </w:r>
      <w:r w:rsidRPr="00202BA1">
        <w:t xml:space="preserve"> where weaknesses or gaps are identified.</w:t>
      </w:r>
    </w:p>
    <w:p w14:paraId="16936822" w14:textId="77777777" w:rsidR="00202BA1" w:rsidRPr="00202BA1" w:rsidRDefault="00202BA1" w:rsidP="00202BA1">
      <w:r w:rsidRPr="00202BA1">
        <w:pict w14:anchorId="2E272217">
          <v:rect id="_x0000_i1043" style="width:0;height:1.5pt" o:hralign="center" o:hrstd="t" o:hr="t" fillcolor="#a0a0a0" stroked="f"/>
        </w:pict>
      </w:r>
    </w:p>
    <w:p w14:paraId="300EAAFB" w14:textId="77777777" w:rsidR="00202BA1" w:rsidRPr="00202BA1" w:rsidRDefault="00202BA1" w:rsidP="00202BA1">
      <w:r w:rsidRPr="00202BA1">
        <w:rPr>
          <w:b/>
          <w:bCs/>
        </w:rPr>
        <w:t>Sub-Criteria:</w:t>
      </w:r>
    </w:p>
    <w:p w14:paraId="3DC235BA" w14:textId="77777777" w:rsidR="00202BA1" w:rsidRPr="00202BA1" w:rsidRDefault="00202BA1" w:rsidP="00202BA1">
      <w:pPr>
        <w:numPr>
          <w:ilvl w:val="0"/>
          <w:numId w:val="2"/>
        </w:numPr>
      </w:pPr>
      <w:r w:rsidRPr="00202BA1">
        <w:rPr>
          <w:b/>
          <w:bCs/>
        </w:rPr>
        <w:t>IC Composition &amp; Valuation Rigor</w:t>
      </w:r>
    </w:p>
    <w:p w14:paraId="5E93F28A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Independence and qualifications of IC members.</w:t>
      </w:r>
    </w:p>
    <w:p w14:paraId="6CCC8D65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Frequency and structure of IC meetings.</w:t>
      </w:r>
    </w:p>
    <w:p w14:paraId="7E593FCB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Valuation committee oversight and use of third-party appraisers.</w:t>
      </w:r>
    </w:p>
    <w:p w14:paraId="40F1425C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Evidence of robust debate and dissent tolerance.</w:t>
      </w:r>
    </w:p>
    <w:p w14:paraId="028BA7C1" w14:textId="77777777" w:rsidR="00202BA1" w:rsidRPr="00202BA1" w:rsidRDefault="00202BA1" w:rsidP="00202BA1">
      <w:pPr>
        <w:numPr>
          <w:ilvl w:val="0"/>
          <w:numId w:val="2"/>
        </w:numPr>
      </w:pPr>
      <w:r w:rsidRPr="00202BA1">
        <w:rPr>
          <w:b/>
          <w:bCs/>
        </w:rPr>
        <w:t>Compliance Infrastructure</w:t>
      </w:r>
    </w:p>
    <w:p w14:paraId="42AF52E8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AML/KYC processes, regulatory compliance record, and oversight.</w:t>
      </w:r>
    </w:p>
    <w:p w14:paraId="5B0C662C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Tenure and independence of auditors, administrators, and legal counsel.</w:t>
      </w:r>
    </w:p>
    <w:p w14:paraId="05B8994E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Any regulatory audits or enforcement history.</w:t>
      </w:r>
    </w:p>
    <w:p w14:paraId="15DDE75B" w14:textId="77777777" w:rsidR="00202BA1" w:rsidRPr="00202BA1" w:rsidRDefault="00202BA1" w:rsidP="00202BA1">
      <w:pPr>
        <w:numPr>
          <w:ilvl w:val="0"/>
          <w:numId w:val="2"/>
        </w:numPr>
      </w:pPr>
      <w:r w:rsidRPr="00202BA1">
        <w:rPr>
          <w:b/>
          <w:bCs/>
        </w:rPr>
        <w:t>ESG/DEI Integration</w:t>
      </w:r>
    </w:p>
    <w:p w14:paraId="7D01535D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ESG policy quality, implementation in underwriting, and monitoring.</w:t>
      </w:r>
    </w:p>
    <w:p w14:paraId="36E817AA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DEI policies and representation within the senior team.</w:t>
      </w:r>
    </w:p>
    <w:p w14:paraId="00E0986C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ESG KPIs tracked and reported.</w:t>
      </w:r>
    </w:p>
    <w:p w14:paraId="43441B89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Alignment with global frameworks (e.g., GRESB, UN PRI).</w:t>
      </w:r>
    </w:p>
    <w:p w14:paraId="26E1285F" w14:textId="77777777" w:rsidR="00202BA1" w:rsidRPr="00202BA1" w:rsidRDefault="00202BA1" w:rsidP="00202BA1">
      <w:pPr>
        <w:numPr>
          <w:ilvl w:val="0"/>
          <w:numId w:val="2"/>
        </w:numPr>
      </w:pPr>
      <w:r w:rsidRPr="00202BA1">
        <w:rPr>
          <w:b/>
          <w:bCs/>
        </w:rPr>
        <w:t>Tech Stack &amp; Analytics</w:t>
      </w:r>
    </w:p>
    <w:p w14:paraId="26D67C09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Portfolio monitoring systems, underwriting models, and BI dashboards.</w:t>
      </w:r>
    </w:p>
    <w:p w14:paraId="0D612F9A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lastRenderedPageBreak/>
        <w:t>Data integration capabilities across acquisitions, asset management, and reporting.</w:t>
      </w:r>
    </w:p>
    <w:p w14:paraId="646BE19D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Proptech partnerships and adoption of AI/data analytics for investment decisions.</w:t>
      </w:r>
    </w:p>
    <w:p w14:paraId="19BB267E" w14:textId="77777777" w:rsidR="00202BA1" w:rsidRPr="00202BA1" w:rsidRDefault="00202BA1" w:rsidP="00202BA1">
      <w:pPr>
        <w:numPr>
          <w:ilvl w:val="0"/>
          <w:numId w:val="2"/>
        </w:numPr>
      </w:pPr>
      <w:r w:rsidRPr="00202BA1">
        <w:rPr>
          <w:b/>
          <w:bCs/>
        </w:rPr>
        <w:t>Reporting Quality</w:t>
      </w:r>
    </w:p>
    <w:p w14:paraId="3BC07D2D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LP transparency (depth of reporting, attribution analysis, variance explanations).</w:t>
      </w:r>
    </w:p>
    <w:p w14:paraId="628EF32C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Reporting cadence and timeliness.</w:t>
      </w:r>
    </w:p>
    <w:p w14:paraId="2113D84C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Inclusion of forward-looking metrics and stress testing.</w:t>
      </w:r>
    </w:p>
    <w:p w14:paraId="115D9203" w14:textId="77777777" w:rsidR="00202BA1" w:rsidRPr="00202BA1" w:rsidRDefault="00202BA1" w:rsidP="00202BA1">
      <w:pPr>
        <w:numPr>
          <w:ilvl w:val="0"/>
          <w:numId w:val="2"/>
        </w:numPr>
      </w:pPr>
      <w:r w:rsidRPr="00202BA1">
        <w:rPr>
          <w:b/>
          <w:bCs/>
        </w:rPr>
        <w:t>IC Meeting Transparency</w:t>
      </w:r>
    </w:p>
    <w:p w14:paraId="4DB72B9F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Level of detail provided in IC minutes (e.g., vote counts, dissenting opinions).</w:t>
      </w:r>
    </w:p>
    <w:p w14:paraId="071144E3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Access to meeting summaries for LPAC or LP observers.</w:t>
      </w:r>
    </w:p>
    <w:p w14:paraId="3C8C6EF0" w14:textId="77777777" w:rsidR="00202BA1" w:rsidRPr="00202BA1" w:rsidRDefault="00202BA1" w:rsidP="00202BA1">
      <w:pPr>
        <w:numPr>
          <w:ilvl w:val="0"/>
          <w:numId w:val="2"/>
        </w:numPr>
      </w:pPr>
      <w:r w:rsidRPr="00202BA1">
        <w:rPr>
          <w:b/>
          <w:bCs/>
        </w:rPr>
        <w:t>Diversity Metrics</w:t>
      </w:r>
    </w:p>
    <w:p w14:paraId="7288C90C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Gender, ethnic, and experiential diversity within senior leadership and IC.</w:t>
      </w:r>
    </w:p>
    <w:p w14:paraId="0495C5BA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Succession planning that maintains or enhances diversity.</w:t>
      </w:r>
    </w:p>
    <w:p w14:paraId="00CF277F" w14:textId="77777777" w:rsidR="00202BA1" w:rsidRPr="00202BA1" w:rsidRDefault="00202BA1" w:rsidP="00202BA1">
      <w:pPr>
        <w:numPr>
          <w:ilvl w:val="0"/>
          <w:numId w:val="2"/>
        </w:numPr>
      </w:pPr>
      <w:r w:rsidRPr="00202BA1">
        <w:rPr>
          <w:b/>
          <w:bCs/>
        </w:rPr>
        <w:t>Third-Party ODD Results</w:t>
      </w:r>
    </w:p>
    <w:p w14:paraId="262AEC16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Findings from operational due diligence (ODD) providers.</w:t>
      </w:r>
    </w:p>
    <w:p w14:paraId="57AFBD44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Remediation steps taken in response to ODD recommendations.</w:t>
      </w:r>
    </w:p>
    <w:p w14:paraId="0BFCC4AB" w14:textId="77777777" w:rsidR="00202BA1" w:rsidRPr="00202BA1" w:rsidRDefault="00202BA1" w:rsidP="00202BA1">
      <w:pPr>
        <w:numPr>
          <w:ilvl w:val="0"/>
          <w:numId w:val="2"/>
        </w:numPr>
      </w:pPr>
      <w:r w:rsidRPr="00202BA1">
        <w:rPr>
          <w:b/>
          <w:bCs/>
        </w:rPr>
        <w:t>Construction Risk Governance</w:t>
      </w:r>
    </w:p>
    <w:p w14:paraId="7B117F94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Oversight of development activities, including cost tracking and schedule monitoring.</w:t>
      </w:r>
    </w:p>
    <w:p w14:paraId="69583817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Use of third-party construction monitors.</w:t>
      </w:r>
    </w:p>
    <w:p w14:paraId="786CB6C6" w14:textId="77777777" w:rsidR="00202BA1" w:rsidRPr="00202BA1" w:rsidRDefault="00202BA1" w:rsidP="00202BA1">
      <w:pPr>
        <w:numPr>
          <w:ilvl w:val="0"/>
          <w:numId w:val="2"/>
        </w:numPr>
      </w:pPr>
      <w:r w:rsidRPr="00202BA1">
        <w:rPr>
          <w:b/>
          <w:bCs/>
        </w:rPr>
        <w:t>ESG Tenancy Strategy</w:t>
      </w:r>
    </w:p>
    <w:p w14:paraId="7DACC3C2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Tenant engagement programs promoting sustainability.</w:t>
      </w:r>
    </w:p>
    <w:p w14:paraId="67DEF72A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Inclusion of ESG clauses in leases (e.g., green lease provisions).</w:t>
      </w:r>
    </w:p>
    <w:p w14:paraId="6FBCF2AD" w14:textId="77777777" w:rsidR="00202BA1" w:rsidRPr="00202BA1" w:rsidRDefault="00202BA1" w:rsidP="00202BA1">
      <w:pPr>
        <w:numPr>
          <w:ilvl w:val="0"/>
          <w:numId w:val="2"/>
        </w:numPr>
      </w:pPr>
      <w:r w:rsidRPr="00202BA1">
        <w:rPr>
          <w:b/>
          <w:bCs/>
        </w:rPr>
        <w:t>Proptech Integration</w:t>
      </w:r>
    </w:p>
    <w:p w14:paraId="3EB6D0AE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lastRenderedPageBreak/>
        <w:t>Adoption of technologies that enhance operating efficiency or tenant experience.</w:t>
      </w:r>
    </w:p>
    <w:p w14:paraId="06708A8A" w14:textId="77777777" w:rsidR="00202BA1" w:rsidRPr="00202BA1" w:rsidRDefault="00202BA1" w:rsidP="00202BA1">
      <w:pPr>
        <w:numPr>
          <w:ilvl w:val="1"/>
          <w:numId w:val="2"/>
        </w:numPr>
      </w:pPr>
      <w:r w:rsidRPr="00202BA1">
        <w:t>Use cases in logistics, energy management, and predictive maintenance.</w:t>
      </w:r>
    </w:p>
    <w:p w14:paraId="5771395A" w14:textId="77777777" w:rsidR="00202BA1" w:rsidRPr="00202BA1" w:rsidRDefault="00202BA1" w:rsidP="00202BA1">
      <w:pPr>
        <w:numPr>
          <w:ilvl w:val="0"/>
          <w:numId w:val="3"/>
        </w:numPr>
      </w:pPr>
      <w:r w:rsidRPr="00202BA1">
        <w:rPr>
          <w:b/>
          <w:bCs/>
        </w:rPr>
        <w:t>Crisis Management Readiness</w:t>
      </w:r>
    </w:p>
    <w:p w14:paraId="2DB20FBB" w14:textId="77777777" w:rsidR="00202BA1" w:rsidRPr="00202BA1" w:rsidRDefault="00202BA1" w:rsidP="00202BA1">
      <w:pPr>
        <w:numPr>
          <w:ilvl w:val="1"/>
          <w:numId w:val="3"/>
        </w:numPr>
      </w:pPr>
      <w:r w:rsidRPr="00202BA1">
        <w:t>Frameworks for responding to macro or asset-specific disruptions (e.g., pandemic protocols, disaster recovery).</w:t>
      </w:r>
    </w:p>
    <w:p w14:paraId="23125134" w14:textId="77777777" w:rsidR="00202BA1" w:rsidRPr="00202BA1" w:rsidRDefault="00202BA1" w:rsidP="00202BA1">
      <w:pPr>
        <w:numPr>
          <w:ilvl w:val="1"/>
          <w:numId w:val="3"/>
        </w:numPr>
      </w:pPr>
      <w:r w:rsidRPr="00202BA1">
        <w:t>Evidence from past crisis performance.</w:t>
      </w:r>
    </w:p>
    <w:p w14:paraId="10C1EA52" w14:textId="77777777" w:rsidR="00202BA1" w:rsidRPr="00202BA1" w:rsidRDefault="00202BA1" w:rsidP="00202BA1">
      <w:pPr>
        <w:numPr>
          <w:ilvl w:val="0"/>
          <w:numId w:val="3"/>
        </w:numPr>
      </w:pPr>
      <w:r w:rsidRPr="00202BA1">
        <w:rPr>
          <w:b/>
          <w:bCs/>
        </w:rPr>
        <w:t>Cybersecurity &amp; Data Governance</w:t>
      </w:r>
    </w:p>
    <w:p w14:paraId="7A4708A1" w14:textId="77777777" w:rsidR="00202BA1" w:rsidRPr="00202BA1" w:rsidRDefault="00202BA1" w:rsidP="00202BA1">
      <w:pPr>
        <w:numPr>
          <w:ilvl w:val="1"/>
          <w:numId w:val="3"/>
        </w:numPr>
      </w:pPr>
      <w:r w:rsidRPr="00202BA1">
        <w:t>Cyber risk management practices, penetration testing, and incident response plans.</w:t>
      </w:r>
    </w:p>
    <w:p w14:paraId="1222F536" w14:textId="77777777" w:rsidR="00202BA1" w:rsidRPr="00202BA1" w:rsidRDefault="00202BA1" w:rsidP="00202BA1">
      <w:pPr>
        <w:numPr>
          <w:ilvl w:val="1"/>
          <w:numId w:val="3"/>
        </w:numPr>
      </w:pPr>
      <w:r w:rsidRPr="00202BA1">
        <w:t>Data privacy compliance with global standards (e.g., GDPR, CCPA).</w:t>
      </w:r>
    </w:p>
    <w:p w14:paraId="6225E1AC" w14:textId="77777777" w:rsidR="00202BA1" w:rsidRPr="00202BA1" w:rsidRDefault="00202BA1" w:rsidP="00202BA1">
      <w:pPr>
        <w:numPr>
          <w:ilvl w:val="0"/>
          <w:numId w:val="3"/>
        </w:numPr>
      </w:pPr>
      <w:r w:rsidRPr="00202BA1">
        <w:rPr>
          <w:b/>
          <w:bCs/>
        </w:rPr>
        <w:t>LPAC Effectiveness &amp; Engagement</w:t>
      </w:r>
    </w:p>
    <w:p w14:paraId="624F6125" w14:textId="77777777" w:rsidR="00202BA1" w:rsidRPr="00202BA1" w:rsidRDefault="00202BA1" w:rsidP="00202BA1">
      <w:pPr>
        <w:numPr>
          <w:ilvl w:val="1"/>
          <w:numId w:val="3"/>
        </w:numPr>
      </w:pPr>
      <w:r w:rsidRPr="00202BA1">
        <w:t>Frequency and quality of Limited Partner Advisory Committee meetings.</w:t>
      </w:r>
    </w:p>
    <w:p w14:paraId="1A4EA43B" w14:textId="77777777" w:rsidR="00202BA1" w:rsidRPr="00202BA1" w:rsidRDefault="00202BA1" w:rsidP="00202BA1">
      <w:pPr>
        <w:numPr>
          <w:ilvl w:val="1"/>
          <w:numId w:val="3"/>
        </w:numPr>
      </w:pPr>
      <w:r w:rsidRPr="00202BA1">
        <w:t>Level of influence LPAC has on material fund decisions.</w:t>
      </w:r>
    </w:p>
    <w:p w14:paraId="55FF3277" w14:textId="77777777" w:rsidR="00202BA1" w:rsidRPr="00202BA1" w:rsidRDefault="00202BA1" w:rsidP="00202BA1">
      <w:pPr>
        <w:numPr>
          <w:ilvl w:val="0"/>
          <w:numId w:val="3"/>
        </w:numPr>
      </w:pPr>
      <w:r w:rsidRPr="00202BA1">
        <w:rPr>
          <w:b/>
          <w:bCs/>
        </w:rPr>
        <w:t>Stakeholder Communication &amp; Engagement</w:t>
      </w:r>
    </w:p>
    <w:p w14:paraId="3A3FE090" w14:textId="77777777" w:rsidR="00202BA1" w:rsidRPr="00202BA1" w:rsidRDefault="00202BA1" w:rsidP="00202BA1">
      <w:pPr>
        <w:numPr>
          <w:ilvl w:val="1"/>
          <w:numId w:val="3"/>
        </w:numPr>
      </w:pPr>
      <w:r w:rsidRPr="00202BA1">
        <w:t>Quality and frequency of communication with LPs beyond standard reporting (e.g., investor days, ad hoc updates).</w:t>
      </w:r>
    </w:p>
    <w:p w14:paraId="3F96CC47" w14:textId="77777777" w:rsidR="00202BA1" w:rsidRPr="00202BA1" w:rsidRDefault="00202BA1" w:rsidP="00202BA1">
      <w:r w:rsidRPr="00202BA1">
        <w:pict w14:anchorId="553C15F6">
          <v:rect id="_x0000_i1045" style="width:0;height:1.5pt" o:hralign="center" o:hrstd="t" o:hr="t" fillcolor="#a0a0a0" stroked="f"/>
        </w:pict>
      </w:r>
    </w:p>
    <w:p w14:paraId="1727A313" w14:textId="77777777" w:rsidR="00202BA1" w:rsidRPr="00202BA1" w:rsidRDefault="00202BA1" w:rsidP="00202BA1">
      <w:r w:rsidRPr="00202BA1">
        <w:rPr>
          <w:b/>
          <w:bCs/>
        </w:rPr>
        <w:t>Wrap-Up:</w:t>
      </w:r>
    </w:p>
    <w:p w14:paraId="66A7DD3A" w14:textId="77777777" w:rsidR="00202BA1" w:rsidRPr="00202BA1" w:rsidRDefault="00202BA1" w:rsidP="00202BA1">
      <w:pPr>
        <w:numPr>
          <w:ilvl w:val="0"/>
          <w:numId w:val="4"/>
        </w:numPr>
      </w:pPr>
      <w:r w:rsidRPr="00202BA1">
        <w:t>3–4 bullet summary of the most material governance, operational, and ESG strengths and risks.</w:t>
      </w:r>
    </w:p>
    <w:p w14:paraId="50DEE54B" w14:textId="77777777" w:rsidR="00202BA1" w:rsidRPr="00202BA1" w:rsidRDefault="00202BA1" w:rsidP="00202BA1">
      <w:pPr>
        <w:numPr>
          <w:ilvl w:val="0"/>
          <w:numId w:val="4"/>
        </w:numPr>
      </w:pPr>
      <w:r w:rsidRPr="00202BA1">
        <w:rPr>
          <w:b/>
          <w:bCs/>
        </w:rPr>
        <w:t>Preliminary Section Rating:</w:t>
      </w:r>
      <w:r w:rsidRPr="00202BA1">
        <w:t xml:space="preserve"> [Rating] — [Justification].</w:t>
      </w:r>
    </w:p>
    <w:p w14:paraId="2F64AB12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3D4"/>
    <w:multiLevelType w:val="multilevel"/>
    <w:tmpl w:val="DA02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061DB"/>
    <w:multiLevelType w:val="multilevel"/>
    <w:tmpl w:val="BA1AE7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74A49"/>
    <w:multiLevelType w:val="multilevel"/>
    <w:tmpl w:val="471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A5F0E"/>
    <w:multiLevelType w:val="multilevel"/>
    <w:tmpl w:val="C4C4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912542">
    <w:abstractNumId w:val="2"/>
  </w:num>
  <w:num w:numId="2" w16cid:durableId="1451391098">
    <w:abstractNumId w:val="0"/>
  </w:num>
  <w:num w:numId="3" w16cid:durableId="847405722">
    <w:abstractNumId w:val="1"/>
  </w:num>
  <w:num w:numId="4" w16cid:durableId="409431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5E"/>
    <w:rsid w:val="00035A5E"/>
    <w:rsid w:val="00202BA1"/>
    <w:rsid w:val="00272783"/>
    <w:rsid w:val="00286A3B"/>
    <w:rsid w:val="00501285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B949"/>
  <w15:chartTrackingRefBased/>
  <w15:docId w15:val="{8537474C-4869-429A-9DD5-FA7B355F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2</cp:revision>
  <dcterms:created xsi:type="dcterms:W3CDTF">2025-08-11T21:54:00Z</dcterms:created>
  <dcterms:modified xsi:type="dcterms:W3CDTF">2025-08-11T21:55:00Z</dcterms:modified>
</cp:coreProperties>
</file>