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Adjustment sets were as follows. For mortality and exacerbation models, covariates were age, sex, race, current smoking status, pack-years, and body mass index (BMI); exacerbation models additionally adjusted for prior exacerbation frequency at baseline, consistent with the original MD-COPD report.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3,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Observed event rates are reported alongside the adjusted estimates: crude rate ratios in Table 1, and unadjusted rates per 100 person-years in Table 2. Crude and adjusted estimates answer different questions, the first describing what participants in a category experienced and the second the association remaining after adjustment.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The AFL-only-noCOPD category was not significantly associated with mortality under either framework. For exacerbations it was null under the ESI-based framework (IRR 1.01, 95% CI 0.66–1.52) but reached nominal significance under the CT-based framework (IRR 1.35, 95% CI 1.00–1.81, p = 0.049), a small relative effect on an observed rate of 14.2 per 100 person-years against 12.4 in the noCOPD reference. This category is otherwise consistent with its classification outside the multidimensional COPD categories.</w:t>
      </w:r>
      <w:proofErr w:type="spellStart"/>
      <w:r w:rsidRPr="00442CB5">
        <w:rPr>
          <w:rFonts w:eastAsia="Times New Roman"/>
          <w:lang w:eastAsia="it-IT"/>
        </w:rPr>
      </w:r>
      <w:proofErr w:type="spellEnd"/>
      <w:r w:rsidRPr="00442CB5">
        <w:rPr>
          <w:rFonts w:eastAsia="Times New Roman"/>
          <w:lang w:eastAsia="it-IT"/>
        </w:rPr>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observed event rates among participants classified according to agreement or disagreement between the CT-based and ESI-based frameworks (Table 2), with the corresponding adjusted estimates in Table 3.</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Observed exacerbation rates rose monotonically across the four groups, from 12.3 per 100 person-years among participants classified as noCOPD by both frameworks to 16.3 in the ESI-only-COPD group, 27.2 in the CT-only-COPD group and 49.6 in the Both-COPD group, with a similar ordering for all-cause mortality (1.5, 1.9, 2.5 and 3.0 per 100 person-years). After adjustment, including for prior exacerbation frequency, all three COPD-positive groups retained elevated point estimates relative to the Both-noCOPD reference, and pairwise contrasts among them were not statistically distinguishable for any outcome. Much of the difference in future exacerbations between concordant and discordant groups therefore reflects differences in exacerbation history already present at baseline, which ranged from 0.11 prior exacerbations per participant in the Both-noCOPD group to 0.65 in the Both-COPD group.</w:t>
      </w:r>
      <w:proofErr w:type="spellStart"/>
      <w:r w:rsidRPr="00442CB5">
        <w:rPr>
          <w:rFonts w:eastAsia="Times New Roman"/>
          <w:lang w:eastAsia="it-IT"/>
        </w:rPr>
      </w:r>
      <w:proofErr w:type="spellEnd"/>
      <w:r w:rsidRPr="00442CB5">
        <w:rPr>
          <w:rFonts w:eastAsia="Times New Roman"/>
          <w:lang w:eastAsia="it-IT"/>
        </w:rPr>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Cross-classification analyses demonstrated that discordance between frameworks was associated with clinically relevant information. Participants classified as COPD by both approaches experienced the highest observed event rates, whereas discordant groups showed intermediate rates. After adjustment, including for prior exacerbation frequency, these groups were no longer statistically distinguishable from one another, indicating that much of the excess exacerbation burden in the concordant group reflects an exacerbation history already established at baseline rather than information added by concordant classification. These findings suggest that agreement between imaging and spirometric representations identifies individuals with the strongest disease expression, while discordance may identify different manifestations within the COPD spectrum.</w:t>
      </w:r>
      <w:proofErr w:type="spellStart"/>
      <w:r w:rsidRPr="00442CB5">
        <w:rPr>
          <w:rFonts w:eastAsia="Times New Roman"/>
          <w:lang w:eastAsia="it-IT"/>
        </w:rPr>
      </w:r>
      <w:proofErr w:type="spellEnd"/>
      <w:r w:rsidRPr="00442CB5">
        <w:rPr>
          <w:rFonts w:eastAsia="Times New Roman"/>
          <w:lang w:eastAsia="it-IT"/>
        </w:rPr>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AFL-only-noCOPD did not demonstrate significantly increased mortality under either framework, and their observed exacerbation rate was close to that of the noCOPD reference; the CT-based exacerbation estimate reached nominal significance after adjustment, but the underlying rate difference was small.</w:t>
      </w:r>
      <w:proofErr w:type="spellStart"/>
      <w:r w:rsidRPr="00442CB5">
        <w:rPr>
          <w:rFonts w:eastAsia="Times New Roman"/>
          <w:lang w:eastAsia="it-IT"/>
        </w:rPr>
      </w:r>
      <w:proofErr w:type="spellEnd"/>
      <w:r w:rsidRPr="00442CB5">
        <w:rPr>
          <w:rFonts w:eastAsia="Times New Roman"/>
          <w:lang w:eastAsia="it-IT"/>
        </w:rPr>
        <w:t xml:space="preserve">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Layout w:type="fixed"/>
        <w:tblCellMar>
          <w:left w:w="29" w:type="dxa"/>
          <w:right w:w="29" w:type="dxa"/>
          <w:top w:w="14" w:type="dxa"/>
          <w:bottom w:w="14" w:type="dxa"/>
        </w:tblCellMar>
      </w:tblPr>
      <w:tblGrid>
        <w:gridCol w:w="1138"/>
        <w:gridCol w:w="907"/>
        <w:gridCol w:w="1598"/>
        <w:gridCol w:w="1512"/>
        <w:gridCol w:w="590"/>
        <w:gridCol w:w="1512"/>
        <w:gridCol w:w="1512"/>
        <w:gridCol w:w="590"/>
      </w:tblGrid>
      <w:tr w:rsidR="00266B86" w14:paraId="525E2EA7" w14:textId="77777777">
        <w:trPr>
          <w:jc w:val="center"/>
        </w:trPr>
        <w:tc>
          <w:tcPr>
            <w:tcBorders>
              <w:top w:val="single" w:sz="6" w:space="0" w:color="000000"/>
              <w:left w:val="single" w:sz="6" w:space="0" w:color="000000"/>
              <w:bottom w:val="single" w:sz="6" w:space="0" w:color="000000"/>
              <w:right w:val="single" w:sz="6" w:space="0" w:color="000000"/>
            </w:tcBorders>
            <w:vAlign w:val="center"/>
            <w:tcW w:w="1138" w:type="dxa"/>
          </w:tcPr>
          <w:p>
            <w:r>
              <w:rPr>
                <w:rFonts w:ascii="Arial" w:hAnsi="Arial" w:cs="Arial"/>
                <w:b/>
                <w:sz w:val="16"/>
                <w:szCs w:val="16"/>
              </w:rPr>
              <w:t xml:space="preserve">Outcome (metric)</w:t>
            </w:r>
          </w:p>
        </w:tc>
        <w:tc>
          <w:tcPr>
            <w:tcBorders>
              <w:top w:val="single" w:sz="6" w:space="0" w:color="000000"/>
              <w:left w:val="single" w:sz="6" w:space="0" w:color="000000"/>
              <w:bottom w:val="single" w:sz="6" w:space="0" w:color="000000"/>
              <w:right w:val="single" w:sz="6" w:space="0" w:color="000000"/>
            </w:tcBorders>
            <w:vAlign w:val="center"/>
            <w:tcW w:w="907" w:type="dxa"/>
          </w:tcPr>
          <w:p>
            <w:r>
              <w:rPr>
                <w:rFonts w:ascii="Arial" w:hAnsi="Arial" w:cs="Arial"/>
                <w:b/>
                <w:sz w:val="16"/>
                <w:szCs w:val="16"/>
              </w:rPr>
              <w:t xml:space="preserve">Category</w:t>
            </w:r>
          </w:p>
        </w:tc>
        <w:tc>
          <w:tcPr>
            <w:tcBorders>
              <w:top w:val="single" w:sz="6" w:space="0" w:color="000000"/>
              <w:left w:val="single" w:sz="6" w:space="0" w:color="000000"/>
              <w:bottom w:val="single" w:sz="6" w:space="0" w:color="000000"/>
              <w:right w:val="single" w:sz="6" w:space="0" w:color="000000"/>
            </w:tcBorders>
            <w:vAlign w:val="center"/>
            <w:tcW w:w="1598" w:type="dxa"/>
          </w:tcPr>
          <w:p>
            <w:r>
              <w:rPr>
                <w:rFonts w:ascii="Arial" w:hAnsi="Arial" w:cs="Arial"/>
                <w:b/>
                <w:sz w:val="16"/>
                <w:szCs w:val="16"/>
              </w:rPr>
              <w:t xml:space="preserve">Crude RR (CT)</w:t>
            </w:r>
          </w:p>
        </w:tc>
        <w:tc>
          <w:tcPr>
            <w:tcBorders>
              <w:top w:val="single" w:sz="6" w:space="0" w:color="000000"/>
              <w:left w:val="single" w:sz="6" w:space="0" w:color="000000"/>
              <w:bottom w:val="single" w:sz="6" w:space="0" w:color="000000"/>
              <w:right w:val="single" w:sz="6" w:space="0" w:color="000000"/>
            </w:tcBorders>
            <w:vAlign w:val="center"/>
            <w:tcW w:w="1512" w:type="dxa"/>
          </w:tcPr>
          <w:p>
            <w:r>
              <w:rPr>
                <w:rFonts w:ascii="Arial" w:hAnsi="Arial" w:cs="Arial"/>
                <w:b/>
                <w:sz w:val="16"/>
                <w:szCs w:val="16"/>
              </w:rPr>
              <w:t xml:space="preserve">Crude RR (ESI)</w:t>
            </w:r>
          </w:p>
        </w:tc>
        <w:tc>
          <w:tcPr>
            <w:tcBorders>
              <w:top w:val="single" w:sz="6" w:space="0" w:color="000000"/>
              <w:left w:val="single" w:sz="6" w:space="0" w:color="000000"/>
              <w:bottom w:val="single" w:sz="6" w:space="0" w:color="000000"/>
              <w:right w:val="single" w:sz="6" w:space="0" w:color="000000"/>
            </w:tcBorders>
            <w:vAlign w:val="center"/>
            <w:tcW w:w="590" w:type="dxa"/>
          </w:tcPr>
          <w:p>
            <w:r>
              <w:rPr>
                <w:rFonts w:ascii="Arial" w:hAnsi="Arial" w:cs="Arial"/>
                <w:b/>
                <w:sz w:val="16"/>
                <w:szCs w:val="16"/>
              </w:rPr>
              <w:t xml:space="preserve">p-value</w:t>
            </w:r>
          </w:p>
        </w:tc>
        <w:tc>
          <w:tcPr>
            <w:tcW w:w="1512" w:type="dxa"/>
          </w:tcPr>
          <w:p>
            <w:r>
              <w:rPr>
                <w:rFonts w:ascii="Arial" w:hAnsi="Arial" w:cs="Arial"/>
                <w:b/>
                <w:sz w:val="16"/>
                <w:szCs w:val="16"/>
              </w:rPr>
              <w:t xml:space="preserve">Adjusted Rate (CT)</w:t>
            </w:r>
          </w:p>
        </w:tc>
        <w:tc>
          <w:tcPr>
            <w:tcW w:w="1512" w:type="dxa"/>
          </w:tcPr>
          <w:p>
            <w:r>
              <w:rPr>
                <w:rFonts w:ascii="Arial" w:hAnsi="Arial" w:cs="Arial"/>
                <w:b/>
                <w:sz w:val="16"/>
                <w:szCs w:val="16"/>
              </w:rPr>
              <w:t xml:space="preserve">Adjusted Rate (ESI)</w:t>
            </w:r>
          </w:p>
        </w:tc>
        <w:tc>
          <w:tcPr>
            <w:tcW w:w="590" w:type="dxa"/>
          </w:tcPr>
          <w:p>
            <w:r>
              <w:rPr>
                <w:rFonts w:ascii="Arial" w:hAnsi="Arial" w:cs="Arial"/>
                <w:b/>
                <w:sz w:val="16"/>
                <w:szCs w:val="16"/>
              </w:rPr>
              <w:t xml:space="preserve">p-value</w:t>
            </w:r>
          </w:p>
        </w:tc>
      </w:tr>
      <w:tr w:rsidR="00266B86" w14:paraId="39F85C63" w14:textId="77777777">
        <w:trPr>
          <w:jc w:val="center"/>
        </w:trPr>
        <w:tc>
          <w:tcPr>
            <w:tcBorders>
              <w:top w:val="single" w:sz="6" w:space="0" w:color="000000"/>
              <w:left w:val="single" w:sz="6" w:space="0" w:color="000000"/>
              <w:bottom w:val="nil"/>
              <w:right w:val="single" w:sz="6" w:space="0" w:color="000000"/>
            </w:tcBorders>
            <w:vMerge w:val="restart"/>
            <w:tcW w:w="1138" w:type="dxa"/>
          </w:tcPr>
          <w:p>
            <w:r>
              <w:rPr>
                <w:rFonts w:ascii="Arial" w:hAnsi="Arial" w:cs="Arial"/>
                <w:sz w:val="16"/>
                <w:szCs w:val="16"/>
              </w:rPr>
              <w:t xml:space="preserve">All-cause mortality (HR)</w:t>
            </w: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AFL-only-noCOPD</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1.08 (0.72–1.51)</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1.24 (0.72–1.83)</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0.58</w:t>
            </w:r>
          </w:p>
        </w:tc>
        <w:tc>
          <w:tcPr>
            <w:tcW w:w="1512" w:type="dxa"/>
          </w:tcPr>
          <w:p>
            <w:r>
              <w:rPr>
                <w:rFonts w:ascii="Arial" w:hAnsi="Arial" w:cs="Arial"/>
                <w:sz w:val="16"/>
                <w:szCs w:val="16"/>
              </w:rPr>
              <w:t xml:space="preserve">0.90 (0.62–1.30)</w:t>
            </w:r>
          </w:p>
        </w:tc>
        <w:tc>
          <w:tcPr>
            <w:tcW w:w="1512" w:type="dxa"/>
          </w:tcPr>
          <w:p>
            <w:r>
              <w:rPr>
                <w:rFonts w:ascii="Arial" w:hAnsi="Arial" w:cs="Arial"/>
                <w:sz w:val="16"/>
                <w:szCs w:val="16"/>
              </w:rPr>
              <w:t xml:space="preserve">0.91 (0.57–1.46)</w:t>
            </w:r>
          </w:p>
        </w:tc>
        <w:tc>
          <w:tcPr>
            <w:tcW w:w="590" w:type="dxa"/>
          </w:tcPr>
          <w:p>
            <w:r>
              <w:rPr>
                <w:rFonts w:ascii="Arial" w:hAnsi="Arial" w:cs="Arial"/>
                <w:sz w:val="16"/>
                <w:szCs w:val="16"/>
              </w:rPr>
              <w:t xml:space="preserve">0.94</w:t>
            </w:r>
          </w:p>
        </w:tc>
      </w:tr>
      <w:tr w:rsidR="00266B86" w14:paraId="050B4317" w14:textId="77777777">
        <w:trPr>
          <w:jc w:val="center"/>
        </w:trPr>
        <w:tc>
          <w:tcPr>
            <w:tcBorders>
              <w:top w:val="nil"/>
              <w:left w:val="single" w:sz="6" w:space="0" w:color="000000"/>
              <w:bottom w:val="single" w:sz="6" w:space="0" w:color="000000"/>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COPD minor pathway</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1.85 (1.59–2.14)</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1.77 (1.46–2.08)</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0.49</w:t>
            </w:r>
          </w:p>
        </w:tc>
        <w:tc>
          <w:tcPr>
            <w:tcW w:w="1512" w:type="dxa"/>
          </w:tcPr>
          <w:p>
            <w:r>
              <w:rPr>
                <w:rFonts w:ascii="Arial" w:hAnsi="Arial" w:cs="Arial"/>
                <w:sz w:val="16"/>
                <w:szCs w:val="16"/>
              </w:rPr>
              <w:t xml:space="preserve">1.91 (1.64–2.22)</w:t>
            </w:r>
          </w:p>
        </w:tc>
        <w:tc>
          <w:tcPr>
            <w:tcW w:w="1512" w:type="dxa"/>
          </w:tcPr>
          <w:p>
            <w:r>
              <w:rPr>
                <w:rFonts w:ascii="Arial" w:hAnsi="Arial" w:cs="Arial"/>
                <w:sz w:val="16"/>
                <w:szCs w:val="16"/>
              </w:rPr>
              <w:t xml:space="preserve">1.94 (1.63–2.32)</w:t>
            </w:r>
          </w:p>
        </w:tc>
        <w:tc>
          <w:tcPr>
            <w:tcW w:w="590" w:type="dxa"/>
          </w:tcPr>
          <w:p>
            <w:r>
              <w:rPr>
                <w:rFonts w:ascii="Arial" w:hAnsi="Arial" w:cs="Arial"/>
                <w:sz w:val="16"/>
                <w:szCs w:val="16"/>
              </w:rPr>
              <w:t xml:space="preserve">0.85</w:t>
            </w:r>
          </w:p>
        </w:tc>
      </w:tr>
      <w:tr w:rsidR="00266B86" w14:paraId="0079C3D5" w14:textId="77777777">
        <w:trPr>
          <w:jc w:val="center"/>
        </w:trPr>
        <w:tc>
          <w:tcPr>
            <w:tcBorders>
              <w:top w:val="single" w:sz="6" w:space="0" w:color="000000"/>
              <w:left w:val="single" w:sz="6" w:space="0" w:color="000000"/>
              <w:bottom w:val="nil"/>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COPD major pathway</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3.39 (3.09–3.71)</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3.12 (2.87–3.38)</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&lt;0.01</w:t>
            </w:r>
          </w:p>
        </w:tc>
        <w:tc>
          <w:tcPr>
            <w:tcW w:w="1512" w:type="dxa"/>
          </w:tcPr>
          <w:p>
            <w:r>
              <w:rPr>
                <w:rFonts w:ascii="Arial" w:hAnsi="Arial" w:cs="Arial"/>
                <w:sz w:val="16"/>
                <w:szCs w:val="16"/>
              </w:rPr>
              <w:t xml:space="preserve">2.59 (2.35–2.86)</w:t>
            </w:r>
          </w:p>
        </w:tc>
        <w:tc>
          <w:tcPr>
            <w:tcW w:w="1512" w:type="dxa"/>
          </w:tcPr>
          <w:p>
            <w:r>
              <w:rPr>
                <w:rFonts w:ascii="Arial" w:hAnsi="Arial" w:cs="Arial"/>
                <w:sz w:val="16"/>
                <w:szCs w:val="16"/>
              </w:rPr>
              <w:t xml:space="preserve">2.39 (2.18–2.63)</w:t>
            </w:r>
          </w:p>
        </w:tc>
        <w:tc>
          <w:tcPr>
            <w:tcW w:w="590" w:type="dxa"/>
          </w:tcPr>
          <w:p>
            <w:r>
              <w:rPr>
                <w:rFonts w:ascii="Arial" w:hAnsi="Arial" w:cs="Arial"/>
                <w:sz w:val="16"/>
                <w:szCs w:val="16"/>
              </w:rPr>
              <w:t xml:space="preserve">&lt;0.002</w:t>
            </w:r>
          </w:p>
        </w:tc>
      </w:tr>
      <w:tr w:rsidR="00266B86" w14:paraId="11DDB199" w14:textId="77777777">
        <w:trPr>
          <w:jc w:val="center"/>
        </w:trPr>
        <w:tc>
          <w:tcPr>
            <w:tcBorders>
              <w:top w:val="nil"/>
              <w:left w:val="single" w:sz="6" w:space="0" w:color="000000"/>
              <w:bottom w:val="single" w:sz="6" w:space="0" w:color="000000"/>
              <w:right w:val="single" w:sz="6" w:space="0" w:color="000000"/>
            </w:tcBorders>
            <w:vMerge w:val="restart"/>
            <w:tcW w:w="1138" w:type="dxa"/>
          </w:tcPr>
          <w:p>
            <w:r>
              <w:rPr>
                <w:rFonts w:ascii="Arial" w:hAnsi="Arial" w:cs="Arial"/>
                <w:sz w:val="16"/>
                <w:szCs w:val="16"/>
              </w:rPr>
              <w:t xml:space="preserve">Respiratory mortality (HR)</w:t>
            </w: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AFL-only-noCOPD</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1.70 (1.18–7.34)</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3.09 (1.94–14.84)</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0.37</w:t>
            </w:r>
          </w:p>
        </w:tc>
        <w:tc>
          <w:tcPr>
            <w:tcW w:w="1512" w:type="dxa"/>
          </w:tcPr>
          <w:p>
            <w:r>
              <w:rPr>
                <w:rFonts w:ascii="Arial" w:hAnsi="Arial" w:cs="Arial"/>
                <w:sz w:val="16"/>
                <w:szCs w:val="16"/>
              </w:rPr>
              <w:t xml:space="preserve">1.42 (0.19–10.84)</w:t>
            </w:r>
          </w:p>
        </w:tc>
        <w:tc>
          <w:tcPr>
            <w:tcW w:w="1512" w:type="dxa"/>
          </w:tcPr>
          <w:p>
            <w:r>
              <w:rPr>
                <w:rFonts w:ascii="Arial" w:hAnsi="Arial" w:cs="Arial"/>
                <w:sz w:val="16"/>
                <w:szCs w:val="16"/>
              </w:rPr>
              <w:t xml:space="preserve">2.19 (0.29–16.54)</w:t>
            </w:r>
          </w:p>
        </w:tc>
        <w:tc>
          <w:tcPr>
            <w:tcW w:w="590" w:type="dxa"/>
          </w:tcPr>
          <w:p>
            <w:r>
              <w:rPr>
                <w:rFonts w:ascii="Arial" w:hAnsi="Arial" w:cs="Arial"/>
                <w:sz w:val="16"/>
                <w:szCs w:val="16"/>
              </w:rPr>
              <w:t xml:space="preserve">0.46</w:t>
            </w:r>
          </w:p>
        </w:tc>
      </w:tr>
      <w:tr w:rsidR="00266B86" w14:paraId="40EBE454" w14:textId="77777777">
        <w:trPr>
          <w:jc w:val="center"/>
        </w:trPr>
        <w:tc>
          <w:tcPr>
            <w:tcBorders>
              <w:top w:val="single" w:sz="6" w:space="0" w:color="000000"/>
              <w:left w:val="single" w:sz="6" w:space="0" w:color="000000"/>
              <w:bottom w:val="nil"/>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COPD minor pathway</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3.90 (1.60–9.11)</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4.22 (1.48–9.78)</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0.86</w:t>
            </w:r>
          </w:p>
        </w:tc>
        <w:tc>
          <w:tcPr>
            <w:tcW w:w="1512" w:type="dxa"/>
          </w:tcPr>
          <w:p>
            <w:r>
              <w:rPr>
                <w:rFonts w:ascii="Arial" w:hAnsi="Arial" w:cs="Arial"/>
                <w:sz w:val="16"/>
                <w:szCs w:val="16"/>
              </w:rPr>
              <w:t xml:space="preserve">4.80 (2.14–10.76)</w:t>
            </w:r>
          </w:p>
        </w:tc>
        <w:tc>
          <w:tcPr>
            <w:tcW w:w="1512" w:type="dxa"/>
          </w:tcPr>
          <w:p>
            <w:r>
              <w:rPr>
                <w:rFonts w:ascii="Arial" w:hAnsi="Arial" w:cs="Arial"/>
                <w:sz w:val="16"/>
                <w:szCs w:val="16"/>
              </w:rPr>
              <w:t xml:space="preserve">5.68 (2.43–13.32)</w:t>
            </w:r>
          </w:p>
        </w:tc>
        <w:tc>
          <w:tcPr>
            <w:tcW w:w="590" w:type="dxa"/>
          </w:tcPr>
          <w:p>
            <w:r>
              <w:rPr>
                <w:rFonts w:ascii="Arial" w:hAnsi="Arial" w:cs="Arial"/>
                <w:sz w:val="16"/>
                <w:szCs w:val="16"/>
              </w:rPr>
              <w:t xml:space="preserve">0.70</w:t>
            </w:r>
          </w:p>
        </w:tc>
      </w:tr>
      <w:tr w:rsidR="00266B86" w14:paraId="7672777F" w14:textId="77777777">
        <w:trPr>
          <w:jc w:val="center"/>
        </w:trPr>
        <w:tc>
          <w:tcPr>
            <w:tcBorders>
              <w:top w:val="nil"/>
              <w:left w:val="single" w:sz="6" w:space="0" w:color="000000"/>
              <w:bottom w:val="single" w:sz="6" w:space="0" w:color="000000"/>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907" w:type="dxa"/>
          </w:tcPr>
          <w:p>
            <w:r>
              <w:rPr>
                <w:rFonts w:ascii="Arial" w:hAnsi="Arial" w:cs="Arial"/>
                <w:sz w:val="16"/>
                <w:szCs w:val="16"/>
              </w:rPr>
              <w:t xml:space="preserve">COPD major pathway</w:t>
            </w:r>
          </w:p>
        </w:tc>
        <w:tc>
          <w:tcPr>
            <w:tcBorders>
              <w:top w:val="single" w:sz="6" w:space="0" w:color="000000"/>
              <w:left w:val="single" w:sz="6" w:space="0" w:color="000000"/>
              <w:bottom w:val="single" w:sz="6" w:space="0" w:color="000000"/>
              <w:right w:val="single" w:sz="6" w:space="0" w:color="000000"/>
            </w:tcBorders>
            <w:tcW w:w="1598" w:type="dxa"/>
          </w:tcPr>
          <w:p>
            <w:r>
              <w:rPr>
                <w:rFonts w:ascii="Arial" w:hAnsi="Arial" w:cs="Arial"/>
                <w:sz w:val="16"/>
                <w:szCs w:val="16"/>
              </w:rPr>
              <w:t xml:space="preserve">56.05 (36.05–111.79)</w:t>
            </w:r>
          </w:p>
        </w:tc>
        <w:tc>
          <w:tcPr>
            <w:tcBorders>
              <w:top w:val="single" w:sz="6" w:space="0" w:color="000000"/>
              <w:left w:val="single" w:sz="6" w:space="0" w:color="000000"/>
              <w:bottom w:val="single" w:sz="6" w:space="0" w:color="000000"/>
              <w:right w:val="single" w:sz="6" w:space="0" w:color="000000"/>
            </w:tcBorders>
            <w:tcW w:w="1512" w:type="dxa"/>
          </w:tcPr>
          <w:p>
            <w:r>
              <w:rPr>
                <w:rFonts w:ascii="Arial" w:hAnsi="Arial" w:cs="Arial"/>
                <w:sz w:val="16"/>
                <w:szCs w:val="16"/>
              </w:rPr>
              <w:t xml:space="preserve">48.19 (31.66–91.19)</w:t>
            </w:r>
          </w:p>
        </w:tc>
        <w:tc>
          <w:tcPr>
            <w:tcBorders>
              <w:top w:val="single" w:sz="6" w:space="0" w:color="000000"/>
              <w:left w:val="single" w:sz="6" w:space="0" w:color="000000"/>
              <w:bottom w:val="single" w:sz="6" w:space="0" w:color="000000"/>
              <w:right w:val="single" w:sz="6" w:space="0" w:color="000000"/>
            </w:tcBorders>
            <w:tcW w:w="590" w:type="dxa"/>
          </w:tcPr>
          <w:p>
            <w:r>
              <w:rPr>
                <w:rFonts w:ascii="Arial" w:hAnsi="Arial" w:cs="Arial"/>
                <w:sz w:val="16"/>
                <w:szCs w:val="16"/>
              </w:rPr>
              <w:t xml:space="preserve">0.30</w:t>
            </w:r>
          </w:p>
        </w:tc>
        <w:tc>
          <w:tcPr>
            <w:tcW w:w="1512" w:type="dxa"/>
          </w:tcPr>
          <w:p>
            <w:r>
              <w:rPr>
                <w:rFonts w:ascii="Arial" w:hAnsi="Arial" w:cs="Arial"/>
                <w:sz w:val="16"/>
                <w:szCs w:val="16"/>
              </w:rPr>
              <w:t xml:space="preserve">36.27 (20.85–63.07)</w:t>
            </w:r>
          </w:p>
        </w:tc>
        <w:tc>
          <w:tcPr>
            <w:tcW w:w="1512" w:type="dxa"/>
          </w:tcPr>
          <w:p>
            <w:r>
              <w:rPr>
                <w:rFonts w:ascii="Arial" w:hAnsi="Arial" w:cs="Arial"/>
                <w:sz w:val="16"/>
                <w:szCs w:val="16"/>
              </w:rPr>
              <w:t xml:space="preserve">30.95 (18.76–51.06)</w:t>
            </w:r>
          </w:p>
        </w:tc>
        <w:tc>
          <w:tcPr>
            <w:tcW w:w="590" w:type="dxa"/>
          </w:tcPr>
          <w:p>
            <w:r>
              <w:rPr>
                <w:rFonts w:ascii="Arial" w:hAnsi="Arial" w:cs="Arial"/>
                <w:sz w:val="16"/>
                <w:szCs w:val="16"/>
              </w:rPr>
              <w:t xml:space="preserve">0.29</w:t>
            </w:r>
          </w:p>
        </w:tc>
      </w:tr>
      <w:tr>
        <w:tc>
          <w:tcPr>
            <w:vMerge w:val="restart"/>
            <w:tcW w:w="1138" w:type="dxa"/>
          </w:tcPr>
          <w:p>
            <w:r>
              <w:rPr>
                <w:rFonts w:ascii="Arial" w:hAnsi="Arial" w:cs="Arial"/>
                <w:sz w:val="16"/>
                <w:szCs w:val="16"/>
              </w:rPr>
              <w:t xml:space="preserve">Exacerbations (IRR)</w:t>
            </w:r>
          </w:p>
        </w:tc>
        <w:tc>
          <w:tcPr>
            <w:tcW w:w="907" w:type="dxa"/>
          </w:tcPr>
          <w:p>
            <w:r>
              <w:rPr>
                <w:rFonts w:ascii="Arial" w:hAnsi="Arial" w:cs="Arial"/>
                <w:sz w:val="16"/>
                <w:szCs w:val="16"/>
              </w:rPr>
              <w:t xml:space="preserve">AFL-only-noCOPD</w:t>
            </w:r>
          </w:p>
        </w:tc>
        <w:tc>
          <w:tcPr>
            <w:tcW w:w="1598" w:type="dxa"/>
          </w:tcPr>
          <w:p>
            <w:r>
              <w:rPr>
                <w:rFonts w:ascii="Arial" w:hAnsi="Arial" w:cs="Arial"/>
                <w:sz w:val="16"/>
                <w:szCs w:val="16"/>
              </w:rPr>
              <w:t xml:space="preserve">1.15 (0.81–1.53)</w:t>
            </w:r>
          </w:p>
        </w:tc>
        <w:tc>
          <w:tcPr>
            <w:tcW w:w="1512" w:type="dxa"/>
          </w:tcPr>
          <w:p>
            <w:r>
              <w:rPr>
                <w:rFonts w:ascii="Arial" w:hAnsi="Arial" w:cs="Arial"/>
                <w:sz w:val="16"/>
                <w:szCs w:val="16"/>
              </w:rPr>
              <w:t xml:space="preserve">0.96 (0.58–1.41)</w:t>
            </w:r>
          </w:p>
        </w:tc>
        <w:tc>
          <w:tcPr>
            <w:tcW w:w="590" w:type="dxa"/>
          </w:tcPr>
          <w:p>
            <w:r>
              <w:rPr>
                <w:rFonts w:ascii="Arial" w:hAnsi="Arial" w:cs="Arial"/>
                <w:sz w:val="16"/>
                <w:szCs w:val="16"/>
              </w:rPr>
              <w:t xml:space="preserve">0.40</w:t>
            </w:r>
          </w:p>
        </w:tc>
        <w:tc>
          <w:tcPr>
            <w:tcW w:w="1512" w:type="dxa"/>
          </w:tcPr>
          <w:p>
            <w:r>
              <w:rPr>
                <w:rFonts w:ascii="Arial" w:hAnsi="Arial" w:cs="Arial"/>
                <w:sz w:val="16"/>
                <w:szCs w:val="16"/>
              </w:rPr>
              <w:t xml:space="preserve">1.35 (1.00–1.81)</w:t>
            </w:r>
          </w:p>
        </w:tc>
        <w:tc>
          <w:tcPr>
            <w:tcW w:w="1512" w:type="dxa"/>
          </w:tcPr>
          <w:p>
            <w:r>
              <w:rPr>
                <w:rFonts w:ascii="Arial" w:hAnsi="Arial" w:cs="Arial"/>
                <w:sz w:val="16"/>
                <w:szCs w:val="16"/>
              </w:rPr>
              <w:t xml:space="preserve">1.01 (0.66–1.52)</w:t>
            </w:r>
          </w:p>
        </w:tc>
        <w:tc>
          <w:tcPr>
            <w:tcW w:w="590" w:type="dxa"/>
          </w:tcPr>
          <w:p>
            <w:r>
              <w:rPr>
                <w:rFonts w:ascii="Arial" w:hAnsi="Arial" w:cs="Arial"/>
                <w:sz w:val="16"/>
                <w:szCs w:val="16"/>
              </w:rPr>
              <w:t xml:space="preserve">0.20</w:t>
            </w:r>
          </w:p>
        </w:tc>
      </w:tr>
      <w:tr>
        <w:tc>
          <w:tcPr>
            <w:vMerge/>
            <w:tcW w:w="1138" w:type="dxa"/>
          </w:tcPr>
          <w:p/>
        </w:tc>
        <w:tc>
          <w:tcPr>
            <w:tcW w:w="907" w:type="dxa"/>
          </w:tcPr>
          <w:p>
            <w:r>
              <w:rPr>
                <w:rFonts w:ascii="Arial" w:hAnsi="Arial" w:cs="Arial"/>
                <w:sz w:val="16"/>
                <w:szCs w:val="16"/>
              </w:rPr>
              <w:t xml:space="preserve">COPD minor pathway</w:t>
            </w:r>
          </w:p>
        </w:tc>
        <w:tc>
          <w:tcPr>
            <w:tcW w:w="1598" w:type="dxa"/>
          </w:tcPr>
          <w:p>
            <w:r>
              <w:rPr>
                <w:rFonts w:ascii="Arial" w:hAnsi="Arial" w:cs="Arial"/>
                <w:sz w:val="16"/>
                <w:szCs w:val="16"/>
              </w:rPr>
              <w:t xml:space="preserve">3.09 (2.68–3.59)</w:t>
            </w:r>
          </w:p>
        </w:tc>
        <w:tc>
          <w:tcPr>
            <w:tcW w:w="1512" w:type="dxa"/>
          </w:tcPr>
          <w:p>
            <w:r>
              <w:rPr>
                <w:rFonts w:ascii="Arial" w:hAnsi="Arial" w:cs="Arial"/>
                <w:sz w:val="16"/>
                <w:szCs w:val="16"/>
              </w:rPr>
              <w:t xml:space="preserve">3.22 (2.67–3.87)</w:t>
            </w:r>
          </w:p>
        </w:tc>
        <w:tc>
          <w:tcPr>
            <w:tcW w:w="590" w:type="dxa"/>
          </w:tcPr>
          <w:p>
            <w:r>
              <w:rPr>
                <w:rFonts w:ascii="Arial" w:hAnsi="Arial" w:cs="Arial"/>
                <w:sz w:val="16"/>
                <w:szCs w:val="16"/>
              </w:rPr>
              <w:t xml:space="preserve">0.52</w:t>
            </w:r>
          </w:p>
        </w:tc>
        <w:tc>
          <w:tcPr>
            <w:tcW w:w="1512" w:type="dxa"/>
          </w:tcPr>
          <w:p>
            <w:r>
              <w:rPr>
                <w:rFonts w:ascii="Arial" w:hAnsi="Arial" w:cs="Arial"/>
                <w:sz w:val="16"/>
                <w:szCs w:val="16"/>
              </w:rPr>
              <w:t xml:space="preserve">2.16 (1.88–2.49)</w:t>
            </w:r>
          </w:p>
        </w:tc>
        <w:tc>
          <w:tcPr>
            <w:tcW w:w="1512" w:type="dxa"/>
          </w:tcPr>
          <w:p>
            <w:r>
              <w:rPr>
                <w:rFonts w:ascii="Arial" w:hAnsi="Arial" w:cs="Arial"/>
                <w:sz w:val="16"/>
                <w:szCs w:val="16"/>
              </w:rPr>
              <w:t xml:space="preserve">2.10 (1.77–2.48)</w:t>
            </w:r>
          </w:p>
        </w:tc>
        <w:tc>
          <w:tcPr>
            <w:tcW w:w="590" w:type="dxa"/>
          </w:tcPr>
          <w:p>
            <w:r>
              <w:rPr>
                <w:rFonts w:ascii="Arial" w:hAnsi="Arial" w:cs="Arial"/>
                <w:sz w:val="16"/>
                <w:szCs w:val="16"/>
              </w:rPr>
              <w:t xml:space="preserve">0.68</w:t>
            </w:r>
          </w:p>
        </w:tc>
      </w:tr>
      <w:tr>
        <w:tc>
          <w:tcPr>
            <w:vMerge/>
            <w:tcW w:w="1138" w:type="dxa"/>
          </w:tcPr>
          <w:p/>
        </w:tc>
        <w:tc>
          <w:tcPr>
            <w:tcW w:w="907" w:type="dxa"/>
          </w:tcPr>
          <w:p>
            <w:r>
              <w:rPr>
                <w:rFonts w:ascii="Arial" w:hAnsi="Arial" w:cs="Arial"/>
                <w:sz w:val="16"/>
                <w:szCs w:val="16"/>
              </w:rPr>
              <w:t xml:space="preserve">COPD major pathway</w:t>
            </w:r>
          </w:p>
        </w:tc>
        <w:tc>
          <w:tcPr>
            <w:tcW w:w="1598" w:type="dxa"/>
          </w:tcPr>
          <w:p>
            <w:r>
              <w:rPr>
                <w:rFonts w:ascii="Arial" w:hAnsi="Arial" w:cs="Arial"/>
                <w:sz w:val="16"/>
                <w:szCs w:val="16"/>
              </w:rPr>
              <w:t xml:space="preserve">4.46 (4.03–4.93)</w:t>
            </w:r>
          </w:p>
        </w:tc>
        <w:tc>
          <w:tcPr>
            <w:tcW w:w="1512" w:type="dxa"/>
          </w:tcPr>
          <w:p>
            <w:r>
              <w:rPr>
                <w:rFonts w:ascii="Arial" w:hAnsi="Arial" w:cs="Arial"/>
                <w:sz w:val="16"/>
                <w:szCs w:val="16"/>
              </w:rPr>
              <w:t xml:space="preserve">3.94 (3.58–4.32)</w:t>
            </w:r>
          </w:p>
        </w:tc>
        <w:tc>
          <w:tcPr>
            <w:tcW w:w="590" w:type="dxa"/>
          </w:tcPr>
          <w:p>
            <w:r>
              <w:rPr>
                <w:rFonts w:ascii="Arial" w:hAnsi="Arial" w:cs="Arial"/>
                <w:sz w:val="16"/>
                <w:szCs w:val="16"/>
              </w:rPr>
              <w:t xml:space="preserve">&lt;0.01</w:t>
            </w:r>
          </w:p>
        </w:tc>
        <w:tc>
          <w:tcPr>
            <w:tcW w:w="1512" w:type="dxa"/>
          </w:tcPr>
          <w:p>
            <w:r>
              <w:rPr>
                <w:rFonts w:ascii="Arial" w:hAnsi="Arial" w:cs="Arial"/>
                <w:sz w:val="16"/>
                <w:szCs w:val="16"/>
              </w:rPr>
              <w:t xml:space="preserve">3.82 (3.48–4.21)</w:t>
            </w:r>
          </w:p>
        </w:tc>
        <w:tc>
          <w:tcPr>
            <w:tcW w:w="1512" w:type="dxa"/>
          </w:tcPr>
          <w:p>
            <w:r>
              <w:rPr>
                <w:rFonts w:ascii="Arial" w:hAnsi="Arial" w:cs="Arial"/>
                <w:sz w:val="16"/>
                <w:szCs w:val="16"/>
              </w:rPr>
              <w:t xml:space="preserve">3.45 (3.14–3.78)</w:t>
            </w:r>
          </w:p>
        </w:tc>
        <w:tc>
          <w:tcPr>
            <w:tcW w:w="590" w:type="dxa"/>
          </w:tcPr>
          <w:p>
            <w:r>
              <w:rPr>
                <w:rFonts w:ascii="Arial" w:hAnsi="Arial" w:cs="Arial"/>
                <w:sz w:val="16"/>
                <w:szCs w:val="16"/>
              </w:rPr>
              <w:t xml:space="preserve">&lt;0.002</w:t>
            </w:r>
          </w:p>
        </w:tc>
      </w:tr>
    </w:tbl>
    <w:p w14:paraId="205F4BF5" w14:textId="089642C5" w:rsidR="00266B86" w:rsidRPr="006741AD" w:rsidRDefault="00960EEA">
      <w:pPr>
        <w:rPr>
          <w:bCs/>
        </w:rPr>
      </w:pPr>
      <w:bookmarkStart w:id="1" w:name="tbl_1"/>
      <w:bookmarkEnd w:id="1"/>
      <w:proofErr w:type="spellStart"/>
      <w:proofErr w:type="spellEnd"/>
      <w:proofErr w:type="spellStart"/>
      <w:proofErr w:type="spellEnd"/>
      <w:r>
        <w:rPr>
          <w:rFonts w:ascii="Arial" w:hAnsi="Arial"/>
          <w:b/>
          <w:sz w:val="20"/>
        </w:rPr>
        <w:t xml:space="preserve">Table 1. </w:t>
      </w:r>
      <w:r>
        <w:rPr>
          <w:rFonts w:ascii="Arial" w:hAnsi="Arial"/>
          <w:sz w:val="20"/>
        </w:rPr>
        <w:t>Associations of MD-COPD diagnostic categories with mortality and exacerbation outcomes under the CT-based and ESI-based frameworks. Crude rate ratios are the observed event rate in each category divided by the observed rate in the noCOPD reference of the same framework, with 95% percentile intervals from a paired subject resample bootstrap. Observed rates in the noCOPD reference are 1.49 deaths, 0.03 respiratory deaths and 12.38 exacerbations per 100 person-years under the CT-based framework, and 1.59, 0.04 and 13.73 respectively under the ESI-based framework. Adjusted estimates are hazard ratios from Cox proportional hazards models (mortality) and incidence-rate ratios from negative binomial models (exacerbations), each relative to the noCOPD reference; adjustment covariates are age, sex, race, current smoking status, pack-years and body mass index, with prior exacerbation frequency additionally included in the exacerbation models. Each p-value tests the difference between the CT-based and ESI-based estimate for that category on the log scale, by paired subject resample bootstrap; values reported as “&lt;0.002” denote combinations in which no resample crossed zero. Reading the two pairs of columns together shows how much of each association is accounted for by the covariates. Category sizes under the CT-based framework are noCOPD n = 4,203, AFL-only-noCOPD n = 170, COPD minor pathway n = 1,086 and COPD major pathway n = 3,943; the ESI-based categories contain different participants, and the full cross-classification is shown in Figure 1B. Abbreviations: CT, computed tomography; ESI, Emphysema Severity Index; RR, rate ratio; HR, hazard ratio; IRR, incidence-rate ratio; CI, confidence interval.</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Exacerbations</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1.48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0.03</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12.31</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2.54</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27.21</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1.89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0.12</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16.28</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0.16</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49.57</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2. </w:t>
      </w:r>
      <w:r>
        <w:rPr>
          <w:rFonts w:ascii="Arial" w:hAnsi="Arial"/>
          <w:sz w:val="20"/>
        </w:rPr>
        <w:t>Observed event rates by cross-classification group. Rates are events per 100 person-years, unadjusted, within the preserved-spirometry (minor pathway) subgroup, as in Figure 2. Participants are cross-classified by whether they meet the COPD definition under each framework, yielding four mutually exclusive groups. These are the rates participants in each group experienced; the corresponding adjusted estimates are given in Table 3. Participants meeting the major criterion, including the AFL-only-noCOPD category, are outside this subgroup by definition and are therefore not represented here; their outcomes appear in Table 1. Mortality rates are computed on 5,289 participants and exacerbation rates on 4,635. Abbreviations: CT, computed tomography; ESI, Emphysema Severity Index; COPD, chronic obstructive pulmonary disease.</w:t>
      </w:r>
    </w:p>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 HR (95% CI)</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 HR (95% CI)</w:t>
            </w:r>
          </w:p>
        </w:tc>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 IRR (95% CI)</w:t>
            </w:r>
          </w:p>
        </w:tc>
      </w:tr>
      <w:tr w:rsidR="00DD5950" w14:paraId="1C8605F4"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r>
      <w:tr w:rsidR="00DD5950" w14:paraId="0C553D2B"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1.53 (1.25–1.88)</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2.90 (0.91–9.28)</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1.69 (1.36–2.10)</w:t>
            </w:r>
          </w:p>
        </w:tc>
      </w:tr>
      <w:tr w:rsidR="00DD5950" w14:paraId="6D727E5A"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1.26 (0.76–2.07)</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4.86 (0.62–38.02)</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1.32 (0.81–2.16)</w:t>
            </w:r>
          </w:p>
        </w:tc>
      </w:tr>
      <w:tr w:rsidR="00DD5950" w14:paraId="40ACCCCF"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2.02 (1.66–2.46)</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6.10 (2.19–16.96)</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2.07 (1.66–2.59)</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3. </w:t>
      </w:r>
      <w:r>
        <w:rPr>
          <w:rFonts w:ascii="Arial" w:hAnsi="Arial"/>
          <w:sz w:val="20"/>
        </w:rPr>
        <w:t>Adjusted associations by cross-classification group. Cox proportional hazards models estimate the hazard ratio for all-cause and respiratory mortality, and a negative binomial model with a follow-up-year offset estimates the incidence-rate ratio for exacerbations, each relative to the Both-noCOPD reference. Adjustment covariates are age, sex, race, current smoking status, pack-years and body mass index, with prior exacerbation frequency additionally included in the exacerbation model. Groups are defined as in Table 2, which reports the observed rates these estimates adjust. Pairwise contrasts among the three COPD-positive groups were tested on the log scale with single-step adjusted p-values (multcomp); no contrast reached significance for any outcome, so no significance letters are shown. Full contrast estimates are reported in Supplemental Table 3. Abbreviations: CT, computed tomography; ESI, Emphysema Severity Index; COPD, chronic obstructive pulmonary disease; HR, hazard ratio; IRR, incidence-rate ratio; CI, confidence interval.</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