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1" w:name="tbl_1"/>
      <w:bookmarkEnd w:id="1"/>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Category sizes under the CT-based framework are noCOPD n = 4,203, AFL-only-noCOPD n = 170, COPD, minor pathway n = 1,086, and COPD, major pathway n = 3,943; the ESI-based categories contain different participants, and the full cross-classification is shown in Figure 1B.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(1.25–1.88)ᵃ</w:t>
            </w:r>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(0.91–9.28)ᵃ</w:t>
            </w:r>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(1.60–2.51)ᵃ</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(0.76–2.07)ᵃ</w:t>
            </w:r>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(0.62–38.02)ᵃ</w:t>
            </w:r>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(0.97–2.68)ᵃ</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(1.66–2.46)ᵃ</w:t>
            </w:r>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(2.19–16.96)ᵃ</w:t>
            </w:r>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(2.52–3.93)ᵇ</w:t>
            </w:r>
          </w:p>
        </w:tc>
      </w:tr>
    </w:tbl>
    <w:p w14:paraId="403A0647" w14:textId="355392C6" w:rsidR="00DD5950" w:rsidRDefault="00960EEA">
      <w:bookmarkStart w:id="2" w:name="tbl_2"/>
      <w:bookmarkEnd w:id="2"/>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(minor pathway) subgroup, as in Figure 2. Participants meeting the major criterion, including the AFL-only-noCOPD category, are outside this subgroup by definition and are therefore not represented in this table; their outcomes appear in Table 1.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 xml:space="preserve">Full pairwise contrast estimates are reported in Supplemental Table 3. Abbreviations: CT, computed tomography; ESI, Emphysema </w:t>
      </w:r>
      <w:r w:rsidRPr="00703A1C">
        <w:rPr>
          <w:bCs/>
          <w:sz w:val="20"/>
        </w:rPr>
        <w:lastRenderedPageBreak/>
        <w:t>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