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Three adjustment sets were used. For mortality and exacerbation models, covariates were age, sex, race, current smoking status, pack-years, and body mass index (BMI).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2,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Under both frameworks, the AFL-only-</w:t>
      </w:r>
      <w:proofErr w:type="spellStart"/>
      <w:r w:rsidRPr="00442CB5">
        <w:rPr>
          <w:rFonts w:eastAsia="Times New Roman"/>
          <w:lang w:eastAsia="it-IT"/>
        </w:rPr>
        <w:t>noCOPD</w:t>
      </w:r>
      <w:proofErr w:type="spellEnd"/>
      <w:r w:rsidRPr="00442CB5">
        <w:rPr>
          <w:rFonts w:eastAsia="Times New Roman"/>
          <w:lang w:eastAsia="it-IT"/>
        </w:rPr>
        <w:t xml:space="preserve"> category was not significantly associated with increased risk across evaluated outcomes, consistent with its classification outside the multidimensional COPD categories.</w:t>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clinical outcomes among participants classified according to agreement or disagreement between the CT-based and ESI-based frameworks (Table 2).</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Compared with participants classified as </w:t>
      </w:r>
      <w:proofErr w:type="spellStart"/>
      <w:r w:rsidRPr="00442CB5">
        <w:rPr>
          <w:rFonts w:eastAsia="Times New Roman"/>
          <w:lang w:eastAsia="it-IT"/>
        </w:rPr>
        <w:t>noCOPD</w:t>
      </w:r>
      <w:proofErr w:type="spellEnd"/>
      <w:r w:rsidRPr="00442CB5">
        <w:rPr>
          <w:rFonts w:eastAsia="Times New Roman"/>
          <w:lang w:eastAsia="it-IT"/>
        </w:rPr>
        <w:t xml:space="preserve"> by both frameworks, Both-COPD participants showed increased all-cause mortality, respiratory mortality, and exacerbation risk. Discordantly classified groups showed intermediate clinical risk profiles: CT-only-COPD participants showed increased mortality and exacerbation risk, whereas ESI-only-COPD participants showed higher point estimates for respiratory mortality and exacerbations, although estimates were less precise because of the smaller sample size.</w:t>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Cross-classification analyses demonstrated that discordance between frameworks was associated with clinically relevant information. Participants classified as COPD by both approaches carried the greatest risk, whereas discordant groups displayed intermediate risk profiles. These findings suggest that agreement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representations identifies individuals with the strongest disease expression, while discordance may identify different manifestations within the COPD spectrum.</w:t>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w:t>
      </w:r>
      <w:proofErr w:type="spellStart"/>
      <w:r w:rsidRPr="00442CB5">
        <w:rPr>
          <w:rFonts w:eastAsia="Times New Roman"/>
          <w:lang w:eastAsia="it-IT"/>
        </w:rPr>
        <w:t>noCOPD</w:t>
      </w:r>
      <w:proofErr w:type="spellEnd"/>
      <w:r w:rsidRPr="00442CB5">
        <w:rPr>
          <w:rFonts w:eastAsia="Times New Roman"/>
          <w:lang w:eastAsia="it-IT"/>
        </w:rPr>
        <w:t xml:space="preserve"> did not demonstrate significantly increased risk of mortality or exacerbations under either the CT-based or ESI-based framework.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Pr>
      <w:tblGrid>
        <w:gridCol w:w="2086"/>
        <w:gridCol w:w="1582"/>
        <w:gridCol w:w="2227"/>
        <w:gridCol w:w="2227"/>
        <w:gridCol w:w="1222"/>
      </w:tblGrid>
      <w:tr w:rsidR="00266B86" w14:paraId="525E2EA7" w14:textId="77777777">
        <w:trPr>
          <w:jc w:val="center"/>
        </w:trPr>
        <w:tc>
          <w:tcPr>
            <w:tcW w:w="2088" w:type="dxa"/>
            <w:tcBorders>
              <w:top w:val="single" w:sz="6" w:space="0" w:color="000000"/>
              <w:left w:val="single" w:sz="6" w:space="0" w:color="000000"/>
              <w:bottom w:val="single" w:sz="6" w:space="0" w:color="000000"/>
              <w:right w:val="single" w:sz="6" w:space="0" w:color="000000"/>
            </w:tcBorders>
            <w:vAlign w:val="center"/>
          </w:tcPr>
          <w:p w14:paraId="7598E6B7" w14:textId="77777777" w:rsidR="00266B86" w:rsidRDefault="00960EEA">
            <w:r>
              <w:rPr>
                <w:b/>
              </w:rPr>
              <w:t>Outcome (metric)</w:t>
            </w:r>
          </w:p>
        </w:tc>
        <w:tc>
          <w:tcPr>
            <w:tcW w:w="1584" w:type="dxa"/>
            <w:tcBorders>
              <w:top w:val="single" w:sz="6" w:space="0" w:color="000000"/>
              <w:left w:val="single" w:sz="6" w:space="0" w:color="000000"/>
              <w:bottom w:val="single" w:sz="6" w:space="0" w:color="000000"/>
              <w:right w:val="single" w:sz="6" w:space="0" w:color="000000"/>
            </w:tcBorders>
            <w:vAlign w:val="center"/>
          </w:tcPr>
          <w:p w14:paraId="05D7F90A" w14:textId="77777777" w:rsidR="00266B86" w:rsidRDefault="00960EEA">
            <w:r>
              <w:rPr>
                <w:b/>
              </w:rPr>
              <w:t>Category</w:t>
            </w:r>
          </w:p>
        </w:tc>
        <w:tc>
          <w:tcPr>
            <w:tcW w:w="2232" w:type="dxa"/>
            <w:tcBorders>
              <w:top w:val="single" w:sz="6" w:space="0" w:color="000000"/>
              <w:left w:val="single" w:sz="6" w:space="0" w:color="000000"/>
              <w:bottom w:val="single" w:sz="6" w:space="0" w:color="000000"/>
              <w:right w:val="single" w:sz="6" w:space="0" w:color="000000"/>
            </w:tcBorders>
            <w:vAlign w:val="center"/>
          </w:tcPr>
          <w:p w14:paraId="4979A02A" w14:textId="77777777" w:rsidR="00266B86" w:rsidRDefault="00960EEA">
            <w:r>
              <w:rPr>
                <w:b/>
              </w:rPr>
              <w:t>CT-based (95% CI)</w:t>
            </w:r>
          </w:p>
        </w:tc>
        <w:tc>
          <w:tcPr>
            <w:tcW w:w="2232" w:type="dxa"/>
            <w:tcBorders>
              <w:top w:val="single" w:sz="6" w:space="0" w:color="000000"/>
              <w:left w:val="single" w:sz="6" w:space="0" w:color="000000"/>
              <w:bottom w:val="single" w:sz="6" w:space="0" w:color="000000"/>
              <w:right w:val="single" w:sz="6" w:space="0" w:color="000000"/>
            </w:tcBorders>
            <w:vAlign w:val="center"/>
          </w:tcPr>
          <w:p w14:paraId="5A02598D" w14:textId="77777777" w:rsidR="00266B86" w:rsidRDefault="00960EEA">
            <w:r>
              <w:rPr>
                <w:b/>
              </w:rPr>
              <w:t>ESI-based (95% CI)</w:t>
            </w:r>
          </w:p>
        </w:tc>
        <w:tc>
          <w:tcPr>
            <w:tcW w:w="1224" w:type="dxa"/>
            <w:tcBorders>
              <w:top w:val="single" w:sz="6" w:space="0" w:color="000000"/>
              <w:left w:val="single" w:sz="6" w:space="0" w:color="000000"/>
              <w:bottom w:val="single" w:sz="6" w:space="0" w:color="000000"/>
              <w:right w:val="single" w:sz="6" w:space="0" w:color="000000"/>
            </w:tcBorders>
            <w:vAlign w:val="center"/>
          </w:tcPr>
          <w:p w14:paraId="27325E73" w14:textId="77777777" w:rsidR="00266B86" w:rsidRDefault="00960EEA">
            <w:r>
              <w:rPr>
                <w:b/>
              </w:rPr>
              <w:t>CT vs ESI (p)</w:t>
            </w:r>
          </w:p>
        </w:tc>
      </w:tr>
      <w:tr w:rsidR="00266B86" w14:paraId="39F85C63"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230A473" w14:textId="77777777" w:rsidR="00266B86" w:rsidRDefault="00960EEA">
            <w:r>
              <w:rPr>
                <w:sz w:val="20"/>
              </w:rPr>
              <w:t>All-cause mortality (HR)</w:t>
            </w:r>
          </w:p>
        </w:tc>
        <w:tc>
          <w:tcPr>
            <w:tcW w:w="1584" w:type="dxa"/>
            <w:tcBorders>
              <w:top w:val="single" w:sz="6" w:space="0" w:color="000000"/>
              <w:left w:val="single" w:sz="6" w:space="0" w:color="000000"/>
              <w:bottom w:val="single" w:sz="6" w:space="0" w:color="000000"/>
              <w:right w:val="single" w:sz="6" w:space="0" w:color="000000"/>
            </w:tcBorders>
          </w:tcPr>
          <w:p w14:paraId="1F2172D9" w14:textId="77777777" w:rsidR="00266B86" w:rsidRDefault="00960EEA">
            <w:r>
              <w:rPr>
                <w:sz w:val="20"/>
              </w:rPr>
              <w:t>COPD minor pathway</w:t>
            </w:r>
          </w:p>
        </w:tc>
        <w:tc>
          <w:tcPr>
            <w:tcW w:w="2232" w:type="dxa"/>
            <w:tcBorders>
              <w:top w:val="single" w:sz="6" w:space="0" w:color="000000"/>
              <w:left w:val="single" w:sz="6" w:space="0" w:color="000000"/>
              <w:bottom w:val="single" w:sz="6" w:space="0" w:color="000000"/>
              <w:right w:val="single" w:sz="6" w:space="0" w:color="000000"/>
            </w:tcBorders>
          </w:tcPr>
          <w:p w14:paraId="613FA29C" w14:textId="77777777" w:rsidR="00266B86" w:rsidRDefault="00960EEA">
            <w:r>
              <w:rPr>
                <w:sz w:val="20"/>
              </w:rPr>
              <w:t>1.91 (1.64–2.22)</w:t>
            </w:r>
          </w:p>
        </w:tc>
        <w:tc>
          <w:tcPr>
            <w:tcW w:w="2232" w:type="dxa"/>
            <w:tcBorders>
              <w:top w:val="single" w:sz="6" w:space="0" w:color="000000"/>
              <w:left w:val="single" w:sz="6" w:space="0" w:color="000000"/>
              <w:bottom w:val="single" w:sz="6" w:space="0" w:color="000000"/>
              <w:right w:val="single" w:sz="6" w:space="0" w:color="000000"/>
            </w:tcBorders>
          </w:tcPr>
          <w:p w14:paraId="614E18DB" w14:textId="77777777" w:rsidR="00266B86" w:rsidRDefault="00960EEA">
            <w:r>
              <w:rPr>
                <w:sz w:val="20"/>
              </w:rPr>
              <w:t>1.94 (1.63–2.32)</w:t>
            </w:r>
          </w:p>
        </w:tc>
        <w:tc>
          <w:tcPr>
            <w:tcW w:w="1224" w:type="dxa"/>
            <w:tcBorders>
              <w:top w:val="single" w:sz="6" w:space="0" w:color="000000"/>
              <w:left w:val="single" w:sz="6" w:space="0" w:color="000000"/>
              <w:bottom w:val="single" w:sz="6" w:space="0" w:color="000000"/>
              <w:right w:val="single" w:sz="6" w:space="0" w:color="000000"/>
            </w:tcBorders>
          </w:tcPr>
          <w:p w14:paraId="0C1C6FC4" w14:textId="77777777" w:rsidR="00266B86" w:rsidRDefault="00960EEA">
            <w:r>
              <w:rPr>
                <w:sz w:val="20"/>
              </w:rPr>
              <w:t>0.85</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15A48E0D" w14:textId="77777777" w:rsidR="00266B86" w:rsidRDefault="00960EEA">
            <w:r>
              <w:rPr>
                <w:sz w:val="20"/>
              </w:rPr>
              <w:t>COPD major pathway</w:t>
            </w:r>
          </w:p>
        </w:tc>
        <w:tc>
          <w:tcPr>
            <w:tcW w:w="2232" w:type="dxa"/>
            <w:tcBorders>
              <w:top w:val="single" w:sz="6" w:space="0" w:color="000000"/>
              <w:left w:val="single" w:sz="6" w:space="0" w:color="000000"/>
              <w:bottom w:val="single" w:sz="6" w:space="0" w:color="000000"/>
              <w:right w:val="single" w:sz="6" w:space="0" w:color="000000"/>
            </w:tcBorders>
          </w:tcPr>
          <w:p w14:paraId="64EA4EDB" w14:textId="77777777" w:rsidR="00266B86" w:rsidRDefault="00960EEA">
            <w:r>
              <w:rPr>
                <w:sz w:val="20"/>
              </w:rPr>
              <w:t>2.59 (2.35–2.86)</w:t>
            </w:r>
          </w:p>
        </w:tc>
        <w:tc>
          <w:tcPr>
            <w:tcW w:w="2232" w:type="dxa"/>
            <w:tcBorders>
              <w:top w:val="single" w:sz="6" w:space="0" w:color="000000"/>
              <w:left w:val="single" w:sz="6" w:space="0" w:color="000000"/>
              <w:bottom w:val="single" w:sz="6" w:space="0" w:color="000000"/>
              <w:right w:val="single" w:sz="6" w:space="0" w:color="000000"/>
            </w:tcBorders>
          </w:tcPr>
          <w:p w14:paraId="0BE00200" w14:textId="77777777" w:rsidR="00266B86" w:rsidRDefault="00960EEA">
            <w:r>
              <w:rPr>
                <w:sz w:val="20"/>
              </w:rPr>
              <w:t>2.39 (2.18–2.63)</w:t>
            </w:r>
          </w:p>
        </w:tc>
        <w:tc>
          <w:tcPr>
            <w:tcW w:w="1224" w:type="dxa"/>
            <w:tcBorders>
              <w:top w:val="single" w:sz="6" w:space="0" w:color="000000"/>
              <w:left w:val="single" w:sz="6" w:space="0" w:color="000000"/>
              <w:bottom w:val="single" w:sz="6" w:space="0" w:color="000000"/>
              <w:right w:val="single" w:sz="6" w:space="0" w:color="000000"/>
            </w:tcBorders>
          </w:tcPr>
          <w:p w14:paraId="2BB976B2" w14:textId="77777777" w:rsidR="00266B86" w:rsidRDefault="00960EEA">
            <w:r>
              <w:rPr>
                <w:sz w:val="20"/>
              </w:rPr>
              <w:t>&lt;0.002</w:t>
            </w:r>
          </w:p>
        </w:tc>
      </w:tr>
      <w:tr w:rsidR="00266B86" w14:paraId="0079C3D5"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1C197438" w14:textId="77777777" w:rsidR="00266B86" w:rsidRDefault="00960EEA">
            <w:r>
              <w:rPr>
                <w:sz w:val="20"/>
              </w:rPr>
              <w:t>Respiratory mortality (HR)</w:t>
            </w:r>
          </w:p>
        </w:tc>
        <w:tc>
          <w:tcPr>
            <w:tcW w:w="1584" w:type="dxa"/>
            <w:tcBorders>
              <w:top w:val="single" w:sz="6" w:space="0" w:color="000000"/>
              <w:left w:val="single" w:sz="6" w:space="0" w:color="000000"/>
              <w:bottom w:val="single" w:sz="6" w:space="0" w:color="000000"/>
              <w:right w:val="single" w:sz="6" w:space="0" w:color="000000"/>
            </w:tcBorders>
          </w:tcPr>
          <w:p w14:paraId="178C37ED" w14:textId="77777777" w:rsidR="00266B86" w:rsidRDefault="00960EEA">
            <w:r>
              <w:rPr>
                <w:sz w:val="20"/>
              </w:rPr>
              <w:t>COPD minor pathway</w:t>
            </w:r>
          </w:p>
        </w:tc>
        <w:tc>
          <w:tcPr>
            <w:tcW w:w="2232" w:type="dxa"/>
            <w:tcBorders>
              <w:top w:val="single" w:sz="6" w:space="0" w:color="000000"/>
              <w:left w:val="single" w:sz="6" w:space="0" w:color="000000"/>
              <w:bottom w:val="single" w:sz="6" w:space="0" w:color="000000"/>
              <w:right w:val="single" w:sz="6" w:space="0" w:color="000000"/>
            </w:tcBorders>
          </w:tcPr>
          <w:p w14:paraId="794A3FAF" w14:textId="77777777" w:rsidR="00266B86" w:rsidRDefault="00960EEA">
            <w:r>
              <w:rPr>
                <w:sz w:val="20"/>
              </w:rPr>
              <w:t>4.80 (2.14–10.76)</w:t>
            </w:r>
          </w:p>
        </w:tc>
        <w:tc>
          <w:tcPr>
            <w:tcW w:w="2232" w:type="dxa"/>
            <w:tcBorders>
              <w:top w:val="single" w:sz="6" w:space="0" w:color="000000"/>
              <w:left w:val="single" w:sz="6" w:space="0" w:color="000000"/>
              <w:bottom w:val="single" w:sz="6" w:space="0" w:color="000000"/>
              <w:right w:val="single" w:sz="6" w:space="0" w:color="000000"/>
            </w:tcBorders>
          </w:tcPr>
          <w:p w14:paraId="307A0C72" w14:textId="77777777" w:rsidR="00266B86" w:rsidRDefault="00960EEA">
            <w:r>
              <w:rPr>
                <w:sz w:val="20"/>
              </w:rPr>
              <w:t>5.68 (2.43–13.32)</w:t>
            </w:r>
          </w:p>
        </w:tc>
        <w:tc>
          <w:tcPr>
            <w:tcW w:w="1224" w:type="dxa"/>
            <w:tcBorders>
              <w:top w:val="single" w:sz="6" w:space="0" w:color="000000"/>
              <w:left w:val="single" w:sz="6" w:space="0" w:color="000000"/>
              <w:bottom w:val="single" w:sz="6" w:space="0" w:color="000000"/>
              <w:right w:val="single" w:sz="6" w:space="0" w:color="000000"/>
            </w:tcBorders>
          </w:tcPr>
          <w:p w14:paraId="553C2C3B" w14:textId="77777777" w:rsidR="00266B86" w:rsidRDefault="00960EEA">
            <w:r>
              <w:rPr>
                <w:sz w:val="20"/>
              </w:rPr>
              <w:t>0.70</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584EC7ED" w14:textId="77777777" w:rsidR="00266B86" w:rsidRDefault="00960EEA">
            <w:r>
              <w:rPr>
                <w:sz w:val="20"/>
              </w:rPr>
              <w:t>COPD major pathway</w:t>
            </w:r>
          </w:p>
        </w:tc>
        <w:tc>
          <w:tcPr>
            <w:tcW w:w="2232" w:type="dxa"/>
            <w:tcBorders>
              <w:top w:val="single" w:sz="6" w:space="0" w:color="000000"/>
              <w:left w:val="single" w:sz="6" w:space="0" w:color="000000"/>
              <w:bottom w:val="single" w:sz="6" w:space="0" w:color="000000"/>
              <w:right w:val="single" w:sz="6" w:space="0" w:color="000000"/>
            </w:tcBorders>
          </w:tcPr>
          <w:p w14:paraId="6158A676" w14:textId="77777777" w:rsidR="00266B86" w:rsidRDefault="00960EEA">
            <w:r>
              <w:rPr>
                <w:sz w:val="20"/>
              </w:rPr>
              <w:t>36.27 (20.85–63.07)</w:t>
            </w:r>
          </w:p>
        </w:tc>
        <w:tc>
          <w:tcPr>
            <w:tcW w:w="2232" w:type="dxa"/>
            <w:tcBorders>
              <w:top w:val="single" w:sz="6" w:space="0" w:color="000000"/>
              <w:left w:val="single" w:sz="6" w:space="0" w:color="000000"/>
              <w:bottom w:val="single" w:sz="6" w:space="0" w:color="000000"/>
              <w:right w:val="single" w:sz="6" w:space="0" w:color="000000"/>
            </w:tcBorders>
          </w:tcPr>
          <w:p w14:paraId="20F6F521" w14:textId="77777777" w:rsidR="00266B86" w:rsidRDefault="00960EEA">
            <w:r>
              <w:rPr>
                <w:sz w:val="20"/>
              </w:rPr>
              <w:t>30.95 (18.76–51.06)</w:t>
            </w:r>
          </w:p>
        </w:tc>
        <w:tc>
          <w:tcPr>
            <w:tcW w:w="1224" w:type="dxa"/>
            <w:tcBorders>
              <w:top w:val="single" w:sz="6" w:space="0" w:color="000000"/>
              <w:left w:val="single" w:sz="6" w:space="0" w:color="000000"/>
              <w:bottom w:val="single" w:sz="6" w:space="0" w:color="000000"/>
              <w:right w:val="single" w:sz="6" w:space="0" w:color="000000"/>
            </w:tcBorders>
          </w:tcPr>
          <w:p w14:paraId="3D26BAEC" w14:textId="77777777" w:rsidR="00266B86" w:rsidRDefault="00960EEA">
            <w:r>
              <w:rPr>
                <w:sz w:val="20"/>
              </w:rPr>
              <w:t>0.29</w:t>
            </w:r>
          </w:p>
        </w:tc>
      </w:tr>
      <w:tr w:rsidR="00266B86" w14:paraId="40EBE454" w14:textId="77777777">
        <w:trPr>
          <w:jc w:val="center"/>
        </w:trPr>
        <w:tc>
          <w:tcPr>
            <w:tcW w:w="2088" w:type="dxa"/>
            <w:vMerge w:val="restart"/>
            <w:tcBorders>
              <w:top w:val="single" w:sz="6" w:space="0" w:color="000000"/>
              <w:left w:val="single" w:sz="6" w:space="0" w:color="000000"/>
              <w:bottom w:val="nil"/>
              <w:right w:val="single" w:sz="6" w:space="0" w:color="000000"/>
            </w:tcBorders>
          </w:tcPr>
          <w:p w14:paraId="00F30776" w14:textId="77777777" w:rsidR="00266B86" w:rsidRDefault="00960EEA">
            <w:r>
              <w:rPr>
                <w:sz w:val="20"/>
              </w:rPr>
              <w:t>Exacerbations (IRR)</w:t>
            </w:r>
          </w:p>
        </w:tc>
        <w:tc>
          <w:tcPr>
            <w:tcW w:w="1584" w:type="dxa"/>
            <w:tcBorders>
              <w:top w:val="single" w:sz="6" w:space="0" w:color="000000"/>
              <w:left w:val="single" w:sz="6" w:space="0" w:color="000000"/>
              <w:bottom w:val="single" w:sz="6" w:space="0" w:color="000000"/>
              <w:right w:val="single" w:sz="6" w:space="0" w:color="000000"/>
            </w:tcBorders>
          </w:tcPr>
          <w:p w14:paraId="0671FB49" w14:textId="77777777" w:rsidR="00266B86" w:rsidRDefault="00960EEA">
            <w:r>
              <w:rPr>
                <w:sz w:val="20"/>
              </w:rPr>
              <w:t>COPD minor pathway</w:t>
            </w:r>
          </w:p>
        </w:tc>
        <w:tc>
          <w:tcPr>
            <w:tcW w:w="2232" w:type="dxa"/>
            <w:tcBorders>
              <w:top w:val="single" w:sz="6" w:space="0" w:color="000000"/>
              <w:left w:val="single" w:sz="6" w:space="0" w:color="000000"/>
              <w:bottom w:val="single" w:sz="6" w:space="0" w:color="000000"/>
              <w:right w:val="single" w:sz="6" w:space="0" w:color="000000"/>
            </w:tcBorders>
          </w:tcPr>
          <w:p w14:paraId="5DC1C296" w14:textId="77777777" w:rsidR="00266B86" w:rsidRDefault="00960EEA">
            <w:r>
              <w:rPr>
                <w:sz w:val="20"/>
              </w:rPr>
              <w:t>2.72 (2.36–3.14)</w:t>
            </w:r>
          </w:p>
        </w:tc>
        <w:tc>
          <w:tcPr>
            <w:tcW w:w="2232" w:type="dxa"/>
            <w:tcBorders>
              <w:top w:val="single" w:sz="6" w:space="0" w:color="000000"/>
              <w:left w:val="single" w:sz="6" w:space="0" w:color="000000"/>
              <w:bottom w:val="single" w:sz="6" w:space="0" w:color="000000"/>
              <w:right w:val="single" w:sz="6" w:space="0" w:color="000000"/>
            </w:tcBorders>
          </w:tcPr>
          <w:p w14:paraId="6D52DA21" w14:textId="77777777" w:rsidR="00266B86" w:rsidRDefault="00960EEA">
            <w:r>
              <w:rPr>
                <w:sz w:val="20"/>
              </w:rPr>
              <w:t>2.77 (2.33–3.30)</w:t>
            </w:r>
          </w:p>
        </w:tc>
        <w:tc>
          <w:tcPr>
            <w:tcW w:w="1224" w:type="dxa"/>
            <w:tcBorders>
              <w:top w:val="single" w:sz="6" w:space="0" w:color="000000"/>
              <w:left w:val="single" w:sz="6" w:space="0" w:color="000000"/>
              <w:bottom w:val="single" w:sz="6" w:space="0" w:color="000000"/>
              <w:right w:val="single" w:sz="6" w:space="0" w:color="000000"/>
            </w:tcBorders>
          </w:tcPr>
          <w:p w14:paraId="1E872039" w14:textId="77777777" w:rsidR="00266B86" w:rsidRDefault="00960EEA">
            <w:r>
              <w:rPr>
                <w:sz w:val="20"/>
              </w:rPr>
              <w:t>0.80</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584" w:type="dxa"/>
            <w:tcBorders>
              <w:top w:val="single" w:sz="6" w:space="0" w:color="000000"/>
              <w:left w:val="single" w:sz="6" w:space="0" w:color="000000"/>
              <w:bottom w:val="single" w:sz="6" w:space="0" w:color="000000"/>
              <w:right w:val="single" w:sz="6" w:space="0" w:color="000000"/>
            </w:tcBorders>
          </w:tcPr>
          <w:p w14:paraId="74AD9DCF" w14:textId="77777777" w:rsidR="00266B86" w:rsidRDefault="00960EEA">
            <w:r>
              <w:rPr>
                <w:sz w:val="20"/>
              </w:rPr>
              <w:t>COPD major pathway</w:t>
            </w:r>
          </w:p>
        </w:tc>
        <w:tc>
          <w:tcPr>
            <w:tcW w:w="2232" w:type="dxa"/>
            <w:tcBorders>
              <w:top w:val="single" w:sz="6" w:space="0" w:color="000000"/>
              <w:left w:val="single" w:sz="6" w:space="0" w:color="000000"/>
              <w:bottom w:val="single" w:sz="6" w:space="0" w:color="000000"/>
              <w:right w:val="single" w:sz="6" w:space="0" w:color="000000"/>
            </w:tcBorders>
          </w:tcPr>
          <w:p w14:paraId="438BFB25" w14:textId="77777777" w:rsidR="00266B86" w:rsidRDefault="00960EEA">
            <w:r>
              <w:rPr>
                <w:sz w:val="20"/>
              </w:rPr>
              <w:t>5.05 (4.59–5.56)</w:t>
            </w:r>
          </w:p>
        </w:tc>
        <w:tc>
          <w:tcPr>
            <w:tcW w:w="2232" w:type="dxa"/>
            <w:tcBorders>
              <w:top w:val="single" w:sz="6" w:space="0" w:color="000000"/>
              <w:left w:val="single" w:sz="6" w:space="0" w:color="000000"/>
              <w:bottom w:val="single" w:sz="6" w:space="0" w:color="000000"/>
              <w:right w:val="single" w:sz="6" w:space="0" w:color="000000"/>
            </w:tcBorders>
          </w:tcPr>
          <w:p w14:paraId="6C2E9853" w14:textId="77777777" w:rsidR="00266B86" w:rsidRDefault="00960EEA">
            <w:r>
              <w:rPr>
                <w:sz w:val="20"/>
              </w:rPr>
              <w:t>4.47 (4.07–4.90)</w:t>
            </w:r>
          </w:p>
        </w:tc>
        <w:tc>
          <w:tcPr>
            <w:tcW w:w="1224" w:type="dxa"/>
            <w:tcBorders>
              <w:top w:val="single" w:sz="6" w:space="0" w:color="000000"/>
              <w:left w:val="single" w:sz="6" w:space="0" w:color="000000"/>
              <w:bottom w:val="single" w:sz="6" w:space="0" w:color="000000"/>
              <w:right w:val="single" w:sz="6" w:space="0" w:color="000000"/>
            </w:tcBorders>
          </w:tcPr>
          <w:p w14:paraId="529698D8" w14:textId="77777777" w:rsidR="00266B86" w:rsidRDefault="00960EEA">
            <w:r>
              <w:rPr>
                <w:sz w:val="20"/>
              </w:rPr>
              <w:t>&lt;0.002</w:t>
            </w:r>
          </w:p>
        </w:tc>
      </w:tr>
    </w:tbl>
    <w:p w14:paraId="205F4BF5" w14:textId="089642C5" w:rsidR="00266B86" w:rsidRPr="006741AD" w:rsidRDefault="00960EEA">
      <w:pPr>
        <w:rPr>
          <w:bCs/>
        </w:rPr>
      </w:pPr>
      <w:bookmarkStart w:id="1" w:name="tbl_1"/>
      <w:bookmarkEnd w:id="1"/>
      <w:r>
        <w:rPr>
          <w:b/>
          <w:sz w:val="20"/>
        </w:rPr>
        <w:t xml:space="preserve">Table 1. Associations of MD-COPD diagnostic categories with mortality and exacerbation outcomes under the CT-based and ESI-based frameworks. </w:t>
      </w:r>
      <w:r w:rsidRPr="006741AD">
        <w:rPr>
          <w:bCs/>
          <w:sz w:val="20"/>
        </w:rPr>
        <w:t xml:space="preserve">Cox proportional hazards (mortality) and negative binomial (exacerbations) models estimate the hazard ratio (HR) or incidence-rate ratio (IRR) for each MD-COPD category relative to the </w:t>
      </w:r>
      <w:proofErr w:type="spellStart"/>
      <w:r w:rsidRPr="006741AD">
        <w:rPr>
          <w:bCs/>
          <w:sz w:val="20"/>
        </w:rPr>
        <w:t>noCOPD</w:t>
      </w:r>
      <w:proofErr w:type="spellEnd"/>
      <w:r w:rsidRPr="006741AD">
        <w:rPr>
          <w:bCs/>
          <w:sz w:val="20"/>
        </w:rPr>
        <w:t xml:space="preserve"> reference. Adjustment covariates are age, sex, race, current smoking status, pack-years, and body mass index; 95% confidence intervals are shown. The CT vs ESI column reports a </w:t>
      </w:r>
      <w:r w:rsidR="00D02B1C" w:rsidRPr="006741AD">
        <w:rPr>
          <w:bCs/>
          <w:sz w:val="20"/>
        </w:rPr>
        <w:t>two-sided</w:t>
      </w:r>
      <w:r w:rsidRPr="006741AD">
        <w:rPr>
          <w:bCs/>
          <w:sz w:val="20"/>
        </w:rPr>
        <w:t xml:space="preserve"> p-value for the difference in effect estimate between the CT-based and ESI-based framework fits for the same category (see Methods). Per category effect difference details are reported in Supplemental Table 2. Category sizes under the CT-based framework are noCOPD n = 4,203, AFL-only-noCOPD n = 170, COPD minor pathway n = 1,086, and COPD major pathway n = 3,943; the ESI-based categories contain different participants, and the full cross-classification is shown in Figure 1B. The AFL-only-</w:t>
      </w:r>
      <w:proofErr w:type="spellStart"/>
      <w:r w:rsidRPr="006741AD">
        <w:rPr>
          <w:bCs/>
          <w:sz w:val="20"/>
        </w:rPr>
        <w:t>noCOPD</w:t>
      </w:r>
      <w:proofErr w:type="spellEnd"/>
      <w:r w:rsidRPr="006741AD">
        <w:rPr>
          <w:bCs/>
          <w:sz w:val="20"/>
        </w:rPr>
        <w:t xml:space="preserve"> category was omitted from this display because it was not significantly associated with any of the three outcomes. Abbreviations: CT, computed tomography; ESI, Emphysema Severity Index; HR, hazard ratio; IRR, incidence-rate ratio; CI, confidence interval; BMI, body mass index; AFL, airflow limitation; COPD, chronic obstructive pulmonary disease.</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14:paraId="3085B729" w14:textId="77777777" w:rsidR="00DD5950" w:rsidRDefault="00960EEA">
            <w:r>
              <w:rPr>
                <w:b/>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14:paraId="1CDDD2D8" w14:textId="77777777" w:rsidR="00DD5950" w:rsidRDefault="00960EEA">
            <w:r>
              <w:rPr>
                <w:b/>
              </w:rPr>
              <w:t>All-cause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04EE5761" w14:textId="77777777" w:rsidR="00DD5950" w:rsidRDefault="00960EEA">
            <w:r>
              <w:rPr>
                <w:b/>
              </w:rPr>
              <w:t>Respiratory mortality HR (95% CI)</w:t>
            </w:r>
          </w:p>
        </w:tc>
        <w:tc>
          <w:tcPr>
            <w:tcW w:w="2304" w:type="dxa"/>
            <w:tcBorders>
              <w:top w:val="single" w:sz="6" w:space="0" w:color="000000"/>
              <w:left w:val="single" w:sz="6" w:space="0" w:color="000000"/>
              <w:bottom w:val="single" w:sz="6" w:space="0" w:color="000000"/>
              <w:right w:val="single" w:sz="6" w:space="0" w:color="000000"/>
            </w:tcBorders>
            <w:vAlign w:val="center"/>
          </w:tcPr>
          <w:p w14:paraId="469ACC7A" w14:textId="77777777" w:rsidR="00DD5950" w:rsidRDefault="00960EEA">
            <w:r>
              <w:rPr>
                <w:b/>
              </w:rPr>
              <w:t>Exacerbation IRR (95% CI)</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7DF0FAF4" w14:textId="77777777" w:rsidR="00DD5950" w:rsidRDefault="00960EEA">
            <w:r>
              <w:rPr>
                <w:sz w:val="20"/>
              </w:rPr>
              <w:t>Both-</w:t>
            </w:r>
            <w:proofErr w:type="spellStart"/>
            <w:r>
              <w:rPr>
                <w:sz w:val="20"/>
              </w:rPr>
              <w:t>noCOPD</w:t>
            </w:r>
            <w:proofErr w:type="spellEnd"/>
          </w:p>
        </w:tc>
        <w:tc>
          <w:tcPr>
            <w:tcW w:w="2304" w:type="dxa"/>
            <w:tcBorders>
              <w:top w:val="single" w:sz="6" w:space="0" w:color="000000"/>
              <w:left w:val="single" w:sz="6" w:space="0" w:color="000000"/>
              <w:bottom w:val="single" w:sz="6" w:space="0" w:color="000000"/>
              <w:right w:val="single" w:sz="6" w:space="0" w:color="000000"/>
            </w:tcBorders>
          </w:tcPr>
          <w:p w14:paraId="29AADAC1"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1A96D976" w14:textId="77777777" w:rsidR="00DD5950" w:rsidRDefault="00960EEA">
            <w:r>
              <w:rPr>
                <w:sz w:val="20"/>
              </w:rPr>
              <w:t>Reference</w:t>
            </w:r>
          </w:p>
        </w:tc>
        <w:tc>
          <w:tcPr>
            <w:tcW w:w="2304" w:type="dxa"/>
            <w:tcBorders>
              <w:top w:val="single" w:sz="6" w:space="0" w:color="000000"/>
              <w:left w:val="single" w:sz="6" w:space="0" w:color="000000"/>
              <w:bottom w:val="single" w:sz="6" w:space="0" w:color="000000"/>
              <w:right w:val="single" w:sz="6" w:space="0" w:color="000000"/>
            </w:tcBorders>
          </w:tcPr>
          <w:p w14:paraId="282131F3" w14:textId="77777777" w:rsidR="00DD5950" w:rsidRDefault="00960EEA">
            <w:r>
              <w:rPr>
                <w:sz w:val="20"/>
              </w:rPr>
              <w:t>Reference</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9F30D7" w14:textId="77777777" w:rsidR="00DD5950" w:rsidRDefault="00960EEA">
            <w:r>
              <w:rPr>
                <w:sz w:val="20"/>
              </w:rPr>
              <w:t>CT-only-COPD</w:t>
            </w:r>
          </w:p>
        </w:tc>
        <w:tc>
          <w:tcPr>
            <w:tcW w:w="2304" w:type="dxa"/>
            <w:tcBorders>
              <w:top w:val="single" w:sz="6" w:space="0" w:color="000000"/>
              <w:left w:val="single" w:sz="6" w:space="0" w:color="000000"/>
              <w:bottom w:val="single" w:sz="6" w:space="0" w:color="000000"/>
              <w:right w:val="single" w:sz="6" w:space="0" w:color="000000"/>
            </w:tcBorders>
          </w:tcPr>
          <w:p w14:paraId="3A7A52F9" w14:textId="77777777" w:rsidR="00DD5950" w:rsidRDefault="00960EEA">
            <w:r>
              <w:rPr>
                <w:sz w:val="20"/>
              </w:rPr>
              <w:t>1.53 (1.25–1.88)ᵃ</w:t>
            </w:r>
          </w:p>
        </w:tc>
        <w:tc>
          <w:tcPr>
            <w:tcW w:w="2304" w:type="dxa"/>
            <w:tcBorders>
              <w:top w:val="single" w:sz="6" w:space="0" w:color="000000"/>
              <w:left w:val="single" w:sz="6" w:space="0" w:color="000000"/>
              <w:bottom w:val="single" w:sz="6" w:space="0" w:color="000000"/>
              <w:right w:val="single" w:sz="6" w:space="0" w:color="000000"/>
            </w:tcBorders>
          </w:tcPr>
          <w:p w14:paraId="01CE0037" w14:textId="77777777" w:rsidR="00DD5950" w:rsidRDefault="00960EEA">
            <w:r>
              <w:rPr>
                <w:sz w:val="20"/>
              </w:rPr>
              <w:t>2.90 (0.91–9.28)ᵃ</w:t>
            </w:r>
          </w:p>
        </w:tc>
        <w:tc>
          <w:tcPr>
            <w:tcW w:w="2304" w:type="dxa"/>
            <w:tcBorders>
              <w:top w:val="single" w:sz="6" w:space="0" w:color="000000"/>
              <w:left w:val="single" w:sz="6" w:space="0" w:color="000000"/>
              <w:bottom w:val="single" w:sz="6" w:space="0" w:color="000000"/>
              <w:right w:val="single" w:sz="6" w:space="0" w:color="000000"/>
            </w:tcBorders>
          </w:tcPr>
          <w:p w14:paraId="56EAE4B8" w14:textId="77777777" w:rsidR="00DD5950" w:rsidRDefault="00960EEA">
            <w:r>
              <w:rPr>
                <w:sz w:val="20"/>
              </w:rPr>
              <w:t>2.00 (1.60–2.51)ᵃ</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3D184854" w14:textId="77777777" w:rsidR="00DD5950" w:rsidRDefault="00960EEA">
            <w:r>
              <w:rPr>
                <w:sz w:val="20"/>
              </w:rPr>
              <w:t>ESI-only-COPD</w:t>
            </w:r>
          </w:p>
        </w:tc>
        <w:tc>
          <w:tcPr>
            <w:tcW w:w="2304" w:type="dxa"/>
            <w:tcBorders>
              <w:top w:val="single" w:sz="6" w:space="0" w:color="000000"/>
              <w:left w:val="single" w:sz="6" w:space="0" w:color="000000"/>
              <w:bottom w:val="single" w:sz="6" w:space="0" w:color="000000"/>
              <w:right w:val="single" w:sz="6" w:space="0" w:color="000000"/>
            </w:tcBorders>
          </w:tcPr>
          <w:p w14:paraId="560B79EC" w14:textId="77777777" w:rsidR="00DD5950" w:rsidRDefault="00960EEA">
            <w:r>
              <w:rPr>
                <w:sz w:val="20"/>
              </w:rPr>
              <w:t>1.26 (0.76–2.07)ᵃ</w:t>
            </w:r>
          </w:p>
        </w:tc>
        <w:tc>
          <w:tcPr>
            <w:tcW w:w="2304" w:type="dxa"/>
            <w:tcBorders>
              <w:top w:val="single" w:sz="6" w:space="0" w:color="000000"/>
              <w:left w:val="single" w:sz="6" w:space="0" w:color="000000"/>
              <w:bottom w:val="single" w:sz="6" w:space="0" w:color="000000"/>
              <w:right w:val="single" w:sz="6" w:space="0" w:color="000000"/>
            </w:tcBorders>
          </w:tcPr>
          <w:p w14:paraId="11512A7B" w14:textId="77777777" w:rsidR="00DD5950" w:rsidRDefault="00960EEA">
            <w:r>
              <w:rPr>
                <w:sz w:val="20"/>
              </w:rPr>
              <w:t>4.86 (0.62–38.02)ᵃ</w:t>
            </w:r>
          </w:p>
        </w:tc>
        <w:tc>
          <w:tcPr>
            <w:tcW w:w="2304" w:type="dxa"/>
            <w:tcBorders>
              <w:top w:val="single" w:sz="6" w:space="0" w:color="000000"/>
              <w:left w:val="single" w:sz="6" w:space="0" w:color="000000"/>
              <w:bottom w:val="single" w:sz="6" w:space="0" w:color="000000"/>
              <w:right w:val="single" w:sz="6" w:space="0" w:color="000000"/>
            </w:tcBorders>
          </w:tcPr>
          <w:p w14:paraId="71D758B1" w14:textId="77777777" w:rsidR="00DD5950" w:rsidRDefault="00960EEA">
            <w:r>
              <w:rPr>
                <w:sz w:val="20"/>
              </w:rPr>
              <w:t>1.62 (0.97–2.68)ᵃ</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14:paraId="5C662CDE" w14:textId="77777777" w:rsidR="00DD5950" w:rsidRDefault="00960EEA">
            <w:r>
              <w:rPr>
                <w:sz w:val="20"/>
              </w:rPr>
              <w:t>Both-COPD</w:t>
            </w:r>
          </w:p>
        </w:tc>
        <w:tc>
          <w:tcPr>
            <w:tcW w:w="2304" w:type="dxa"/>
            <w:tcBorders>
              <w:top w:val="single" w:sz="6" w:space="0" w:color="000000"/>
              <w:left w:val="single" w:sz="6" w:space="0" w:color="000000"/>
              <w:bottom w:val="single" w:sz="6" w:space="0" w:color="000000"/>
              <w:right w:val="single" w:sz="6" w:space="0" w:color="000000"/>
            </w:tcBorders>
          </w:tcPr>
          <w:p w14:paraId="2442257A" w14:textId="77777777" w:rsidR="00DD5950" w:rsidRDefault="00960EEA">
            <w:r>
              <w:rPr>
                <w:sz w:val="20"/>
              </w:rPr>
              <w:t>2.02 (1.66–2.46)ᵃ</w:t>
            </w:r>
          </w:p>
        </w:tc>
        <w:tc>
          <w:tcPr>
            <w:tcW w:w="2304" w:type="dxa"/>
            <w:tcBorders>
              <w:top w:val="single" w:sz="6" w:space="0" w:color="000000"/>
              <w:left w:val="single" w:sz="6" w:space="0" w:color="000000"/>
              <w:bottom w:val="single" w:sz="6" w:space="0" w:color="000000"/>
              <w:right w:val="single" w:sz="6" w:space="0" w:color="000000"/>
            </w:tcBorders>
          </w:tcPr>
          <w:p w14:paraId="18A4885F" w14:textId="77777777" w:rsidR="00DD5950" w:rsidRDefault="00960EEA">
            <w:r>
              <w:rPr>
                <w:sz w:val="20"/>
              </w:rPr>
              <w:t>6.10 (2.19–16.96)ᵃ</w:t>
            </w:r>
          </w:p>
        </w:tc>
        <w:tc>
          <w:tcPr>
            <w:tcW w:w="2304" w:type="dxa"/>
            <w:tcBorders>
              <w:top w:val="single" w:sz="6" w:space="0" w:color="000000"/>
              <w:left w:val="single" w:sz="6" w:space="0" w:color="000000"/>
              <w:bottom w:val="single" w:sz="6" w:space="0" w:color="000000"/>
              <w:right w:val="single" w:sz="6" w:space="0" w:color="000000"/>
            </w:tcBorders>
          </w:tcPr>
          <w:p w14:paraId="7B107030" w14:textId="77777777" w:rsidR="00DD5950" w:rsidRDefault="00960EEA">
            <w:r>
              <w:rPr>
                <w:sz w:val="20"/>
              </w:rPr>
              <w:t>3.15 (2.52–3.93)ᵇ</w:t>
            </w:r>
          </w:p>
        </w:tc>
      </w:tr>
    </w:tbl>
    <w:p w14:paraId="403A0647" w14:textId="355392C6" w:rsidR="00DD5950" w:rsidRDefault="00960EEA">
      <w:bookmarkStart w:id="2" w:name="tbl_2"/>
      <w:bookmarkEnd w:id="2"/>
      <w:r>
        <w:rPr>
          <w:b/>
          <w:sz w:val="20"/>
        </w:rPr>
        <w:t xml:space="preserve">Table 2. Mortality and exacerbation outcomes across the four cross-classification groups defined by CT-based and ESI-based COPD status. </w:t>
      </w:r>
      <w:r w:rsidRPr="00703A1C">
        <w:rPr>
          <w:bCs/>
          <w:sz w:val="20"/>
        </w:rPr>
        <w:t>Analyses are restricted to the preserved-spirometry (minor pathway) subgroup, as in Figure 2. Participants meeting the major criterion, including the AFL-only-noCOPD category, are outside this subgroup by definition and are therefore not represented in this table; their outcomes appear in Table 1. Within that subgroup, participants are cross-classified by whether they meet the COPD definition under each framework, yielding four mutually exclusive groups: Both-</w:t>
      </w:r>
      <w:proofErr w:type="spellStart"/>
      <w:r w:rsidRPr="00703A1C">
        <w:rPr>
          <w:bCs/>
          <w:sz w:val="20"/>
        </w:rPr>
        <w:t>noCOPD</w:t>
      </w:r>
      <w:proofErr w:type="spellEnd"/>
      <w:r w:rsidRPr="00703A1C">
        <w:rPr>
          <w:bCs/>
          <w:sz w:val="20"/>
        </w:rPr>
        <w:t xml:space="preserve"> (reference), CT-only-COPD (CT-based only), ESI-only-COPD (ESI-based only), and Both-COPD. Cox proportional hazards models estimate the hazard ratio (HR) for all-cause and respiratory mortality; a negative binomial model estimates the incidence-rate ratio (IRR) for exacerbations. Adjustment covariates are age, sex, race, current smoking status, pack-years, and body mass index. The mortality models were fit on 5,289 participants and the exacerbation model on 4,635. Superscript letters after each estimate encode pairwise significance among the three COPD positive subgroups within each outcome column: within an outcome, groups sharing a letter did not differ significantly (single step adjusted Wald contrasts, </w:t>
      </w:r>
      <w:proofErr w:type="spellStart"/>
      <w:r w:rsidRPr="00703A1C">
        <w:rPr>
          <w:bCs/>
          <w:sz w:val="20"/>
        </w:rPr>
        <w:t>multcomp</w:t>
      </w:r>
      <w:proofErr w:type="spellEnd"/>
      <w:r w:rsidRPr="00703A1C">
        <w:rPr>
          <w:bCs/>
          <w:sz w:val="20"/>
        </w:rPr>
        <w:t xml:space="preserve">; α = 0.05); groups not sharing any letter differed significantly. </w:t>
      </w:r>
      <w:r w:rsidR="00703A1C">
        <w:rPr>
          <w:bCs/>
          <w:sz w:val="20"/>
        </w:rPr>
        <w:t xml:space="preserve">Thus, the only significant difference was the Both-COPD group’s exacerbation IRR, which was significantly higher than both the CT-only (p=0.005) and ESI-only groups (p=0.037). </w:t>
      </w:r>
      <w:r w:rsidRPr="00703A1C">
        <w:rPr>
          <w:bCs/>
          <w:sz w:val="20"/>
        </w:rPr>
        <w:t xml:space="preserve">Full pairwise contrast estimates are reported in Supplemental Table 3. Abbreviations: CT, computed tomography; ESI, Emphysema </w:t>
      </w:r>
      <w:r w:rsidRPr="00703A1C">
        <w:rPr>
          <w:bCs/>
          <w:sz w:val="20"/>
        </w:rPr>
        <w:lastRenderedPageBreak/>
        <w:t>Severity Index; COPD, chronic obstructive pulmonary disease; HR, hazard ratio; IRR, incidence-rate ratio; CI, confidence interval; BMI, body mass index.</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