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pStyle w:val="Heading2"/>
      </w:pPr>
      <w:r>
        <w:rPr>
          <w:rFonts w:ascii="Arial" w:hAnsi="Arial"/>
          <w:b w:val="0"/>
          <w:i w:val="0"/>
          <w:sz w:val="22"/>
        </w:rPr>
        <w:t>COPDGene files used</w:t>
      </w:r>
    </w:p>
    <w:p>
      <w:r>
        <w:rPr>
          <w:rFonts w:ascii="Arial" w:hAnsi="Arial"/>
          <w:b w:val="0"/>
          <w:i w:val="0"/>
          <w:sz w:val="22"/>
        </w:rPr>
        <w:t>Analyses in this manuscript draw on the following COPDGene distribution files.</w:t>
      </w:r>
    </w:p>
    <w:p>
      <w:r>
        <w:rPr>
          <w:rFonts w:ascii="Arial" w:hAnsi="Arial"/>
          <w:b/>
          <w:i w:val="0"/>
          <w:sz w:val="22"/>
        </w:rPr>
        <w:t>COPDGene_VitalStatus_SM_NS_Sep23.csv</w:t>
      </w:r>
      <w:r>
        <w:rPr>
          <w:rFonts w:ascii="Arial" w:hAnsi="Arial"/>
          <w:b w:val="0"/>
          <w:i w:val="0"/>
          <w:sz w:val="22"/>
        </w:rPr>
        <w:t xml:space="preserve"> — vital status and follow-up time, used for all-cause mortality. Overall mortality was ascertained through longitudinal follow-up calls combined with Social Security Death Index searches.</w:t>
      </w:r>
    </w:p>
    <w:p>
      <w:r>
        <w:rPr>
          <w:rFonts w:ascii="Arial" w:hAnsi="Arial"/>
          <w:b/>
          <w:i w:val="0"/>
          <w:sz w:val="22"/>
        </w:rPr>
        <w:t>COPDGene_Mort_COD_Adj.csv</w:t>
      </w:r>
      <w:r>
        <w:rPr>
          <w:rFonts w:ascii="Arial" w:hAnsi="Arial"/>
          <w:b w:val="0"/>
          <w:i w:val="0"/>
          <w:sz w:val="22"/>
        </w:rPr>
        <w:t xml:space="preserve"> — adjudicated underlying cause of death, used for respiratory and cause-specific mortality. Causes were assigned by a pre-specified adjudication process applying a modified version of the Towards a Revolution in COPD Health (TORCH) criteria.</w:t>
      </w:r>
    </w:p>
    <w:p>
      <w:r>
        <w:rPr>
          <w:rFonts w:ascii="Arial" w:hAnsi="Arial"/>
          <w:b/>
          <w:i w:val="0"/>
          <w:sz w:val="22"/>
        </w:rPr>
        <w:t>LFU_SidLevel_Comorbid_SM_30SEP21.txt</w:t>
      </w:r>
      <w:r>
        <w:rPr>
          <w:rFonts w:ascii="Arial" w:hAnsi="Arial"/>
          <w:b w:val="0"/>
          <w:i w:val="0"/>
          <w:sz w:val="22"/>
        </w:rPr>
        <w:t xml:space="preserve"> — the COPDGene Longitudinal Follow-up (LFU) program dataset, used for prospective respiratory exacerbation counts and person-time at risk.</w:t>
      </w:r>
    </w:p>
    <w:p>
      <w:r>
        <w:rPr>
          <w:rFonts w:ascii="Arial" w:hAnsi="Arial"/>
          <w:b/>
          <w:i w:val="0"/>
          <w:sz w:val="22"/>
        </w:rPr>
        <w:t>COPDGene_P1P2P3_SM_NS_Long_Sep24.csv</w:t>
      </w:r>
      <w:r>
        <w:rPr>
          <w:rFonts w:ascii="Arial" w:hAnsi="Arial"/>
          <w:b w:val="0"/>
          <w:i w:val="0"/>
          <w:sz w:val="22"/>
        </w:rPr>
        <w:t xml:space="preserve"> — the main COPD phenotype file in long format, covering the first three study visits over approximately fifteen years, used for baseline characteristics and longitudinal FEV₁ decline.</w:t>
      </w:r>
    </w:p>
    <w:p>
      <w:r>
        <w:rPr>
          <w:rFonts w:ascii="Arial" w:hAnsi="Arial"/>
          <w:b w:val="0"/>
          <w:i w:val="0"/>
          <w:sz w:val="22"/>
        </w:rPr>
        <w:t>Emphysema Severity Index values were computed from the COPDGene spirometric flow-volume curves as described in the main text.</w:t>
      </w:r>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 minor pathway"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 minor pathway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0.453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0.005</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0.667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0.037</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0.214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0.707</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(0.95–1.76)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2.69 (2.33–3.11)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(4.35–5.29)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0.97 (0.63–1.50)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2.75 (2.31–3.28)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4.25 (3.86–4.67)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1.28 (0.94–1.75)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2.72 (2.36–3.14)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5.05 (4.59–5.56)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0.99 (0.82–1.19)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2.84 (2.29–3.51)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4.78 (4.35–5.24)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(0.85–1.96)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3.49 (2.91–4.17)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6.52 (5.76–7.38)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1.27 (0.73–2.22)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3.19 (2.56–3.97)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5.45 (4.84–6.15)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