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Supplemental Material</w:t>
      </w:r>
    </w:p>
    <w:p>
      <w:pPr>
        <w:jc w:val="center"/>
      </w:pPr>
      <w:r>
        <w:rPr>
          <w:rFonts w:ascii="Arial" w:hAnsi="Arial"/>
          <w:i/>
          <w:sz w:val="22"/>
        </w:rPr>
        <w:t>The Emphysema Severity Index: A Spirometric Representation of CT-Defined Structural Abnormalities in a Multidimensional COPD Framework</w:t>
      </w:r>
    </w:p>
    <w:p/>
    <w:p>
      <w:pPr>
        <w:jc w:val="center"/>
      </w:pPr>
      <w:r>
        <w:rPr>
          <w:rFonts w:ascii="Arial" w:hAnsi="Arial"/>
          <w:b/>
          <w:sz w:val="24"/>
        </w:rPr>
        <w:t>Table of Contents</w:t>
      </w:r>
    </w:p>
    <w:p>
      <w:pPr>
        <w:ind w:left="720"/>
      </w:pPr>
      <w:r>
        <w:rPr>
          <w:rFonts w:ascii="Arial" w:hAnsi="Arial"/>
          <w:b/>
          <w:sz w:val="22"/>
        </w:rPr>
        <w:t xml:space="preserve">  ST1  |  </w:t>
      </w:r>
      <w:hyperlink w:anchor="tbl_S1">
        <w:r>
          <w:rPr>
            <w:rFonts w:ascii="Arial" w:hAnsi="Arial" w:cs="Arial"/>
            <w:sz w:val="22"/>
            <w:color w:val="0563C1"/>
            <w:u w:val="single"/>
          </w:rPr>
          <w:t xml:space="preserve">Threshold sensitivity: agreement and diagnostic performance of candidate ESI-based COPD definitions relative to the CT-based reference</w:t>
        </w:r>
      </w:hyperlink>
    </w:p>
    <w:p>
      <w:pPr>
        <w:ind w:left="720"/>
      </w:pPr>
      <w:r>
        <w:rPr>
          <w:rFonts w:ascii="Arial" w:hAnsi="Arial"/>
          <w:b/>
          <w:sz w:val="22"/>
        </w:rPr>
        <w:t xml:space="preserve">  ST2  |  </w:t>
      </w:r>
      <w:hyperlink w:anchor="tbl_S2">
        <w:r>
          <w:rPr>
            <w:rFonts w:ascii="Arial" w:hAnsi="Arial" w:cs="Arial"/>
            <w:sz w:val="22"/>
            <w:color w:val="0563C1"/>
            <w:u w:val="single"/>
          </w:rPr>
          <w:t xml:space="preserve">Paired-bootstrap test of category-level equivalence between frameworks (Δlog-effect), all outcomes</w:t>
        </w:r>
      </w:hyperlink>
    </w:p>
    <w:p>
      <w:pPr>
        <w:ind w:left="720"/>
      </w:pPr>
      <w:r>
        <w:rPr>
          <w:rFonts w:ascii="Arial" w:hAnsi="Arial"/>
          <w:b/>
          <w:sz w:val="22"/>
        </w:rPr>
        <w:t xml:space="preserve">  ST3  |  </w:t>
      </w:r>
      <w:hyperlink w:anchor="tbl_S3">
        <w:r>
          <w:rPr>
            <w:rFonts w:ascii="Arial" w:hAnsi="Arial" w:cs="Arial"/>
            <w:sz w:val="22"/>
            <w:color w:val="0563C1"/>
            <w:u w:val="single"/>
          </w:rPr>
          <w:t xml:space="preserve">Pairwise contrasts among cross-classification groups (Both-COPD, CT-only-COPD, ESI-only-COPD), all outcomes</w:t>
        </w:r>
      </w:hyperlink>
    </w:p>
    <w:p>
      <w:pPr>
        <w:ind w:left="720"/>
      </w:pPr>
      <w:r>
        <w:rPr>
          <w:rFonts w:ascii="Arial" w:hAnsi="Arial"/>
          <w:b/>
          <w:sz w:val="22"/>
        </w:rPr>
        <w:t xml:space="preserve">  ST4  |  </w:t>
      </w:r>
      <w:hyperlink w:anchor="tbl_S4">
        <w:r>
          <w:rPr>
            <w:rFonts w:ascii="Arial" w:hAnsi="Arial" w:cs="Arial"/>
            <w:sz w:val="22"/>
            <w:color w:val="0563C1"/>
            <w:u w:val="single"/>
          </w:rPr>
          <w:t xml:space="preserve">Baseline characteristics of the analytic cohort by GOLD-stage stratum</w:t>
        </w:r>
      </w:hyperlink>
    </w:p>
    <w:p>
      <w:pPr>
        <w:ind w:left="720"/>
      </w:pPr>
      <w:r>
        <w:rPr>
          <w:rFonts w:ascii="Arial" w:hAnsi="Arial"/>
          <w:b/>
          <w:sz w:val="22"/>
        </w:rPr>
        <w:t xml:space="preserve">  ST5  |  </w:t>
      </w:r>
      <w:hyperlink w:anchor="tbl_S5">
        <w:r>
          <w:rPr>
            <w:rFonts w:ascii="Arial" w:hAnsi="Arial" w:cs="Arial"/>
            <w:sz w:val="22"/>
            <w:color w:val="0563C1"/>
            <w:u w:val="single"/>
          </w:rPr>
          <w:t xml:space="preserve">Per-stratum Pearson correlations between ESI and quantitative CT emphysema metrics</w:t>
        </w:r>
      </w:hyperlink>
    </w:p>
    <w:p>
      <w:pPr>
        <w:ind w:left="720"/>
      </w:pPr>
      <w:r>
        <w:rPr>
          <w:rFonts w:ascii="Arial" w:hAnsi="Arial"/>
          <w:b/>
          <w:sz w:val="22"/>
        </w:rPr>
        <w:t xml:space="preserve">  ST6  |  </w:t>
      </w:r>
      <w:hyperlink w:anchor="tbl_S6">
        <w:r>
          <w:rPr>
            <w:rFonts w:ascii="Arial" w:hAnsi="Arial" w:cs="Arial"/>
            <w:sz w:val="22"/>
            <w:color w:val="0563C1"/>
            <w:u w:val="single"/>
          </w:rPr>
          <w:t xml:space="preserve">Cardiovascular-disease-specific mortality by MD-COPD diagnostic category under both frameworks</w:t>
        </w:r>
      </w:hyperlink>
    </w:p>
    <w:p>
      <w:pPr>
        <w:ind w:left="720"/>
      </w:pPr>
      <w:r>
        <w:rPr>
          <w:rFonts w:ascii="Arial" w:hAnsi="Arial"/>
          <w:b/>
          <w:sz w:val="22"/>
        </w:rPr>
        <w:t xml:space="preserve">  ST7  |  </w:t>
      </w:r>
      <w:hyperlink w:anchor="tbl_S7">
        <w:r>
          <w:rPr>
            <w:rFonts w:ascii="Arial" w:hAnsi="Arial" w:cs="Arial"/>
            <w:sz w:val="22"/>
            <w:color w:val="0563C1"/>
            <w:u w:val="single"/>
          </w:rPr>
          <w:t xml:space="preserve">Cancer-specific mortality by MD-COPD diagnostic category under both frameworks</w:t>
        </w:r>
      </w:hyperlink>
    </w:p>
    <w:p>
      <w:pPr>
        <w:ind w:left="720"/>
      </w:pPr>
      <w:r>
        <w:rPr>
          <w:rFonts w:ascii="Arial" w:hAnsi="Arial"/>
          <w:b/>
          <w:sz w:val="22"/>
        </w:rPr>
        <w:t xml:space="preserve">  ST8  |  </w:t>
      </w:r>
      <w:hyperlink w:anchor="tbl_S8">
        <w:r>
          <w:rPr>
            <w:rFonts w:ascii="Arial" w:hAnsi="Arial" w:cs="Arial"/>
            <w:sz w:val="22"/>
            <w:color w:val="0563C1"/>
            <w:u w:val="single"/>
          </w:rPr>
          <w:t xml:space="preserve">Other-cause (non-cardiovascular, non-cancer) mortality by MD-COPD diagnostic category under both frameworks</w:t>
        </w:r>
      </w:hyperlink>
    </w:p>
    <w:p>
      <w:pPr>
        <w:ind w:left="720"/>
      </w:pPr>
      <w:r>
        <w:rPr>
          <w:rFonts w:ascii="Arial" w:hAnsi="Arial"/>
          <w:b/>
          <w:sz w:val="22"/>
        </w:rPr>
        <w:t xml:space="preserve">  ST9  |  </w:t>
      </w:r>
      <w:hyperlink w:anchor="tbl_S9">
        <w:r>
          <w:rPr>
            <w:rFonts w:ascii="Arial" w:hAnsi="Arial" w:cs="Arial"/>
            <w:sz w:val="22"/>
            <w:color w:val="0563C1"/>
            <w:u w:val="single"/>
          </w:rPr>
          <w:t xml:space="preserve">FEV₁ decline (mL/yr) by MD-COPD diagnostic category under both frameworks</w:t>
        </w:r>
      </w:hyperlink>
    </w:p>
    <w:p>
      <w:pPr>
        <w:ind w:left="720"/>
      </w:pPr>
      <w:r>
        <w:rPr>
          <w:rFonts w:ascii="Arial" w:hAnsi="Arial"/>
          <w:b/>
          <w:sz w:val="22"/>
        </w:rPr>
        <w:t xml:space="preserve"> ST10  |  </w:t>
      </w:r>
      <w:hyperlink w:anchor="tbl_S10">
        <w:r>
          <w:rPr>
            <w:rFonts w:ascii="Arial" w:hAnsi="Arial" w:cs="Arial"/>
            <w:sz w:val="22"/>
            <w:color w:val="0563C1"/>
            <w:u w:val="single"/>
          </w:rPr>
          <w:t xml:space="preserve">Discrimination-level equivalence between the CT-based and ESI-based frameworks (C-index, paired TOST)</w:t>
        </w:r>
      </w:hyperlink>
    </w:p>
    <w:p>
      <w:pPr>
        <w:ind w:left="720"/>
      </w:pPr>
      <w:r>
        <w:rPr>
          <w:rFonts w:ascii="Arial" w:hAnsi="Arial"/>
          <w:b/>
          <w:sz w:val="22"/>
        </w:rPr>
        <w:t xml:space="preserve"> ST11  |  </w:t>
      </w:r>
      <w:hyperlink w:anchor="tbl_S11">
        <w:r>
          <w:rPr>
            <w:rFonts w:ascii="Arial" w:hAnsi="Arial" w:cs="Arial"/>
            <w:sz w:val="22"/>
            <w:color w:val="0563C1"/>
            <w:u w:val="single"/>
          </w:rPr>
          <w:t xml:space="preserve">Sensitivity analysis: category-level associations after excluding participants at the ESI ceiling (ESI = 10)</w:t>
        </w:r>
      </w:hyperlink>
    </w:p>
    <w:p>
      <w:pPr>
        <w:ind w:left="720"/>
      </w:pPr>
      <w:r>
        <w:rPr>
          <w:rFonts w:ascii="Arial" w:hAnsi="Arial"/>
          <w:b/>
          <w:sz w:val="22"/>
        </w:rPr>
        <w:t xml:space="preserve"> ST12  |  </w:t>
      </w:r>
      <w:hyperlink w:anchor="tbl_S12">
        <w:r>
          <w:rPr>
            <w:rFonts w:ascii="Arial" w:hAnsi="Arial" w:cs="Arial"/>
            <w:sz w:val="22"/>
            <w:color w:val="0563C1"/>
            <w:u w:val="single"/>
          </w:rPr>
          <w:t xml:space="preserve">Sensitivity analysis: category-level associations under the alternative 4-criterion framework (emphysema criterion replaced)</w:t>
        </w:r>
      </w:hyperlink>
    </w:p>
    <w:p>
      <w:pPr>
        <w:ind w:left="720"/>
      </w:pPr>
      <w:r>
        <w:rPr>
          <w:rFonts w:ascii="Arial" w:hAnsi="Arial"/>
          <w:b/>
          <w:sz w:val="22"/>
        </w:rPr>
        <w:t xml:space="preserve"> ST13  |  </w:t>
      </w:r>
      <w:hyperlink w:anchor="tbl_S13">
        <w:r>
          <w:rPr>
            <w:rFonts w:ascii="Arial" w:hAnsi="Arial" w:cs="Arial"/>
            <w:sz w:val="22"/>
            <w:color w:val="0563C1"/>
            <w:u w:val="single"/>
          </w:rPr>
          <w:t xml:space="preserve">Sensitivity analysis: category-level associations restricted to severe exacerbations only</w:t>
        </w:r>
      </w:hyperlink>
    </w:p>
    <w:p>
      <w:pPr>
        <w:ind w:left="720"/>
      </w:pPr>
      <w:r>
        <w:rPr>
          <w:rFonts w:ascii="Arial" w:hAnsi="Arial"/>
          <w:b/>
          <w:sz w:val="22"/>
        </w:rPr>
        <w:t xml:space="preserve"> ST14  |  </w:t>
      </w:r>
      <w:hyperlink w:anchor="tbl_S14">
        <w:r>
          <w:rPr>
            <w:rFonts w:ascii="Arial" w:hAnsi="Arial" w:cs="Arial"/>
            <w:sz w:val="22"/>
            <w:color w:val="0563C1"/>
            <w:u w:val="single"/>
          </w:rPr>
          <w:t xml:space="preserve">Continuous ESI vs FEV₁/FVC as predictors of mortality and exacerbations, and combined-model likelihood-ratio tests</w:t>
        </w:r>
      </w:hyperlink>
    </w:p>
    <w:p>
      <w:pPr>
        <w:ind w:left="720"/>
      </w:pPr>
      <w:r>
        <w:rPr>
          <w:rFonts w:ascii="Arial" w:hAnsi="Arial"/>
          <w:b/>
          <w:sz w:val="22"/>
        </w:rPr>
        <w:t xml:space="preserve"> ST15  |  </w:t>
      </w:r>
      <w:hyperlink w:anchor="tbl_S15">
        <w:r>
          <w:rPr>
            <w:rFonts w:ascii="Arial" w:hAnsi="Arial" w:cs="Arial"/>
            <w:sz w:val="22"/>
            <w:color w:val="0563C1"/>
            <w:u w:val="single"/>
          </w:rPr>
          <w:t xml:space="preserve">Continuous ESI vs FEV₁/FVC as predictors of FEV₁ decline (mL/yr), stratified by baseline lung-function stratum</w:t>
        </w:r>
      </w:hyperlink>
    </w:p>
    <w:p>
      <w:pPr>
        <w:ind w:left="720"/>
      </w:pPr>
      <w:r>
        <w:rPr>
          <w:rFonts w:ascii="Arial" w:hAnsi="Arial"/>
          <w:b/>
          <w:sz w:val="22"/>
        </w:rPr>
        <w:t xml:space="preserve"> ST16  |  </w:t>
      </w:r>
      <w:hyperlink w:anchor="tbl_S16">
        <w:r>
          <w:rPr>
            <w:rFonts w:ascii="Arial" w:hAnsi="Arial" w:cs="Arial"/>
            <w:sz w:val="22"/>
            <w:color w:val="0563C1"/>
            <w:u w:val="single"/>
          </w:rPr>
          <w:t xml:space="preserve">ESI trajectory by baseline lung-function stratum, follow-up visits 2 and 3</w:t>
        </w:r>
      </w:hyperlink>
    </w:p>
    <w:p>
      <w:pPr>
        <w:ind w:left="720"/>
      </w:pPr>
      <w:r>
        <w:rPr>
          <w:rFonts w:ascii="Arial" w:hAnsi="Arial"/>
          <w:b/>
          <w:sz w:val="22"/>
        </w:rPr>
        <w:t xml:space="preserve"> ST17  |  </w:t>
      </w:r>
      <w:hyperlink w:anchor="tbl_S17">
        <w:r>
          <w:rPr>
            <w:rFonts w:ascii="Arial" w:hAnsi="Arial" w:cs="Arial"/>
            <w:sz w:val="22"/>
            <w:color w:val="0563C1"/>
            <w:u w:val="single"/>
          </w:rPr>
          <w:t xml:space="preserve">ESI stability across paired pre- and post-bronchodilator spirometry</w:t>
        </w:r>
      </w:hyperlink>
    </w:p>
    <w:p/>
    <w:p>
      <w:pPr>
        <w:pStyle w:val="Heading2"/>
      </w:pPr>
      <w:r>
        <w:rPr>
          <w:rFonts w:ascii="Arial" w:hAnsi="Arial"/>
          <w:b w:val="0"/>
          <w:i w:val="0"/>
          <w:sz w:val="22"/>
        </w:rPr>
        <w:t>COPDGene files used</w:t>
      </w:r>
    </w:p>
    <w:p>
      <w:r>
        <w:rPr>
          <w:rFonts w:ascii="Arial" w:hAnsi="Arial"/>
          <w:b w:val="0"/>
          <w:i w:val="0"/>
          <w:sz w:val="22"/>
        </w:rPr>
        <w:t>Analyses in this manuscript draw on the following COPDGene distribution files.</w:t>
      </w:r>
    </w:p>
    <w:p>
      <w:r>
        <w:rPr>
          <w:rFonts w:ascii="Arial" w:hAnsi="Arial"/>
          <w:b/>
          <w:i w:val="0"/>
          <w:sz w:val="22"/>
        </w:rPr>
        <w:t>COPDGene_VitalStatus_SM_NS_Sep23.csv</w:t>
      </w:r>
      <w:r>
        <w:rPr>
          <w:rFonts w:ascii="Arial" w:hAnsi="Arial"/>
          <w:b w:val="0"/>
          <w:i w:val="0"/>
          <w:sz w:val="22"/>
        </w:rPr>
        <w:t xml:space="preserve"> — vital status and follow-up time, used for all-cause mortality. Overall mortality was ascertained through longitudinal follow-up calls combined with Social Security Death Index searches.</w:t>
      </w:r>
    </w:p>
    <w:p>
      <w:r>
        <w:rPr>
          <w:rFonts w:ascii="Arial" w:hAnsi="Arial"/>
          <w:b/>
          <w:i w:val="0"/>
          <w:sz w:val="22"/>
        </w:rPr>
        <w:t>COPDGene_Mort_COD_Adj.csv</w:t>
      </w:r>
      <w:r>
        <w:rPr>
          <w:rFonts w:ascii="Arial" w:hAnsi="Arial"/>
          <w:b w:val="0"/>
          <w:i w:val="0"/>
          <w:sz w:val="22"/>
        </w:rPr>
        <w:t xml:space="preserve"> — adjudicated underlying cause of death, used for respiratory and cause-specific mortality. Causes were assigned by a pre-specified adjudication process applying a modified version of the Towards a Revolution in COPD Health (TORCH) criteria.</w:t>
      </w:r>
    </w:p>
    <w:p>
      <w:r>
        <w:rPr>
          <w:rFonts w:ascii="Arial" w:hAnsi="Arial"/>
          <w:b/>
          <w:i w:val="0"/>
          <w:sz w:val="22"/>
        </w:rPr>
        <w:t>LFU_SidLevel_Comorbid_SM_30SEP21.txt</w:t>
      </w:r>
      <w:r>
        <w:rPr>
          <w:rFonts w:ascii="Arial" w:hAnsi="Arial"/>
          <w:b w:val="0"/>
          <w:i w:val="0"/>
          <w:sz w:val="22"/>
        </w:rPr>
        <w:t xml:space="preserve"> — the COPDGene Longitudinal Follow-up (LFU) program dataset, used for prospective respiratory exacerbation counts and person-time at risk.</w:t>
      </w:r>
    </w:p>
    <w:p>
      <w:r>
        <w:rPr>
          <w:rFonts w:ascii="Arial" w:hAnsi="Arial"/>
          <w:b/>
          <w:i w:val="0"/>
          <w:sz w:val="22"/>
        </w:rPr>
        <w:t>COPDGene_P1P2P3_SM_NS_Long_Sep24.csv</w:t>
      </w:r>
      <w:r>
        <w:rPr>
          <w:rFonts w:ascii="Arial" w:hAnsi="Arial"/>
          <w:b w:val="0"/>
          <w:i w:val="0"/>
          <w:sz w:val="22"/>
        </w:rPr>
        <w:t xml:space="preserve"> — the main COPD phenotype file in long format, covering the first three study visits over approximately fifteen years, used for baseline characteristics and longitudinal FEV₁ decline.</w:t>
      </w:r>
    </w:p>
    <w:p>
      <w:r>
        <w:rPr>
          <w:rFonts w:ascii="Arial" w:hAnsi="Arial"/>
          <w:b w:val="0"/>
          <w:i w:val="0"/>
          <w:sz w:val="22"/>
        </w:rPr>
        <w:t>Emphysema Severity Index values were computed from the COPDGene spirometric flow-volume curves as described in the main text.</w:t>
      </w:r>
    </w:p>
    <w:p>
      <w:pPr>
        <w:sectPr>
          <w:pgSz w:w="12240" w:h="15840"/>
          <w:pgMar w:top="1440" w:right="1440" w:bottom="1440" w:left="1440"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5688" w:type="dxa"/>
        <w:gridCol w:w="864" w:type="dxa"/>
        <w:gridCol w:w="1008" w:type="dxa"/>
        <w:gridCol w:w="1008" w:type="dxa"/>
        <w:gridCol w:w="792" w:type="dxa"/>
        <w:gridCol w:w="864" w:type="dxa"/>
        <w:gridCol w:w="1008" w:type="dxa"/>
        <w:gridCol w:w="1008" w:type="dxa"/>
        <w:gridCol w:w="792" w:type="dxa"/>
        <w:gridCol w:w="1368" w:type="dxa"/>
      </w:tblGrid>
      <w:tr>
        <w:trPr>
          <w:cantSplit/>
          <w:tblHeader/>
        </w:trPr>
        <w:tc>
          <w:tcPr>
            <w:tcW w:type="dxa" w:w="5688"/>
            <w:vAlign w:val="center"/>
            <w:tcBorders>
              <w:top w:val="single" w:sz="6" w:color="000000"/>
              <w:left w:val="single" w:sz="6" w:color="000000"/>
              <w:bottom w:val="single" w:sz="6" w:color="000000"/>
              <w:right w:val="single" w:sz="6" w:color="000000"/>
            </w:tcBorders>
          </w:tcPr>
          <w:p>
            <w:pPr>
              <w:keepNext/>
            </w:pPr>
            <w:r/>
            <w:r>
              <w:rPr>
                <w:rFonts w:ascii="Arial" w:hAnsi="Arial"/>
                <w:b/>
                <w:sz w:val="22"/>
              </w:rPr>
              <w:t>Variant</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N</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sens.</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spec.</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κ</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N</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sens.</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spec.</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κ</w:t>
            </w:r>
          </w:p>
        </w:tc>
        <w:tc>
          <w:tcPr>
            <w:tcW w:type="dxa" w:w="1368"/>
            <w:vAlign w:val="center"/>
            <w:tcBorders>
              <w:top w:val="single" w:sz="6" w:color="000000"/>
              <w:left w:val="single" w:sz="6" w:color="000000"/>
              <w:bottom w:val="single" w:sz="6" w:color="000000"/>
              <w:right w:val="single" w:sz="6" w:color="000000"/>
            </w:tcBorders>
          </w:tcPr>
          <w:p>
            <w:pPr>
              <w:keepNext/>
            </w:pPr>
            <w:r/>
            <w:r>
              <w:rPr>
                <w:rFonts w:ascii="Arial" w:hAnsi="Arial"/>
                <w:b/>
                <w:sz w:val="22"/>
              </w:rPr>
              <w:t>Selected</w:t>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1.0,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5572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0.846</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0.827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1119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0.855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0.837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1.5,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4912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0.892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0.902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0.793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991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0.897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0.912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0.807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2.0,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4624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0.847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0.917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0.759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939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0.851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0.917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0.763</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2.5,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4521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0.829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0.920</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0.743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908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0.825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0.922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0.739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1.5, threshold ≥3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3954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0.985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0.747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802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0.781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0.994</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0.760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2.0, threshold ≥3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3669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0.707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750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0.733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0.998</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0.713</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0.5, ESI cutoff high = 2.0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5408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0.884</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0.863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1094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0.890</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0.875</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1.0, ESI cutoff high = 2.5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4671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0.880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0.944</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0.821</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950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0.883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0.943</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0.821</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1.5, ESI cutoff high = 3.0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3957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0.985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0.746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803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0.781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0.993</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0.759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2.0, ESI cutoff high = 3.5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3671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0.706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751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0.733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0.712</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bl>
    <w:p>
      <w:pPr>
        <w:keepNext/>
      </w:pPr>
    </w:p>
    <w:p>
      <w:pPr>
        <w:keepLines/>
      </w:pPr>
      <w:bookmarkStart w:id="1" w:name="tbl_S1"/>
      <w:bookmarkEnd w:id="1"/>
      <w:r>
        <w:rPr>
          <w:rFonts w:ascii="Arial" w:hAnsi="Arial"/>
          <w:b/>
          <w:sz w:val="20"/>
        </w:rPr>
        <w:t xml:space="preserve">ST1. Threshold sensitivity: candidate ESI-based COPD definitions vs the CT-based MD-COPD reference. </w:t>
      </w:r>
      <w:r>
        <w:rPr>
          <w:rFonts w:ascii="Arial" w:hAnsi="Arial"/>
          <w:sz w:val="20"/>
        </w:rPr>
        <w:t>Ten candidate ESI-based COPD definitions were evaluated for their ability to reproduce the CT-based MD-COPD label. Each candidate is reported twice: on the full analytic cohort (n = 9,402, columns prefixed "Full") and on a held-out 20% split (n = 1,880, columns prefixed "Test") not used to derive the ESI cut-points. The cut-points were obtained from a single-variable classification tree fit to the remaining 80%, so the full-cohort columns are in-sample with respect to threshold selection and the held-out columns are the independent estimate. Definitions vary along three axes: the number of minor criteria in the panel (4 vs 5), the ESI scoring rule (single-cutoff for the 4-criteria variants, two-threshold for the 5-criteria variants), and the minor-criteria count required for the "COPD, minor pathway" designation. Sensitivity, specificity, and Cohen's κ are reported for each definition against the CT-based MD-COPD label. The training-derived variant (5 criteria, ESI cutoff low = 1.0, ESI cutoff high = 2.5) is the definition used in all main text analyses.</w:t>
      </w:r>
      <w:r>
        <w:rPr>
          <w:rFonts w:ascii="Arial" w:hAnsi="Arial"/>
          <w:i/>
          <w:sz w:val="20"/>
        </w:rPr>
        <w:t xml:space="preserve"> Abbreviations: </w:t>
      </w:r>
      <w:r>
        <w:rPr>
          <w:rFonts w:ascii="Arial" w:hAnsi="Arial"/>
          <w:sz w:val="20"/>
        </w:rPr>
        <w:t>ESI, Emphysema Severity Index; CT, computed tomography; MD-COPD, multidimensional COPD; COPD, chronic obstructive pulmonary disease; N, number of participants classified as COPD by the candidate definition within the stated population; κ, Cohen's kappa coefficient; ESI cutoff, single ESI threshold above which the emphysema criterion is considered met in a 4-criteria variant; ≥N of M minor, minimum count of minor criteria (of M total) required for the COPD, minor pathway classification; ESI cutoff low / ESI cutoff high, lower / upper ESI thresholds in a 5-criteria two-threshold variant (values below the ESI cutoff low contribute zero minor criteria; ESI cutoff low ≤ ESI &lt; ESI cutoff high contribute one; ESI ≥ ESI cutoff high contribute two).</w:t>
      </w:r>
    </w:p>
    <w:tbl>
      <w:tblPr>
        <w:tblStyle w:val="TableGrid"/>
        <w:tblW w:type="auto" w:w="0"/>
        <w:jc w:val="center"/>
        <w:tblLook w:firstColumn="1" w:firstRow="1" w:lastColumn="0" w:lastRow="0" w:noHBand="0" w:noVBand="1" w:val="04A0"/>
        <w:tblLayout w:type="fixed"/>
      </w:tblPr>
      <w:tblGrid>
        <w:gridCol w:w="2232" w:type="dxa"/>
        <w:gridCol w:w="864" w:type="dxa"/>
        <w:gridCol w:w="1584" w:type="dxa"/>
        <w:gridCol w:w="792" w:type="dxa"/>
        <w:gridCol w:w="792" w:type="dxa"/>
        <w:gridCol w:w="1512" w:type="dxa"/>
        <w:gridCol w:w="1368" w:type="dxa"/>
        <w:gridCol w:w="2232" w:type="dxa"/>
        <w:gridCol w:w="1296" w:type="dxa"/>
      </w:tblGrid>
      <w:tr>
        <w:trPr>
          <w:cantSplit/>
          <w:tblHeader/>
        </w:trPr>
        <w:tc>
          <w:tcPr>
            <w:tcW w:type="dxa" w:w="2232"/>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Metric</w:t>
            </w:r>
          </w:p>
        </w:tc>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CT</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w:t>
            </w:r>
          </w:p>
        </w:tc>
        <w:tc>
          <w:tcPr>
            <w:tcW w:type="dxa" w:w="1512"/>
            <w:vAlign w:val="center"/>
            <w:tcBorders>
              <w:top w:val="single" w:sz="6" w:color="000000"/>
              <w:left w:val="single" w:sz="6" w:color="000000"/>
              <w:bottom w:val="single" w:sz="6" w:color="000000"/>
              <w:right w:val="single" w:sz="6" w:color="000000"/>
            </w:tcBorders>
          </w:tcPr>
          <w:p>
            <w:pPr>
              <w:keepNext/>
            </w:pPr>
            <w:r/>
            <w:r>
              <w:rPr>
                <w:rFonts w:ascii="Arial" w:hAnsi="Arial"/>
                <w:b/>
                <w:sz w:val="22"/>
              </w:rPr>
              <w:t>Difference (CT − ESI)</w:t>
            </w:r>
          </w:p>
        </w:tc>
        <w:tc>
          <w:tcPr>
            <w:tcW w:type="dxa" w:w="1368"/>
            <w:vAlign w:val="center"/>
            <w:tcBorders>
              <w:top w:val="single" w:sz="6" w:color="000000"/>
              <w:left w:val="single" w:sz="6" w:color="000000"/>
              <w:bottom w:val="single" w:sz="6" w:color="000000"/>
              <w:right w:val="single" w:sz="6" w:color="000000"/>
            </w:tcBorders>
          </w:tcPr>
          <w:p>
            <w:pPr>
              <w:keepNext/>
            </w:pPr>
            <w:r/>
            <w:r>
              <w:rPr>
                <w:rFonts w:ascii="Arial" w:hAnsi="Arial"/>
                <w:b/>
                <w:sz w:val="22"/>
              </w:rPr>
              <w:t>Observed Δlog</w:t>
            </w:r>
          </w:p>
        </w:tc>
        <w:tc>
          <w:tcPr>
            <w:tcW w:type="dxa" w:w="2232"/>
            <w:vAlign w:val="center"/>
            <w:tcBorders>
              <w:top w:val="single" w:sz="6" w:color="000000"/>
              <w:left w:val="single" w:sz="6" w:color="000000"/>
              <w:bottom w:val="single" w:sz="6" w:color="000000"/>
              <w:right w:val="single" w:sz="6" w:color="000000"/>
            </w:tcBorders>
          </w:tcPr>
          <w:p>
            <w:pPr>
              <w:keepNext/>
            </w:pPr>
            <w:r/>
            <w:r>
              <w:rPr>
                <w:rFonts w:ascii="Arial" w:hAnsi="Arial"/>
                <w:b/>
                <w:sz w:val="22"/>
              </w:rPr>
              <w:t>95% CI (Δlog)</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Two-sided p</w:t>
            </w:r>
          </w:p>
        </w:tc>
      </w:tr>
      <w:tr>
        <w:trPr>
          <w:cantSplit/>
        </w:trPr>
        <w:tc>
          <w:tcPr>
            <w:tcW w:type="dxa" w:w="2232"/>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1.91</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1.94</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-0.04</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-0.019</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(-0.179, 0.135)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0.85</w:t>
            </w:r>
          </w:p>
        </w:tc>
      </w:tr>
      <w:tr>
        <w:trPr>
          <w:cantSplit/>
        </w:trPr>
        <w:tc>
          <w:tcPr>
            <w:tcW w:type="dxa" w:w="223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2.59</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2.39</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0.079</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(0.045, 0.115)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&lt;0.002</w:t>
            </w:r>
          </w:p>
        </w:tc>
      </w:tr>
      <w:tr>
        <w:trPr>
          <w:cantSplit/>
        </w:trPr>
        <w:tc>
          <w:tcPr>
            <w:tcW w:type="dxa" w:w="2232"/>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4.80</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5.68</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-0.88</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-0.168</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(-1.026, 0.764)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0.70</w:t>
            </w:r>
          </w:p>
        </w:tc>
      </w:tr>
      <w:tr>
        <w:trPr>
          <w:cantSplit/>
        </w:trPr>
        <w:tc>
          <w:tcPr>
            <w:tcW w:type="dxa" w:w="223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36.27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30.95</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5.31</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0.158</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(-0.182, 0.510)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0.29</w:t>
            </w:r>
          </w:p>
        </w:tc>
      </w:tr>
      <w:tr>
        <w:trPr>
          <w:cantSplit/>
        </w:trPr>
        <w:tc>
          <w:tcPr>
            <w:tcW w:type="dxa" w:w="2232"/>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2.72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2.77</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-0.06</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-0.020</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(-0.167, 0.117)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0.80</w:t>
            </w:r>
          </w:p>
        </w:tc>
      </w:tr>
      <w:tr>
        <w:trPr>
          <w:cantSplit/>
        </w:trPr>
        <w:tc>
          <w:tcPr>
            <w:tcW w:type="dxa" w:w="223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5.05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4.47</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0.59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0.123</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(0.080, 0.166)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&lt;0.002</w:t>
            </w:r>
          </w:p>
        </w:tc>
      </w:tr>
    </w:tbl>
    <w:p>
      <w:pPr>
        <w:keepNext/>
      </w:pPr>
    </w:p>
    <w:p>
      <w:pPr>
        <w:keepLines/>
      </w:pPr>
      <w:bookmarkStart w:id="2" w:name="tbl_S2"/>
      <w:bookmarkEnd w:id="2"/>
      <w:r>
        <w:rPr>
          <w:rFonts w:ascii="Arial" w:hAnsi="Arial"/>
          <w:b/>
          <w:sz w:val="20"/>
        </w:rPr>
        <w:t xml:space="preserve">ST2. Paired-bootstrap test of category-level equivalence between the CT-based and ESI-based frameworks, all outcomes. </w:t>
      </w:r>
      <w:r>
        <w:rPr>
          <w:rFonts w:ascii="Arial" w:hAnsi="Arial"/>
          <w:sz w:val="20"/>
        </w:rPr>
        <w:t>Formal test of framework equivalence at the diagnostic-category level for each combination of outcome and MD-COPD category. For each combination, the paired-bootstrap procedure resamples participants with replacement (n = 1,000 replicates) and refits the category model under both frameworks (Cox proportional-hazards for mortality; negative-binomial with follow-up-year offset for exacerbations). The mean between-framework difference on the log-effect scale (log HR for mortality, log IRR for exacerbations) and its 95% percentile interval are reported alongside the point-estimate effect size under each framework. The two-sided p-value tests the null hypothesis of equal log-effects between frameworks; values reported as "&lt;0.002" denote outcome-category combinations in which no resample crossed zero, i.e., p below the 1/500 resolution of a two-sided percentile test. Adjustment covariates within each bootstrap replicate match the Table 1 covariate set (age, sex, race, current smoking status, pack-years, body mass index). The "Difference (CT − ESI)" column is the signed difference between the two point estimates on the natural scale. noCOPD denotes participants meeting neither framework's COPD definition.</w:t>
      </w:r>
      <w:r>
        <w:rPr>
          <w:rFonts w:ascii="Arial" w:hAnsi="Arial"/>
          <w:i/>
          <w:sz w:val="20"/>
        </w:rPr>
        <w:t xml:space="preserve"> Abbreviations: </w:t>
      </w:r>
      <w:r>
        <w:rPr>
          <w:rFonts w:ascii="Arial" w:hAnsi="Arial"/>
          <w:sz w:val="20"/>
        </w:rPr>
        <w:t>HR, hazard ratio; IRR, incidence-rate ratio; Δlog, difference in log-effect (log HR for mortality, log IRR for exacerbations) between the CT-based and ESI-based frameworks; CI, confidence interval; CT, computed tomography; ESI, Emphysema Severity Index.</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872" w:type="dxa"/>
        <w:gridCol w:w="1008" w:type="dxa"/>
        <w:gridCol w:w="2952" w:type="dxa"/>
        <w:gridCol w:w="1512" w:type="dxa"/>
        <w:gridCol w:w="720" w:type="dxa"/>
        <w:gridCol w:w="1296" w:type="dxa"/>
      </w:tblGrid>
      <w:tr>
        <w:trPr>
          <w:cantSplit/>
          <w:tblHeader/>
        </w:trPr>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Metric</w:t>
            </w:r>
          </w:p>
        </w:tc>
        <w:tc>
          <w:tcPr>
            <w:tcW w:type="dxa" w:w="2952"/>
            <w:vAlign w:val="center"/>
            <w:tcBorders>
              <w:top w:val="single" w:sz="6" w:color="000000"/>
              <w:left w:val="single" w:sz="6" w:color="000000"/>
              <w:bottom w:val="single" w:sz="6" w:color="000000"/>
              <w:right w:val="single" w:sz="6" w:color="000000"/>
            </w:tcBorders>
          </w:tcPr>
          <w:p>
            <w:pPr>
              <w:keepNext/>
            </w:pPr>
            <w:r/>
            <w:r>
              <w:rPr>
                <w:rFonts w:ascii="Arial" w:hAnsi="Arial"/>
                <w:b/>
                <w:sz w:val="22"/>
              </w:rPr>
              <w:t>Contrast</w:t>
            </w:r>
          </w:p>
        </w:tc>
        <w:tc>
          <w:tcPr>
            <w:tcW w:type="dxa" w:w="151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(Δlog)</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SE</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Adjusted p</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0.279</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0.128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0.069</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0.476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0.265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0.161</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0.197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0.268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0.733</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0.743</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0.638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0.464</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0.227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1.080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0.975</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-0.516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1.124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0.887</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0.453</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0.147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0.005</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0.667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0.274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0.037</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0.214</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0.275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0.707</w:t>
            </w:r>
          </w:p>
        </w:tc>
      </w:tr>
    </w:tbl>
    <w:p>
      <w:pPr>
        <w:keepNext/>
      </w:pPr>
    </w:p>
    <w:p>
      <w:pPr>
        <w:keepLines/>
      </w:pPr>
      <w:bookmarkStart w:id="3" w:name="tbl_S3"/>
      <w:bookmarkEnd w:id="3"/>
      <w:r>
        <w:rPr>
          <w:rFonts w:ascii="Arial" w:hAnsi="Arial"/>
          <w:b/>
          <w:sz w:val="20"/>
        </w:rPr>
        <w:t xml:space="preserve">ST3. Pairwise contrasts among cross-classification groups for all outcomes. </w:t>
      </w:r>
      <w:r>
        <w:rPr>
          <w:rFonts w:ascii="Arial" w:hAnsi="Arial"/>
          <w:sz w:val="20"/>
        </w:rPr>
        <w:t>Wald contrasts on the log-effect scale between each pair of the three COPD-positive cross-classification groups (Both-COPD, CT-only-COPD, ESI-only-COPD), reported for each outcome (all-cause mortality, respiratory mortality, exacerbations). Estimates are the difference in log HR (mortality) or log IRR (exacerbations) between the two groups in the contrast; the standard error is the Wald SE from the fitted Cox model (mortality) or negative-binomial model (exacerbations). Adjusted p-values are single-step-adjusted within each outcome across the three contrasts using the multcomp package. The superscript letters displayed in main text Table 2 are the compact-letter display of these contrasts (α = 0.05).</w:t>
      </w:r>
      <w:r>
        <w:rPr>
          <w:rFonts w:ascii="Arial" w:hAnsi="Arial"/>
          <w:i/>
          <w:sz w:val="20"/>
        </w:rPr>
        <w:t xml:space="preserve"> Abbreviations: </w:t>
      </w:r>
      <w:r>
        <w:rPr>
          <w:rFonts w:ascii="Arial" w:hAnsi="Arial"/>
          <w:sz w:val="20"/>
        </w:rPr>
        <w:t>HR, hazard ratio; IRR, incidence-rate ratio; Δlog, difference in log-effect (log HR for mortality, log IRR for exacerbations); SE, standard error; COPD, chronic obstructive pulmonary disease; CT, computed tomography; ESI, Emphysema Severity Index.</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936" w:type="dxa"/>
        <w:gridCol w:w="648" w:type="dxa"/>
        <w:gridCol w:w="1008" w:type="dxa"/>
        <w:gridCol w:w="864" w:type="dxa"/>
        <w:gridCol w:w="936" w:type="dxa"/>
        <w:gridCol w:w="1008" w:type="dxa"/>
        <w:gridCol w:w="979" w:type="dxa"/>
        <w:gridCol w:w="1368" w:type="dxa"/>
        <w:gridCol w:w="1152" w:type="dxa"/>
        <w:gridCol w:w="1152" w:type="dxa"/>
        <w:gridCol w:w="1296" w:type="dxa"/>
        <w:gridCol w:w="1008" w:type="dxa"/>
        <w:gridCol w:w="1152" w:type="dxa"/>
        <w:gridCol w:w="1296" w:type="dxa"/>
      </w:tblGrid>
      <w:tr>
        <w:trPr>
          <w:cantSplit/>
          <w:tblHeader/>
        </w:trPr>
        <w:tc>
          <w:tcPr>
            <w:tcW w:type="dxa" w:w="936"/>
            <w:vAlign w:val="center"/>
            <w:tcBorders>
              <w:top w:val="single" w:sz="6" w:color="000000"/>
              <w:left w:val="single" w:sz="6" w:color="000000"/>
              <w:bottom w:val="single" w:sz="6" w:color="000000"/>
              <w:right w:val="single" w:sz="6" w:color="000000"/>
            </w:tcBorders>
          </w:tcPr>
          <w:p>
            <w:pPr>
              <w:keepNext/>
            </w:pPr>
            <w:r/>
            <w:r>
              <w:rPr>
                <w:rFonts w:ascii="Arial" w:hAnsi="Arial"/>
                <w:b/>
                <w:sz w:val="18"/>
              </w:rPr>
              <w:t>Stratum</w:t>
            </w:r>
          </w:p>
        </w:tc>
        <w:tc>
          <w:tcPr>
            <w:tcW w:type="dxa" w:w="648"/>
            <w:vAlign w:val="center"/>
            <w:tcBorders>
              <w:top w:val="single" w:sz="6" w:color="000000"/>
              <w:left w:val="single" w:sz="6" w:color="000000"/>
              <w:bottom w:val="single" w:sz="6" w:color="000000"/>
              <w:right w:val="single" w:sz="6" w:color="000000"/>
            </w:tcBorders>
          </w:tcPr>
          <w:p>
            <w:pPr>
              <w:keepNext/>
            </w:pPr>
            <w:r/>
            <w:r>
              <w:rPr>
                <w:rFonts w:ascii="Arial" w:hAnsi="Arial"/>
                <w:b/>
                <w:sz w:val="18"/>
              </w:rPr>
              <w:t>N</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18"/>
              </w:rPr>
              <w:t>Age</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18"/>
              </w:rPr>
              <w:t>Female</w:t>
            </w:r>
          </w:p>
        </w:tc>
        <w:tc>
          <w:tcPr>
            <w:tcW w:type="dxa" w:w="936"/>
            <w:vAlign w:val="center"/>
            <w:tcBorders>
              <w:top w:val="single" w:sz="6" w:color="000000"/>
              <w:left w:val="single" w:sz="6" w:color="000000"/>
              <w:bottom w:val="single" w:sz="6" w:color="000000"/>
              <w:right w:val="single" w:sz="6" w:color="000000"/>
            </w:tcBorders>
          </w:tcPr>
          <w:p>
            <w:pPr>
              <w:keepNext/>
            </w:pPr>
            <w:r/>
            <w:r>
              <w:rPr>
                <w:rFonts w:ascii="Arial" w:hAnsi="Arial"/>
                <w:b/>
                <w:sz w:val="18"/>
              </w:rPr>
              <w:t>Smoker</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18"/>
              </w:rPr>
              <w:t>BMI</w:t>
            </w:r>
          </w:p>
        </w:tc>
        <w:tc>
          <w:tcPr>
            <w:tcW w:type="dxa" w:w="979"/>
            <w:vAlign w:val="center"/>
            <w:tcBorders>
              <w:top w:val="single" w:sz="6" w:color="000000"/>
              <w:left w:val="single" w:sz="6" w:color="000000"/>
              <w:bottom w:val="single" w:sz="6" w:color="000000"/>
              <w:right w:val="single" w:sz="6" w:color="000000"/>
            </w:tcBorders>
          </w:tcPr>
          <w:p>
            <w:pPr>
              <w:keepNext/>
            </w:pPr>
            <w:r/>
            <w:r>
              <w:rPr>
                <w:rFonts w:ascii="Arial" w:hAnsi="Arial"/>
                <w:b/>
                <w:sz w:val="18"/>
              </w:rPr>
              <w:t>Pack-yr</w:t>
            </w:r>
          </w:p>
        </w:tc>
        <w:tc>
          <w:tcPr>
            <w:tcW w:type="dxa" w:w="1368"/>
            <w:vAlign w:val="center"/>
            <w:tcBorders>
              <w:top w:val="single" w:sz="6" w:color="000000"/>
              <w:left w:val="single" w:sz="6" w:color="000000"/>
              <w:bottom w:val="single" w:sz="6" w:color="000000"/>
              <w:right w:val="single" w:sz="6" w:color="000000"/>
            </w:tcBorders>
          </w:tcPr>
          <w:p>
            <w:pPr>
              <w:keepNext/>
            </w:pPr>
            <w:r/>
            <w:r>
              <w:rPr>
                <w:rFonts w:ascii="Arial" w:hAnsi="Arial"/>
                <w:b/>
                <w:sz w:val="18"/>
              </w:rPr>
              <w:t>FEV₁ %pred</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18"/>
              </w:rPr>
              <w:t>FEV₁/FVC</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18"/>
              </w:rPr>
              <w:t>ESI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18"/>
              </w:rPr>
              <w:t>LAA-950HU</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18"/>
              </w:rPr>
              <w:t>mMRC≥2</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18"/>
              </w:rPr>
              <w:t>SGRQ≥25</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18"/>
              </w:rPr>
              <w:t>Bronchitis</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Never</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106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62.0 (9.3)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68%</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28.3 (5.1)</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0 (0)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103 (14)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0.80 (0.05)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0.83 (0.22)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1.8 (2.6)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0%</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GOLD0</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4054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56.7 (8.3)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47%</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59%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28.9 (5.8)</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37 (20)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97 (11)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0.79 (0.05)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0.90 (0.37)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2.0 (2.7)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23%</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13%</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PRISm</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1129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57.2 (8.3)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54%</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63%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31.7 (7.2)</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42 (24)</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71 (8)</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0.77 (0.05)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0.91 (0.45)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1.5 (2.6)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45%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50%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17%</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GOLD1</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740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61.9 (9.0)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42%</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55%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26.9 (4.8)</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45 (24)</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91 (9)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0.65 (0.04)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1.44 (0.51)</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5.4 (5.9)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15%</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GOLD2</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1789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62.6 (8.9)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46%</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49%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28.7 (6.1)</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51 (27)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65 (9)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0.58 (0.08)</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2.18 (1.20)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7.3 (8.0)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50%</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58%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27%</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GOLD3</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1053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64.3 (8.3)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42%</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36%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28.0 (6.3)</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55 (27)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40 (6)</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0.44 (0.09)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4.84 (2.14)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16.5 (12.7)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78%</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85%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30%</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GOLD4</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531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64.1 (7.6)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41%</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24%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25.3 (5.6)</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57 (29)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23 (5)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0.32 (0.07)</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8.30 (1.97)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27.1 (14.0)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95%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97%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28%</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Overall</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9402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59.6 (9.0)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47%</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52%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28.8 (6.2)</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44 (25)</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77 (25)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0.67 (0.16)</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2.05 (2.23)</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6.3 (9.8)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41%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46%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19%</w:t>
            </w:r>
          </w:p>
        </w:tc>
      </w:tr>
    </w:tbl>
    <w:p>
      <w:pPr>
        <w:keepNext/>
      </w:pPr>
    </w:p>
    <w:p>
      <w:pPr>
        <w:keepLines/>
      </w:pPr>
      <w:bookmarkStart w:id="4" w:name="tbl_S4"/>
      <w:bookmarkEnd w:id="4"/>
      <w:r>
        <w:rPr>
          <w:rFonts w:ascii="Arial" w:hAnsi="Arial"/>
          <w:b/>
          <w:sz w:val="20"/>
        </w:rPr>
        <w:t xml:space="preserve">ST4. Baseline characteristics of the analytic cohort by GOLD-stage stratum. </w:t>
      </w:r>
      <w:r>
        <w:rPr>
          <w:rFonts w:ascii="Arial" w:hAnsi="Arial"/>
          <w:sz w:val="20"/>
        </w:rPr>
        <w:t>Continuous variables are reported as mean (standard deviation); binary and categorical variables are reported as percent. Strata are defined by the standard GOLD spirometric criteria: Never = never-smokers with normal spirometry; GOLD 0 = ever-smokers with normal spirometry; PRISm = preserved-ratio impaired spirometry (FEV₁/FVC ≥ 0.70 and FEV₁ %pred &lt; 80); GOLD1–4 = increasing airflow limitation among participants with FEV₁/FVC &lt; 0.70. The Overall row summarizes the full analytic cohort (n = 9,402). Column definitions: N, number of participants in the stratum; Age, age at baseline (years); Female, percent female participants; Smoker, percent current smokers at baseline; BMI, body mass index (kg/m²); Pack-yr, cumulative pack-years of cigarette exposure; FEV₁ %pred, post-bronchodilator FEV₁ as a percent of predicted; FEV₁/FVC, post-bronchodilator FEV₁/FVC ratio; ESI, Emphysema Severity Index; LAA-950HU, percent low-attenuation lung area with attenuation below −950 Hounsfield units; mMRC ≥ 2, percent of participants with modified Medical Research Council dyspnea scale score ≥ 2; SGRQ ≥ 25, percent of participants with St. George's Respiratory Questionnaire total score ≥ 25; Bronchitis, percent of participants meeting the chronic bronchitis definition.</w:t>
      </w:r>
      <w:r>
        <w:rPr>
          <w:rFonts w:ascii="Arial" w:hAnsi="Arial"/>
          <w:i/>
          <w:sz w:val="20"/>
        </w:rPr>
        <w:t xml:space="preserve"> Abbreviations: </w:t>
      </w:r>
      <w:r>
        <w:rPr>
          <w:rFonts w:ascii="Arial" w:hAnsi="Arial"/>
          <w:sz w:val="20"/>
        </w:rPr>
        <w:t>GOLD, Global Initiative for Chronic Obstructive Lung Disease; PRISm, preserved-ratio impaired spirometry; FEV₁, forced expiratory volume in one second; %pred, percent of predicted; FVC, forced vital capacity; BMI, body mass index; ESI, Emphysema Severity Index; LAA-950HU, percent low-attenuation lung area with attenuation below −950 Hounsfield units; mMRC, modified Medical Research Council dyspnea scale; SGRQ, St. George's Respiratory Questionnaire.</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584" w:type="dxa"/>
        <w:gridCol w:w="1872" w:type="dxa"/>
        <w:gridCol w:w="1872" w:type="dxa"/>
        <w:gridCol w:w="1944" w:type="dxa"/>
        <w:gridCol w:w="1944"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Stratum</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N (ESI, %LAA-950HU)</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r (ESI, %LAA-950HU)</w:t>
            </w:r>
          </w:p>
        </w:tc>
        <w:tc>
          <w:tcPr>
            <w:tcW w:type="dxa" w:w="1944"/>
            <w:vAlign w:val="center"/>
            <w:tcBorders>
              <w:top w:val="single" w:sz="6" w:color="000000"/>
              <w:left w:val="single" w:sz="6" w:color="000000"/>
              <w:bottom w:val="single" w:sz="6" w:color="000000"/>
              <w:right w:val="single" w:sz="6" w:color="000000"/>
            </w:tcBorders>
          </w:tcPr>
          <w:p>
            <w:pPr>
              <w:keepNext/>
            </w:pPr>
            <w:r/>
            <w:r>
              <w:rPr>
                <w:rFonts w:ascii="Arial" w:hAnsi="Arial"/>
                <w:b/>
                <w:sz w:val="22"/>
              </w:rPr>
              <w:t>N (ESI, PRM emphysema)</w:t>
            </w:r>
          </w:p>
        </w:tc>
        <w:tc>
          <w:tcPr>
            <w:tcW w:type="dxa" w:w="1944"/>
            <w:vAlign w:val="center"/>
            <w:tcBorders>
              <w:top w:val="single" w:sz="6" w:color="000000"/>
              <w:left w:val="single" w:sz="6" w:color="000000"/>
              <w:bottom w:val="single" w:sz="6" w:color="000000"/>
              <w:right w:val="single" w:sz="6" w:color="000000"/>
            </w:tcBorders>
          </w:tcPr>
          <w:p>
            <w:pPr>
              <w:keepNext/>
            </w:pPr>
            <w:r/>
            <w:r>
              <w:rPr>
                <w:rFonts w:ascii="Arial" w:hAnsi="Arial"/>
                <w:b/>
                <w:sz w:val="22"/>
              </w:rPr>
              <w:t>r (ESI, PRM emphysema)</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Never</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105</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0.29</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90</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0.28</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0</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4030</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3394</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0.07</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PRISm</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1118</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0.05</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915</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0.05</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1</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734</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0.24</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623</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0.29</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2</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1771</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0.51</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1580</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0.54</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3</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1050</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0.58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938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0.57</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4</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527</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0.44</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467</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0.45</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All strata</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9335</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0.78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8007</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0.81</w:t>
            </w:r>
          </w:p>
        </w:tc>
      </w:tr>
    </w:tbl>
    <w:p>
      <w:pPr>
        <w:keepNext/>
      </w:pPr>
    </w:p>
    <w:p>
      <w:pPr>
        <w:keepLines/>
      </w:pPr>
      <w:bookmarkStart w:id="5" w:name="tbl_S5"/>
      <w:bookmarkEnd w:id="5"/>
      <w:r>
        <w:rPr>
          <w:rFonts w:ascii="Arial" w:hAnsi="Arial"/>
          <w:b/>
          <w:sz w:val="20"/>
        </w:rPr>
        <w:t xml:space="preserve">ST5. Per-stratum Pearson correlations between ESI and quantitative CT emphysema metrics. </w:t>
      </w:r>
      <w:r>
        <w:rPr>
          <w:rFonts w:ascii="Arial" w:hAnsi="Arial"/>
          <w:sz w:val="20"/>
        </w:rPr>
        <w:t>Pearson correlations between the Emphysema Severity Index (ESI) and two quantitative CT emphysema measures (%LAA-950HU on inspiration and PRM-defined percent emphysema) are reported within each baseline GOLD-stratum and pooled across the full analytic cohort. Per-stratum N reflects participants with non-missing values for both variables in the pair.</w:t>
      </w:r>
      <w:r>
        <w:rPr>
          <w:rFonts w:ascii="Arial" w:hAnsi="Arial"/>
          <w:i/>
          <w:sz w:val="20"/>
        </w:rPr>
        <w:t xml:space="preserve"> Abbreviations: </w:t>
      </w:r>
      <w:r>
        <w:rPr>
          <w:rFonts w:ascii="Arial" w:hAnsi="Arial"/>
          <w:sz w:val="20"/>
        </w:rPr>
        <w:t>ESI, Emphysema Severity Index; LAA-950HU, percent low-attenuation lung area with attenuation below −950 Hounsfield units on inspiration; PRM, parametric response mapping; GOLD, Global Initiative for Chronic Obstructive Lung Disease; PRISm, preserved-ratio impaired spirometry; N, number of participants with non-missing values for both variables in the pair.</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rPr>
          <w:cantSplit/>
          <w:tblHeader/>
        </w:trPr>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1.22 (0.53–2.79)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2</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0.73 (0.18–2.98)</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0.67</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37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1.39 (0.95–2.05)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23</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1.51 (0.96–2.37)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0.08</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186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1.75 (1.35–2.26)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190</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1.71 (1.33–2.19)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6" w:name="tbl_S6"/>
      <w:bookmarkEnd w:id="6"/>
      <w:r>
        <w:rPr>
          <w:rFonts w:ascii="Arial" w:hAnsi="Arial"/>
          <w:b/>
          <w:sz w:val="20"/>
        </w:rPr>
        <w:t xml:space="preserve">ST6. Cardiovascular-disease-specific mortality by MD-COPD diagnostic category under both frameworks. </w:t>
      </w:r>
      <w:r>
        <w:rPr>
          <w:rFonts w:ascii="Arial" w:hAnsi="Arial"/>
          <w:sz w:val="20"/>
        </w:rPr>
        <w:t>Cause-specific Cox proportional-hazards models estimate the hazard ratio for cardiovascular-disease mortality relative to the noCOPD reference under each framework, with deaths from other causes treated as censored. Adjustment covariates are age, sex, race, current smoking status, pack-years, and body mass index.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rPr>
          <w:cantSplit/>
          <w:tblHeader/>
        </w:trPr>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1.19 (0.55–2.57)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0.66</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1.61 (0.71–3.66)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0.26</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57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2.32 (1.67–3.23)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36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2.48 (1.70–3.61)</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275</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1.97 (1.56–2.50)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276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1.79 (1.43–2.24)</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7" w:name="tbl_S7"/>
      <w:bookmarkEnd w:id="7"/>
      <w:r>
        <w:rPr>
          <w:rFonts w:ascii="Arial" w:hAnsi="Arial"/>
          <w:b/>
          <w:sz w:val="20"/>
        </w:rPr>
        <w:t xml:space="preserve">ST7. Cancer-specific mortality by MD-COPD diagnostic category under both frameworks. </w:t>
      </w:r>
      <w:r>
        <w:rPr>
          <w:rFonts w:ascii="Arial" w:hAnsi="Arial"/>
          <w:sz w:val="20"/>
        </w:rPr>
        <w:t>Cause-specific Cox proportional-hazards models estimate the hazard ratio for cancer mortality relative to the noCOPD reference under each framework, with deaths from other causes treated as censored. Adjustment covariates are age, sex, race, current smoking status, pack-years, and body mass index.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rPr>
          <w:cantSplit/>
          <w:tblHeader/>
        </w:trPr>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4</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0.81 (0.30–2.19)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0.67</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1</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0.36 (0.05–2.57)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0.31</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60</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2.11 (1.53–2.92)</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37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2.02 (1.39–2.92)</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157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1.43 (1.10–1.85)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160</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1.30 (1.02–1.67)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0.03</w:t>
            </w:r>
          </w:p>
        </w:tc>
      </w:tr>
    </w:tbl>
    <w:p>
      <w:pPr>
        <w:keepNext/>
      </w:pPr>
    </w:p>
    <w:p>
      <w:pPr>
        <w:keepLines/>
      </w:pPr>
      <w:bookmarkStart w:id="8" w:name="tbl_S8"/>
      <w:bookmarkEnd w:id="8"/>
      <w:r>
        <w:rPr>
          <w:rFonts w:ascii="Arial" w:hAnsi="Arial"/>
          <w:b/>
          <w:sz w:val="20"/>
        </w:rPr>
        <w:t xml:space="preserve">ST8. Other-cause mortality by MD-COPD diagnostic category under both frameworks. </w:t>
      </w:r>
      <w:r>
        <w:rPr>
          <w:rFonts w:ascii="Arial" w:hAnsi="Arial"/>
          <w:sz w:val="20"/>
        </w:rPr>
        <w:t>Cause-specific Cox proportional-hazards models estimate the hazard ratio for other-cause mortality relative to the noCOPD reference under each framework, with deaths from cardiovascular disease and cancer treated as censored. Adjustment covariates are age, sex, race, current smoking status, pack-years, and body mass index.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2232" w:type="dxa"/>
        <w:gridCol w:w="1800" w:type="dxa"/>
        <w:gridCol w:w="720" w:type="dxa"/>
        <w:gridCol w:w="720" w:type="dxa"/>
        <w:gridCol w:w="1800" w:type="dxa"/>
        <w:gridCol w:w="720" w:type="dxa"/>
        <w:gridCol w:w="720" w:type="dxa"/>
      </w:tblGrid>
      <w:tr>
        <w:trPr>
          <w:cantSplit/>
          <w:tblHeader/>
        </w:trPr>
        <w:tc>
          <w:tcPr>
            <w:tcW w:type="dxa" w:w="2232"/>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CT-based estimate (mL/yr)</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SE</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ESI-based estimate (mL/yr)</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SE</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3.63</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2.77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0.19</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10.15</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4.20</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0.02</w:t>
            </w:r>
          </w:p>
        </w:tc>
      </w:tr>
      <w:tr>
        <w:trPr>
          <w:cantSplit/>
        </w:trPr>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-0.48</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1.48</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0.75</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-1.56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1.81</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0.39</w:t>
            </w:r>
          </w:p>
        </w:tc>
      </w:tr>
      <w:tr>
        <w:trPr>
          <w:cantSplit/>
        </w:trPr>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1.27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0.97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0.19</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1.09</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0.94</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0.25</w:t>
            </w:r>
          </w:p>
        </w:tc>
      </w:tr>
    </w:tbl>
    <w:p>
      <w:pPr>
        <w:keepNext/>
      </w:pPr>
    </w:p>
    <w:p>
      <w:pPr>
        <w:keepLines/>
      </w:pPr>
      <w:bookmarkStart w:id="9" w:name="tbl_S9"/>
      <w:bookmarkEnd w:id="9"/>
      <w:r>
        <w:rPr>
          <w:rFonts w:ascii="Arial" w:hAnsi="Arial"/>
          <w:b/>
          <w:sz w:val="20"/>
        </w:rPr>
        <w:t xml:space="preserve">ST9. FEV₁ decline (mL/yr) by MD-COPD diagnostic category under both frameworks. </w:t>
      </w:r>
      <w:r>
        <w:rPr>
          <w:rFonts w:ascii="Arial" w:hAnsi="Arial"/>
          <w:sz w:val="20"/>
        </w:rPr>
        <w:t>Linear mixed-effects models of longitudinal FEV₁ (in mL) as a function of years-from-baseline, with a random intercept per participant, are used to estimate the difference in the annual rate of FEV₁ change attributable to each MD-COPD category relative to the noCOPD reference; p-values are Wald tests on the between-group slope contrasts. Adjustment covariates are age at baseline, sex, race, current smoking status, pack-years, and baseline height. Body mass index is intentionally not included in this model class because baseline height is the standard anthropometric adjustment for volume-scaled lung-function outcomes and captures the relevant between-person variation.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MD-COPD, multidimensional COPD; FEV₁, forced expiratory volume in one second; SE, standard error; AFL, airflow limitation; CT, computed tomography; ESI, Emphysema Severity Index.</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2304" w:type="dxa"/>
        <w:gridCol w:w="1440" w:type="dxa"/>
        <w:gridCol w:w="1512" w:type="dxa"/>
        <w:gridCol w:w="1944" w:type="dxa"/>
        <w:gridCol w:w="1872" w:type="dxa"/>
        <w:gridCol w:w="1656" w:type="dxa"/>
        <w:gridCol w:w="1656" w:type="dxa"/>
        <w:gridCol w:w="1584" w:type="dxa"/>
      </w:tblGrid>
      <w:tr>
        <w:trPr>
          <w:cantSplit/>
          <w:tblHeader/>
        </w:trPr>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C-index</w:t>
            </w:r>
          </w:p>
        </w:tc>
        <w:tc>
          <w:tcPr>
            <w:tcW w:type="dxa" w:w="151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C-index</w:t>
            </w:r>
          </w:p>
        </w:tc>
        <w:tc>
          <w:tcPr>
            <w:tcW w:type="dxa" w:w="1944"/>
            <w:vAlign w:val="center"/>
            <w:tcBorders>
              <w:top w:val="single" w:sz="6" w:color="000000"/>
              <w:left w:val="single" w:sz="6" w:color="000000"/>
              <w:bottom w:val="single" w:sz="6" w:color="000000"/>
              <w:right w:val="single" w:sz="6" w:color="000000"/>
            </w:tcBorders>
          </w:tcPr>
          <w:p>
            <w:pPr>
              <w:keepNext/>
            </w:pPr>
            <w:r/>
            <w:r>
              <w:rPr>
                <w:rFonts w:ascii="Arial" w:hAnsi="Arial"/>
                <w:b/>
                <w:sz w:val="22"/>
              </w:rPr>
              <w:t>Δ C-index (CT − ESI)</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95% CI (Δ)</w:t>
            </w:r>
          </w:p>
        </w:tc>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TOST p (lower)</w:t>
            </w:r>
          </w:p>
        </w:tc>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TOST p (upper)</w:t>
            </w:r>
          </w:p>
        </w:tc>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Equivalent</w:t>
            </w:r>
          </w:p>
        </w:tc>
      </w:tr>
      <w:tr>
        <w:trPr>
          <w:cantSplit/>
        </w:trPr>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All-cause mortality</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0.703</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0.700</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0.003</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(0.000, 0.006)</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Yes</w:t>
            </w:r>
          </w:p>
        </w:tc>
      </w:tr>
      <w:tr>
        <w:trPr>
          <w:cantSplit/>
        </w:trPr>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Respiratory mortality</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0.853</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0.851</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0.002</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(-0.001, 0.004)</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Yes</w:t>
            </w:r>
          </w:p>
        </w:tc>
      </w:tr>
    </w:tbl>
    <w:p>
      <w:pPr>
        <w:keepNext/>
      </w:pPr>
    </w:p>
    <w:p>
      <w:pPr>
        <w:keepLines/>
      </w:pPr>
      <w:bookmarkStart w:id="10" w:name="tbl_S10"/>
      <w:bookmarkEnd w:id="10"/>
      <w:r>
        <w:rPr>
          <w:rFonts w:ascii="Arial" w:hAnsi="Arial"/>
          <w:b/>
          <w:sz w:val="20"/>
        </w:rPr>
        <w:t xml:space="preserve">ST10. Discrimination-level equivalence between the CT-based and ESI-based frameworks. </w:t>
      </w:r>
      <w:r>
        <w:rPr>
          <w:rFonts w:ascii="Arial" w:hAnsi="Arial"/>
          <w:sz w:val="20"/>
        </w:rPr>
        <w:t>Harrell's C-index is estimated for the Cox proportional-hazards model of each mortality outcome under both frameworks with identical adjustment covariates (age, sex, race, current smoking status, pack-years, body mass index). Paired concordance is compared subject by subject to obtain the between-framework Δ C-index and its 95% confidence interval. Equivalence within a ±0.02 a priori margin is tested using two one-sided tests (TOST).</w:t>
      </w:r>
      <w:r>
        <w:rPr>
          <w:rFonts w:ascii="Arial" w:hAnsi="Arial"/>
          <w:i/>
          <w:sz w:val="20"/>
        </w:rPr>
        <w:t xml:space="preserve"> Abbreviations: </w:t>
      </w:r>
      <w:r>
        <w:rPr>
          <w:rFonts w:ascii="Arial" w:hAnsi="Arial"/>
          <w:sz w:val="20"/>
        </w:rPr>
        <w:t>C-index, Harrell's concordance index; CI, confidence interval; TOST, two one-sided tests; CT, computed tomography; ESI, Emphysema Severity Index.</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0.90 (0.62–1.30)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0.57</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1.86 (1.60–2.17)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2.40 (2.17–2.65)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0.91 (0.57–1.45)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0.69</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1.90 (1.59–2.27)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2.22 (2.02–2.44)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1.40 (0.18–10.75)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4.55 (2.03–10.20)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30.27 (17.37–52.76)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2.15 (0.29–16.24)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0.46</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5.41 (2.31–12.69)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25.95 (15.70–42.92)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1.29 (0.95–1.76)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0.10</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2.69 (2.33–3.11)</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4.80 (4.35–5.29)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0.97 (0.63–1.50)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0.91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2.75 (2.31–3.28)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4.25 (3.86–4.67)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11" w:name="tbl_S11"/>
      <w:bookmarkEnd w:id="11"/>
      <w:r>
        <w:rPr>
          <w:rFonts w:ascii="Arial" w:hAnsi="Arial"/>
          <w:b/>
          <w:sz w:val="20"/>
        </w:rPr>
        <w:t xml:space="preserve">ST11. Sensitivity analysis: Category-level associations after excluding participants at the ESI ceiling (ESI = 10). </w:t>
      </w:r>
      <w:r>
        <w:rPr>
          <w:rFonts w:ascii="Arial" w:hAnsi="Arial"/>
          <w:sz w:val="20"/>
        </w:rPr>
        <w:t>This sensitivity analysis repeats the primary Table 1 analysis (Cox proportional-hazards for all-cause and respiratory mortality; negative-binomial with a follow-up-year offset for exacerbations) after excluding participants at the ESI ceiling (ESI = 10);.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IRR, incidence-rate ratio; CI, confidence interval.</w:t>
      </w: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0.90 (0.62–1.30)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0.56</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1.91 (1.64–2.22)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2.59 (2.35–2.86)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0.86 (0.70–1.05)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1.89 (1.51–2.36)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2.58 (2.35–2.82)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1.42 (0.19–10.84)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4.80 (2.14–10.76)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36.27 (20.85–63.07)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1.30 (0.44–3.86)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0.63</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7.21 (2.85–18.24)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33.06 (20.59–53.09)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1.28 (0.94–1.75)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2.72 (2.36–3.14)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5.05 (4.59–5.56)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0.99 (0.82–1.19)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0.91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2.84 (2.29–3.51)</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4.78 (4.35–5.24)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12" w:name="tbl_S12"/>
      <w:bookmarkEnd w:id="12"/>
      <w:r>
        <w:rPr>
          <w:rFonts w:ascii="Arial" w:hAnsi="Arial"/>
          <w:b/>
          <w:sz w:val="20"/>
        </w:rPr>
        <w:t xml:space="preserve">ST12. Sensitivity analysis: Category-level associations under the alternative 4-criterion framework. </w:t>
      </w:r>
      <w:r>
        <w:rPr>
          <w:rFonts w:ascii="Arial" w:hAnsi="Arial"/>
          <w:sz w:val="20"/>
        </w:rPr>
        <w:t>This sensitivity analysis refits the primary Table 1 analysis under an alternative 4-criterion version of the MD-COPD framework in which only the emphysema criterion is replaced by the ESI-based rule; the airway-wall-thickening criterion is retained in its original CT-defined form.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IRR, incidence-rate ratio; CI, confidence interval.</w:t>
      </w: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1.29 (0.85–1.96)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0.23</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3.49 (2.91–4.17)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6.52 (5.76–7.38)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1.27 (0.73–2.22)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0.40</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3.19 (2.56–3.97)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5.45 (4.84–6.15)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13" w:name="tbl_S13"/>
      <w:bookmarkEnd w:id="13"/>
      <w:r>
        <w:rPr>
          <w:rFonts w:ascii="Arial" w:hAnsi="Arial"/>
          <w:b/>
          <w:sz w:val="20"/>
        </w:rPr>
        <w:t xml:space="preserve">ST13. Sensitivity analysis: Category-level associations for severe exacerbations only. </w:t>
      </w:r>
      <w:r>
        <w:rPr>
          <w:rFonts w:ascii="Arial" w:hAnsi="Arial"/>
          <w:sz w:val="20"/>
        </w:rPr>
        <w:t>This sensitivity analysis refits the primary negative-binomial exacerbation model restricted to severe exacerbations only (all-cause and respiratory mortality outcomes are unchanged).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IRR, incidence-rate ratio; CI, confidence interval.</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872" w:type="dxa"/>
        <w:gridCol w:w="864" w:type="dxa"/>
        <w:gridCol w:w="1872" w:type="dxa"/>
        <w:gridCol w:w="2376" w:type="dxa"/>
        <w:gridCol w:w="1008" w:type="dxa"/>
        <w:gridCol w:w="2664" w:type="dxa"/>
        <w:gridCol w:w="1008" w:type="dxa"/>
        <w:gridCol w:w="2304" w:type="dxa"/>
      </w:tblGrid>
      <w:tr>
        <w:trPr>
          <w:cantSplit/>
          <w:tblHeader/>
        </w:trPr>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Metric</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Model</w:t>
            </w:r>
          </w:p>
        </w:tc>
        <w:tc>
          <w:tcPr>
            <w:tcW w:type="dxa" w:w="237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estimate (95% CI)</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c>
          <w:tcPr>
            <w:tcW w:type="dxa" w:w="2664"/>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estimate (95% CI)</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p</w:t>
            </w:r>
          </w:p>
        </w:tc>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Likelihood-ratio test</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864"/>
            <w:vMerge w:val="restart"/>
            <w:tcBorders>
              <w:top w:val="single" w:sz="6" w:color="000000"/>
              <w:left w:val="single" w:sz="6" w:color="000000"/>
              <w:bottom w:val="nil"/>
              <w:right w:val="single" w:sz="6" w:color="000000"/>
            </w:tcBorders>
          </w:tcPr>
          <w:p>
            <w:pPr>
              <w:keepNext/>
            </w:pPr>
            <w:r/>
            <w:r>
              <w:rPr>
                <w:rFonts w:ascii="Arial" w:hAnsi="Arial"/>
                <w:sz w:val="20"/>
              </w:rPr>
              <w:t>HR</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1.10 (1.07-1.13)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FEV₁/FVC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0.83 (0.79-0.88)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1.07 (1.02-1.12)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0.004</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0.93 (0.85-1.02)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0.101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χ² = 8.30, df = 1, p = 0.004</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1.15 (1.10-1.20)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FEV₁/FVC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0.65 (0.58-0.72)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vMerge/>
            <w:tcBorders>
              <w:top w:val="nil"/>
              <w:left w:val="single" w:sz="6" w:color="000000"/>
              <w:bottom w:val="single" w:sz="6" w:color="000000"/>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0.97 (0.89-1.05)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0.427</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0.60 (0.49-0.74)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χ² = 0.63, df = 1, p = 0.427</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864"/>
            <w:vMerge w:val="restart"/>
            <w:tcBorders>
              <w:top w:val="single" w:sz="6" w:color="000000"/>
              <w:left w:val="single" w:sz="6" w:color="000000"/>
              <w:bottom w:val="nil"/>
              <w:right w:val="single" w:sz="6" w:color="000000"/>
            </w:tcBorders>
          </w:tcPr>
          <w:p>
            <w:pPr>
              <w:keepNext/>
            </w:pPr>
            <w:r/>
            <w:r>
              <w:rPr>
                <w:rFonts w:ascii="Arial" w:hAnsi="Arial"/>
                <w:sz w:val="20"/>
              </w:rPr>
              <w:t>IRR</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1.11 (1.07-1.15)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FEV₁/FVC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0.79 (0.74-0.84)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vMerge/>
            <w:tcBorders>
              <w:top w:val="nil"/>
              <w:left w:val="single" w:sz="6" w:color="000000"/>
              <w:bottom w:val="single" w:sz="6" w:color="000000"/>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1.01 (0.96-1.06)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0.727</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0.80 (0.73-0.88)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χ² = 0.12, df = 1, p = 0.730</w:t>
            </w:r>
          </w:p>
        </w:tc>
      </w:tr>
    </w:tbl>
    <w:p>
      <w:pPr>
        <w:keepNext/>
      </w:pPr>
    </w:p>
    <w:p>
      <w:pPr>
        <w:keepLines/>
      </w:pPr>
      <w:bookmarkStart w:id="14" w:name="tbl_S14"/>
      <w:bookmarkEnd w:id="14"/>
      <w:r>
        <w:rPr>
          <w:rFonts w:ascii="Arial" w:hAnsi="Arial"/>
          <w:b/>
          <w:sz w:val="20"/>
        </w:rPr>
        <w:t xml:space="preserve">ST14. Continuous ESI vs FEV₁/FVC as predictors of mortality and exacerbations. </w:t>
      </w:r>
      <w:r>
        <w:rPr>
          <w:rFonts w:ascii="Arial" w:hAnsi="Arial"/>
          <w:sz w:val="20"/>
        </w:rPr>
        <w:t>Estimates are per one-unit increase in ESI and per one-unit increase in FEV₁/FVC (i.e. per unit of the ratio itself). Incremental prognostic value of continuous ESI beyond FEV₁/FVC for three categorical outcomes (all-cause mortality, respiratory mortality, exacerbations). For each outcome the fitted model is refit under three specifications: ESI only, FEV₁/FVC only, and ESI + FEV₁/FVC combined. The rightmost column reports the likelihood-ratio test statistic and p-value for the null hypothesis that adding continuous ESI to a model already containing FEV₁/FVC does not improve fit; a significant test indicates that continuous ESI provides independent prognostic information beyond FEV₁/FVC. Mortality outcomes use Cox proportional-hazards models (HR); exacerbations use a negative-binomial model (IRR) with a follow-up-year offset. Adjustment covariates are age, sex, race, current smoking status, pack-years, and GOLD-stratum indicators; the GOLD-stratum indicators replace body mass index because the continuous-ESI analysis spans the full spectrum of airflow obstruction. Companion Supplemental Table 15 shows continuous ESI vs FEV₁/FVC as predictors of FEV₁ decline (mL/yr), stratified by baseline lung-function stratum.</w:t>
      </w:r>
      <w:r>
        <w:rPr>
          <w:rFonts w:ascii="Arial" w:hAnsi="Arial"/>
          <w:i/>
          <w:sz w:val="20"/>
        </w:rPr>
        <w:t xml:space="preserve"> Abbreviations: </w:t>
      </w:r>
      <w:r>
        <w:rPr>
          <w:rFonts w:ascii="Arial" w:hAnsi="Arial"/>
          <w:sz w:val="20"/>
        </w:rPr>
        <w:t>ESI, Emphysema Severity Index; FEV₁, forced expiratory volume in one second; FVC, forced vital capacity; HR, hazard ratio; IRR, incidence-rate ratio; CI, confidence interval; LR, likelihood ratio; GOLD, Global Initiative for Chronic Obstructive Lung Disease.</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080" w:type="dxa"/>
        <w:gridCol w:w="720" w:type="dxa"/>
        <w:gridCol w:w="1440" w:type="dxa"/>
        <w:gridCol w:w="1872" w:type="dxa"/>
        <w:gridCol w:w="936" w:type="dxa"/>
        <w:gridCol w:w="2304" w:type="dxa"/>
        <w:gridCol w:w="1008" w:type="dxa"/>
      </w:tblGrid>
      <w:tr>
        <w:trPr>
          <w:cantSplit/>
          <w:tblHeader/>
        </w:trPr>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Stratum</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N</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Model</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slope (mL/yr)</w:t>
            </w:r>
          </w:p>
        </w:tc>
        <w:tc>
          <w:tcPr>
            <w:tcW w:type="dxa" w:w="9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slope (mL/yr)</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p</w:t>
            </w:r>
          </w:p>
        </w:tc>
      </w:tr>
      <w:tr>
        <w:trPr>
          <w:cantSplit/>
        </w:trPr>
        <w:tc>
          <w:tcPr>
            <w:tcW w:type="dxa" w:w="1080"/>
            <w:vMerge w:val="restart"/>
            <w:tcBorders>
              <w:top w:val="single" w:sz="6" w:color="000000"/>
              <w:left w:val="single" w:sz="6" w:color="000000"/>
              <w:bottom w:val="nil"/>
              <w:right w:val="single" w:sz="6" w:color="000000"/>
            </w:tcBorders>
          </w:tcPr>
          <w:p>
            <w:pPr>
              <w:keepNext/>
            </w:pPr>
            <w:r/>
            <w:r>
              <w:rPr>
                <w:rFonts w:ascii="Arial" w:hAnsi="Arial"/>
                <w:sz w:val="20"/>
              </w:rPr>
              <w:t>GOLD 0</w:t>
            </w:r>
          </w:p>
        </w:tc>
        <w:tc>
          <w:tcPr>
            <w:tcW w:type="dxa" w:w="720"/>
            <w:vMerge w:val="restart"/>
            <w:tcBorders>
              <w:top w:val="single" w:sz="6" w:color="000000"/>
              <w:left w:val="single" w:sz="6" w:color="000000"/>
              <w:bottom w:val="nil"/>
              <w:right w:val="single" w:sz="6" w:color="000000"/>
            </w:tcBorders>
          </w:tcPr>
          <w:p>
            <w:pPr>
              <w:keepNext/>
            </w:pPr>
            <w:r/>
            <w:r>
              <w:rPr>
                <w:rFonts w:ascii="Arial" w:hAnsi="Arial"/>
                <w:sz w:val="20"/>
              </w:rPr>
              <w:t>4054</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-5.38 (SE 1.44)</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080"/>
            <w:vMerge/>
            <w:tcBorders>
              <w:top w:val="nil"/>
              <w:left w:val="single" w:sz="6" w:color="000000"/>
              <w:bottom w:val="single" w:sz="6" w:color="000000"/>
              <w:right w:val="single" w:sz="6" w:color="000000"/>
            </w:tcBorders>
          </w:tcPr>
          <w:p>
            <w:pPr>
              <w:keepNext/>
            </w:pPr>
            <w:r/>
            <w:r>
              <w:rPr>
                <w:rFonts w:ascii="Arial" w:hAnsi="Arial"/>
                <w:sz w:val="20"/>
              </w:rPr>
            </w:r>
          </w:p>
        </w:tc>
        <w:tc>
          <w:tcPr>
            <w:tcW w:type="dxa" w:w="720"/>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-4.73 (SE 1.47)</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29.93 (SE 11.18)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0.007</w:t>
            </w:r>
          </w:p>
        </w:tc>
      </w:tr>
      <w:tr>
        <w:trPr>
          <w:cantSplit/>
        </w:trPr>
        <w:tc>
          <w:tcPr>
            <w:tcW w:type="dxa" w:w="1080"/>
            <w:vMerge w:val="restart"/>
            <w:tcBorders>
              <w:top w:val="single" w:sz="6" w:color="000000"/>
              <w:left w:val="single" w:sz="6" w:color="000000"/>
              <w:bottom w:val="nil"/>
              <w:right w:val="single" w:sz="6" w:color="000000"/>
            </w:tcBorders>
          </w:tcPr>
          <w:p>
            <w:pPr>
              <w:keepNext/>
            </w:pPr>
            <w:r/>
            <w:r>
              <w:rPr>
                <w:rFonts w:ascii="Arial" w:hAnsi="Arial"/>
                <w:sz w:val="20"/>
              </w:rPr>
              <w:t>PRISm</w:t>
            </w:r>
          </w:p>
        </w:tc>
        <w:tc>
          <w:tcPr>
            <w:tcW w:type="dxa" w:w="720"/>
            <w:vMerge w:val="restart"/>
            <w:tcBorders>
              <w:top w:val="single" w:sz="6" w:color="000000"/>
              <w:left w:val="single" w:sz="6" w:color="000000"/>
              <w:bottom w:val="nil"/>
              <w:right w:val="single" w:sz="6" w:color="000000"/>
            </w:tcBorders>
          </w:tcPr>
          <w:p>
            <w:pPr>
              <w:keepNext/>
            </w:pPr>
            <w:r/>
            <w:r>
              <w:rPr>
                <w:rFonts w:ascii="Arial" w:hAnsi="Arial"/>
                <w:sz w:val="20"/>
              </w:rPr>
              <w:t>1129</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-1.69 (SE 3.61)</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0.639</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080"/>
            <w:vMerge/>
            <w:tcBorders>
              <w:top w:val="nil"/>
              <w:left w:val="single" w:sz="6" w:color="000000"/>
              <w:bottom w:val="single" w:sz="6" w:color="000000"/>
              <w:right w:val="single" w:sz="6" w:color="000000"/>
            </w:tcBorders>
          </w:tcPr>
          <w:p>
            <w:pPr>
              <w:keepNext/>
            </w:pPr>
            <w:r/>
            <w:r>
              <w:rPr>
                <w:rFonts w:ascii="Arial" w:hAnsi="Arial"/>
                <w:sz w:val="20"/>
              </w:rPr>
            </w:r>
          </w:p>
        </w:tc>
        <w:tc>
          <w:tcPr>
            <w:tcW w:type="dxa" w:w="720"/>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2.01 (SE 3.80)</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0.597</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66.64 (SE 27.18)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0.014</w:t>
            </w:r>
          </w:p>
        </w:tc>
      </w:tr>
    </w:tbl>
    <w:p>
      <w:pPr>
        <w:keepNext/>
      </w:pPr>
    </w:p>
    <w:p>
      <w:pPr>
        <w:keepLines/>
      </w:pPr>
      <w:bookmarkStart w:id="15" w:name="tbl_S15"/>
      <w:bookmarkEnd w:id="15"/>
      <w:r>
        <w:rPr>
          <w:rFonts w:ascii="Arial" w:hAnsi="Arial"/>
          <w:b/>
          <w:sz w:val="20"/>
        </w:rPr>
        <w:t xml:space="preserve">ST15. Continuous ESI vs FEV₁/FVC as predictors of FEV₁ decline (mL/yr), stratified by baseline lung-function stratum. </w:t>
      </w:r>
      <w:r>
        <w:rPr>
          <w:rFonts w:ascii="Arial" w:hAnsi="Arial"/>
          <w:sz w:val="20"/>
        </w:rPr>
        <w:t>Linear mixed-effects models of longitudinal FEV₁ with a random intercept per participant are fit within each baseline stratum (GOLD 0, PRISm), in each case with continuous ESI alone and jointly with FEV₁/FVC. Estimates are reported within stratum only: pooled across the full cohort, baseline ESI is confounded by disease severity, since high ESI is concentrated among participants with severe airflow obstruction who have the least remaining lung function to lose. Slopes estimate the change in the annual FEV₁ rate per one-unit increase in ESI (or FEV₁/FVC), with the standard error in parentheses. Adjustment covariates are age at baseline, sex, race, current smoking status, pack-years, and baseline height, matching the anthropometric-adjustment convention used for FEV₁-decline modeling in Supplemental Table 9. Companion Supplemental Table 14 shows continuous ESI vs FEV₁/FVC as predictors of the categorical outcomes (mortality + exacerbations).</w:t>
      </w:r>
      <w:r>
        <w:rPr>
          <w:rFonts w:ascii="Arial" w:hAnsi="Arial"/>
          <w:i/>
          <w:sz w:val="20"/>
        </w:rPr>
        <w:t xml:space="preserve"> Abbreviations: </w:t>
      </w:r>
      <w:r>
        <w:rPr>
          <w:rFonts w:ascii="Arial" w:hAnsi="Arial"/>
          <w:sz w:val="20"/>
        </w:rPr>
        <w:t>N, number of participants in the stratum included in the model; ESI, Emphysema Severity Index; FEV₁, forced expiratory volume in one second; FVC, forced vital capacity; SE, standard error; GOLD, Global Initiative for Chronic Obstructive Lung Disease; PRISm, preserved-ratio impaired spirometry.</w:t>
      </w:r>
    </w:p>
    <w:tbl>
      <w:tblPr>
        <w:tblStyle w:val="TableGrid"/>
        <w:tblW w:type="auto" w:w="0"/>
        <w:jc w:val="center"/>
        <w:tblLook w:firstColumn="1" w:firstRow="1" w:lastColumn="0" w:lastRow="0" w:noHBand="0" w:noVBand="1" w:val="04A0"/>
        <w:tblLayout w:type="fixed"/>
      </w:tblPr>
      <w:tblGrid>
        <w:gridCol w:w="2304" w:type="dxa"/>
        <w:gridCol w:w="1080" w:type="dxa"/>
        <w:gridCol w:w="1224" w:type="dxa"/>
        <w:gridCol w:w="2376" w:type="dxa"/>
        <w:gridCol w:w="2376" w:type="dxa"/>
      </w:tblGrid>
      <w:tr>
        <w:trPr>
          <w:cantSplit/>
          <w:tblHeader/>
        </w:trPr>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Baseline stratum</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Visit</w:t>
            </w:r>
          </w:p>
        </w:tc>
        <w:tc>
          <w:tcPr>
            <w:tcW w:type="dxa" w:w="1224"/>
            <w:vAlign w:val="center"/>
            <w:tcBorders>
              <w:top w:val="single" w:sz="6" w:color="000000"/>
              <w:left w:val="single" w:sz="6" w:color="000000"/>
              <w:bottom w:val="single" w:sz="6" w:color="000000"/>
              <w:right w:val="single" w:sz="6" w:color="000000"/>
            </w:tcBorders>
          </w:tcPr>
          <w:p>
            <w:pPr>
              <w:keepNext/>
            </w:pPr>
            <w:r/>
            <w:r>
              <w:rPr>
                <w:rFonts w:ascii="Arial" w:hAnsi="Arial"/>
                <w:b/>
                <w:sz w:val="22"/>
              </w:rPr>
              <w:t>N</w:t>
            </w:r>
          </w:p>
        </w:tc>
        <w:tc>
          <w:tcPr>
            <w:tcW w:type="dxa" w:w="2376"/>
            <w:vAlign w:val="center"/>
            <w:tcBorders>
              <w:top w:val="single" w:sz="6" w:color="000000"/>
              <w:left w:val="single" w:sz="6" w:color="000000"/>
              <w:bottom w:val="single" w:sz="6" w:color="000000"/>
              <w:right w:val="single" w:sz="6" w:color="000000"/>
            </w:tcBorders>
          </w:tcPr>
          <w:p>
            <w:pPr>
              <w:keepNext/>
            </w:pPr>
            <w:r/>
            <w:r>
              <w:rPr>
                <w:rFonts w:ascii="Arial" w:hAnsi="Arial"/>
                <w:b/>
                <w:sz w:val="22"/>
              </w:rPr>
              <w:t>Mean ΔESI</w:t>
            </w:r>
          </w:p>
        </w:tc>
        <w:tc>
          <w:tcPr>
            <w:tcW w:type="dxa" w:w="2376"/>
            <w:vAlign w:val="center"/>
            <w:tcBorders>
              <w:top w:val="single" w:sz="6" w:color="000000"/>
              <w:left w:val="single" w:sz="6" w:color="000000"/>
              <w:bottom w:val="single" w:sz="6" w:color="000000"/>
              <w:right w:val="single" w:sz="6" w:color="000000"/>
            </w:tcBorders>
          </w:tcPr>
          <w:p>
            <w:pPr>
              <w:keepNext/>
            </w:pPr>
            <w:r/>
            <w:r>
              <w:rPr>
                <w:rFonts w:ascii="Arial" w:hAnsi="Arial"/>
                <w:b/>
                <w:sz w:val="22"/>
              </w:rPr>
              <w:t>Median ΔESI</w:t>
            </w:r>
          </w:p>
        </w:tc>
      </w:tr>
      <w:tr>
        <w:trPr>
          <w:cantSplit/>
        </w:trPr>
        <w:tc>
          <w:tcPr>
            <w:tcW w:type="dxa" w:w="2304"/>
            <w:vMerge w:val="restart"/>
            <w:tcBorders>
              <w:top w:val="single" w:sz="6" w:color="000000"/>
              <w:left w:val="single" w:sz="6" w:color="000000"/>
              <w:bottom w:val="nil"/>
              <w:right w:val="single" w:sz="6" w:color="000000"/>
            </w:tcBorders>
          </w:tcPr>
          <w:p>
            <w:pPr>
              <w:keepNext/>
            </w:pPr>
            <w:r/>
            <w:r>
              <w:rPr>
                <w:rFonts w:ascii="Arial" w:hAnsi="Arial"/>
                <w:sz w:val="20"/>
              </w:rPr>
              <w:t>GOLD 0</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2</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2525</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0.012</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0.000</w:t>
            </w:r>
          </w:p>
        </w:tc>
      </w:tr>
      <w:tr>
        <w:trPr>
          <w:cantSplit/>
        </w:trPr>
        <w:tc>
          <w:tcPr>
            <w:tcW w:type="dxa" w:w="2304"/>
            <w:vMerge/>
            <w:tcBorders>
              <w:top w:val="nil"/>
              <w:left w:val="single" w:sz="6" w:color="000000"/>
              <w:bottom w:val="single" w:sz="6" w:color="000000"/>
              <w:right w:val="single" w:sz="6" w:color="000000"/>
            </w:tcBorders>
          </w:tcPr>
          <w:p>
            <w:pPr>
              <w:keepNext/>
            </w:pPr>
            <w:r/>
            <w:r>
              <w:rPr>
                <w:rFonts w:ascii="Arial" w:hAnsi="Arial"/>
                <w:sz w:val="20"/>
              </w:rPr>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3</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950</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0.051</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0.010</w:t>
            </w:r>
          </w:p>
        </w:tc>
      </w:tr>
      <w:tr>
        <w:trPr>
          <w:cantSplit/>
        </w:trPr>
        <w:tc>
          <w:tcPr>
            <w:tcW w:type="dxa" w:w="2304"/>
            <w:vMerge w:val="restart"/>
            <w:tcBorders>
              <w:top w:val="single" w:sz="6" w:color="000000"/>
              <w:left w:val="single" w:sz="6" w:color="000000"/>
              <w:bottom w:val="nil"/>
              <w:right w:val="single" w:sz="6" w:color="000000"/>
            </w:tcBorders>
          </w:tcPr>
          <w:p>
            <w:pPr>
              <w:keepNext/>
            </w:pPr>
            <w:r/>
            <w:r>
              <w:rPr>
                <w:rFonts w:ascii="Arial" w:hAnsi="Arial"/>
                <w:sz w:val="20"/>
              </w:rPr>
              <w:t>PRISm</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2</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660</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0.105</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0.040</w:t>
            </w:r>
          </w:p>
        </w:tc>
      </w:tr>
      <w:tr>
        <w:trPr>
          <w:cantSplit/>
        </w:trPr>
        <w:tc>
          <w:tcPr>
            <w:tcW w:type="dxa" w:w="2304"/>
            <w:vMerge/>
            <w:tcBorders>
              <w:top w:val="nil"/>
              <w:left w:val="single" w:sz="6" w:color="000000"/>
              <w:bottom w:val="single" w:sz="6" w:color="000000"/>
              <w:right w:val="single" w:sz="6" w:color="000000"/>
            </w:tcBorders>
          </w:tcPr>
          <w:p>
            <w:pPr>
              <w:keepNext/>
            </w:pPr>
            <w:r/>
            <w:r>
              <w:rPr>
                <w:rFonts w:ascii="Arial" w:hAnsi="Arial"/>
                <w:sz w:val="20"/>
              </w:rPr>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3</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208</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0.232</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0.060</w:t>
            </w:r>
          </w:p>
        </w:tc>
      </w:tr>
    </w:tbl>
    <w:p>
      <w:pPr>
        <w:keepNext/>
      </w:pPr>
    </w:p>
    <w:p>
      <w:pPr>
        <w:keepLines/>
      </w:pPr>
      <w:bookmarkStart w:id="16" w:name="tbl_S16"/>
      <w:bookmarkEnd w:id="16"/>
      <w:r>
        <w:rPr>
          <w:rFonts w:ascii="Arial" w:hAnsi="Arial"/>
          <w:b/>
          <w:sz w:val="20"/>
        </w:rPr>
        <w:t xml:space="preserve">ST16. ESI trajectory by baseline lung-function stratum, follow-up visits 2 and 3. </w:t>
      </w:r>
      <w:r>
        <w:rPr>
          <w:rFonts w:ascii="Arial" w:hAnsi="Arial"/>
          <w:sz w:val="20"/>
        </w:rPr>
        <w:t>Change in ESI (ΔESI = follow-up − baseline) is summarized as mean and median within the GOLD 0 and PRISm baseline strata at follow-up visits 2 and 3. N is the number of participants with a valid ESI value at each follow-up visit. Positive ΔESI values indicate emphysema progression; negative individual values indicate apparent regression, most commonly attributable to spirometry session-to-session variability or measurement noise; all group means and medians shown here are non-negative. Despite similar baseline ESI values, PRISm participants show larger longitudinal increases than GOLD 0 participants, consistent with a gradual accumulation of emphysema not captured by baseline FEV₁/FVC alone.</w:t>
      </w:r>
      <w:r>
        <w:rPr>
          <w:rFonts w:ascii="Arial" w:hAnsi="Arial"/>
          <w:i/>
          <w:sz w:val="20"/>
        </w:rPr>
        <w:t xml:space="preserve"> Abbreviations: </w:t>
      </w:r>
      <w:r>
        <w:rPr>
          <w:rFonts w:ascii="Arial" w:hAnsi="Arial"/>
          <w:sz w:val="20"/>
        </w:rPr>
        <w:t>ESI, Emphysema Severity Index; ΔESI, change in ESI from baseline; GOLD, Global Initiative for Chronic Obstructive Lung Disease; PRISm, preserved-ratio impaired spirometry; FEV₁, forced expiratory volume in one second; FVC, forced vital capacity.</w:t>
      </w:r>
    </w:p>
    <w:tbl>
      <w:tblPr>
        <w:tblStyle w:val="TableGrid"/>
        <w:tblW w:type="auto" w:w="0"/>
        <w:jc w:val="center"/>
        <w:tblLook w:firstColumn="1" w:firstRow="1" w:lastColumn="0" w:lastRow="0" w:noHBand="0" w:noVBand="1" w:val="04A0"/>
        <w:tblLayout w:type="fixed"/>
      </w:tblPr>
      <w:tblGrid>
        <w:gridCol w:w="5760" w:type="dxa"/>
        <w:gridCol w:w="3600" w:type="dxa"/>
      </w:tblGrid>
      <w:tr>
        <w:trPr>
          <w:cantSplit/>
          <w:tblHeader/>
        </w:trPr>
        <w:tc>
          <w:tcPr>
            <w:tcW w:type="dxa" w:w="5760"/>
            <w:vAlign w:val="center"/>
            <w:tcBorders>
              <w:top w:val="single" w:sz="6" w:color="000000"/>
              <w:left w:val="single" w:sz="6" w:color="000000"/>
              <w:bottom w:val="single" w:sz="6" w:color="000000"/>
              <w:right w:val="single" w:sz="6" w:color="000000"/>
            </w:tcBorders>
          </w:tcPr>
          <w:p>
            <w:pPr>
              <w:keepNext/>
            </w:pPr>
            <w:r/>
            <w:r>
              <w:rPr>
                <w:rFonts w:ascii="Arial" w:hAnsi="Arial"/>
                <w:b/>
                <w:sz w:val="22"/>
              </w:rPr>
              <w:t>Statistic</w:t>
            </w:r>
          </w:p>
        </w:tc>
        <w:tc>
          <w:tcPr>
            <w:tcW w:type="dxa" w:w="3600"/>
            <w:vAlign w:val="center"/>
            <w:tcBorders>
              <w:top w:val="single" w:sz="6" w:color="000000"/>
              <w:left w:val="single" w:sz="6" w:color="000000"/>
              <w:bottom w:val="single" w:sz="6" w:color="000000"/>
              <w:right w:val="single" w:sz="6" w:color="000000"/>
            </w:tcBorders>
          </w:tcPr>
          <w:p>
            <w:pPr>
              <w:keepNext/>
            </w:pPr>
            <w:r/>
            <w:r>
              <w:rPr>
                <w:rFonts w:ascii="Arial" w:hAnsi="Arial"/>
                <w:b/>
                <w:sz w:val="22"/>
              </w:rPr>
              <w:t>Value</w:t>
            </w:r>
          </w:p>
        </w:tc>
      </w:tr>
      <w:tr>
        <w:trPr>
          <w:cantSplit/>
        </w:trPr>
        <w:tc>
          <w:tcPr>
            <w:tcW w:type="dxa" w:w="5760"/>
            <w:tcBorders>
              <w:top w:val="single" w:sz="6" w:color="000000"/>
              <w:left w:val="single" w:sz="6" w:color="000000"/>
              <w:bottom w:val="single" w:sz="6" w:color="000000"/>
              <w:right w:val="single" w:sz="6" w:color="000000"/>
            </w:tcBorders>
          </w:tcPr>
          <w:p>
            <w:pPr>
              <w:keepNext/>
            </w:pPr>
            <w:r/>
            <w:r>
              <w:rPr>
                <w:rFonts w:ascii="Arial" w:hAnsi="Arial"/>
                <w:sz w:val="20"/>
              </w:rPr>
              <w:t>Paired pre/post-bronchodilator measurements (N)</w:t>
            </w:r>
          </w:p>
        </w:tc>
        <w:tc>
          <w:tcPr>
            <w:tcW w:type="dxa" w:w="3600"/>
            <w:tcBorders>
              <w:top w:val="single" w:sz="6" w:color="000000"/>
              <w:left w:val="single" w:sz="6" w:color="000000"/>
              <w:bottom w:val="single" w:sz="6" w:color="000000"/>
              <w:right w:val="single" w:sz="6" w:color="000000"/>
            </w:tcBorders>
          </w:tcPr>
          <w:p>
            <w:pPr>
              <w:keepNext/>
            </w:pPr>
            <w:r/>
            <w:r>
              <w:rPr>
                <w:rFonts w:ascii="Arial" w:hAnsi="Arial"/>
                <w:sz w:val="20"/>
              </w:rPr>
              <w:t>10,160</w:t>
            </w:r>
          </w:p>
        </w:tc>
      </w:tr>
      <w:tr>
        <w:trPr>
          <w:cantSplit/>
        </w:trPr>
        <w:tc>
          <w:tcPr>
            <w:tcW w:type="dxa" w:w="5760"/>
            <w:tcBorders>
              <w:top w:val="single" w:sz="6" w:color="000000"/>
              <w:left w:val="single" w:sz="6" w:color="000000"/>
              <w:bottom w:val="single" w:sz="6" w:color="000000"/>
              <w:right w:val="single" w:sz="6" w:color="000000"/>
            </w:tcBorders>
          </w:tcPr>
          <w:p>
            <w:pPr>
              <w:keepNext/>
            </w:pPr>
            <w:r/>
            <w:r>
              <w:rPr>
                <w:rFonts w:ascii="Arial" w:hAnsi="Arial"/>
                <w:sz w:val="20"/>
              </w:rPr>
              <w:t>Mean ΔESI (post − pre)</w:t>
            </w:r>
          </w:p>
        </w:tc>
        <w:tc>
          <w:tcPr>
            <w:tcW w:type="dxa" w:w="3600"/>
            <w:tcBorders>
              <w:top w:val="single" w:sz="6" w:color="000000"/>
              <w:left w:val="single" w:sz="6" w:color="000000"/>
              <w:bottom w:val="single" w:sz="6" w:color="000000"/>
              <w:right w:val="single" w:sz="6" w:color="000000"/>
            </w:tcBorders>
          </w:tcPr>
          <w:p>
            <w:pPr>
              <w:keepNext/>
            </w:pPr>
            <w:r/>
            <w:r>
              <w:rPr>
                <w:rFonts w:ascii="Arial" w:hAnsi="Arial"/>
                <w:sz w:val="20"/>
              </w:rPr>
              <w:t>-0.09</w:t>
            </w:r>
          </w:p>
        </w:tc>
      </w:tr>
      <w:tr>
        <w:trPr>
          <w:cantSplit/>
        </w:trPr>
        <w:tc>
          <w:tcPr>
            <w:tcW w:type="dxa" w:w="5760"/>
            <w:tcBorders>
              <w:top w:val="single" w:sz="6" w:color="000000"/>
              <w:left w:val="single" w:sz="6" w:color="000000"/>
              <w:bottom w:val="single" w:sz="6" w:color="000000"/>
              <w:right w:val="single" w:sz="6" w:color="000000"/>
            </w:tcBorders>
          </w:tcPr>
          <w:p>
            <w:pPr>
              <w:keepNext/>
            </w:pPr>
            <w:r/>
            <w:r>
              <w:rPr>
                <w:rFonts w:ascii="Arial" w:hAnsi="Arial"/>
                <w:sz w:val="20"/>
              </w:rPr>
              <w:t>Standard deviation of ΔESI</w:t>
            </w:r>
          </w:p>
        </w:tc>
        <w:tc>
          <w:tcPr>
            <w:tcW w:type="dxa" w:w="3600"/>
            <w:tcBorders>
              <w:top w:val="single" w:sz="6" w:color="000000"/>
              <w:left w:val="single" w:sz="6" w:color="000000"/>
              <w:bottom w:val="single" w:sz="6" w:color="000000"/>
              <w:right w:val="single" w:sz="6" w:color="000000"/>
            </w:tcBorders>
          </w:tcPr>
          <w:p>
            <w:pPr>
              <w:keepNext/>
            </w:pPr>
            <w:r/>
            <w:r>
              <w:rPr>
                <w:rFonts w:ascii="Arial" w:hAnsi="Arial"/>
                <w:sz w:val="20"/>
              </w:rPr>
              <w:t>0.86</w:t>
            </w:r>
          </w:p>
        </w:tc>
      </w:tr>
    </w:tbl>
    <w:p>
      <w:pPr>
        <w:keepNext/>
      </w:pPr>
    </w:p>
    <w:p>
      <w:pPr>
        <w:keepLines/>
      </w:pPr>
      <w:bookmarkStart w:id="17" w:name="tbl_S17"/>
      <w:bookmarkEnd w:id="17"/>
      <w:r>
        <w:rPr>
          <w:rFonts w:ascii="Arial" w:hAnsi="Arial"/>
          <w:b/>
          <w:sz w:val="20"/>
        </w:rPr>
        <w:t xml:space="preserve">ST17. ESI stability across paired pre- and post-bronchodilator spirometry. </w:t>
      </w:r>
      <w:r>
        <w:rPr>
          <w:rFonts w:ascii="Arial" w:hAnsi="Arial"/>
          <w:sz w:val="20"/>
        </w:rPr>
        <w:t>Change in the Emphysema Severity Index (ESI) between paired pre- and post-bronchodilator spirometry measurements at the baseline visit. Pairs are restricted to measurements with valid ESI values computed from both pre- and post-bronchodilator flow-volume curves. This analysis is not restricted to the analytic cohort and draws on all COPDGene participants with paired spirometry, so the number of pairs exceeds the analytic cohort size.</w:t>
      </w:r>
      <w:r>
        <w:rPr>
          <w:rFonts w:ascii="Arial" w:hAnsi="Arial"/>
          <w:i/>
          <w:sz w:val="20"/>
        </w:rPr>
        <w:t xml:space="preserve"> Abbreviations: </w:t>
      </w:r>
      <w:r>
        <w:rPr>
          <w:rFonts w:ascii="Arial" w:hAnsi="Arial"/>
          <w:sz w:val="20"/>
        </w:rPr>
        <w:t>ESI, Emphysema Severity Index; ΔESI, post-bronchodilator minus pre-bronchodilator ESI.</w:t>
      </w:r>
    </w:p>
    <w:sectPr w:rsidR="00FC693F" w:rsidRPr="0006063C" w:rsidSect="00034616">
      <w:pgSz w:w="12240" w:h="15840"/>
      <w:pgMar w:top="1440" w:right="504" w:bottom="144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