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Pr>
        <w:ind w:left="720"/>
      </w:pPr>
      <w:r>
        <w:rPr>
          <w:rFonts w:ascii="Arial" w:hAnsi="Arial"/>
          <w:b/>
          <w:sz w:val="22"/>
        </w:rPr>
        <w:t xml:space="preserve"> ST18  |  </w:t>
      </w:r>
      <w:hyperlink w:anchor="tbl_S18">
        <w:r>
          <w:rPr>
            <w:rFonts w:ascii="Arial" w:hAnsi="Arial" w:cs="Arial"/>
            <w:sz w:val="22"/>
            <w:color w:val="0563C1"/>
            <w:u w:val="single"/>
          </w:rPr>
          <w:t xml:space="preserve">Observed event rates, event counts and follow-up time in the four cross-classification groups defined by concordance and discordance between the CT-based and ESI-based COPD definitions</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 minor pathway"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 minor pathway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0.91</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(-0.573, 0.583)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0.94</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1.42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-0.436</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(-1.806, 0.748)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1.35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1.01</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0.34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0.291</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(-0.123, 0.794)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0.20</w:t>
            </w:r>
          </w:p>
        </w:tc>
      </w:tr>
      <w:tr>
        <w:trPr>
          <w:cantSplit/>
        </w:trPr>
        <w:tc>
          <w:tcPr>
            <w:tcW w:type="dxa" w:w="2232"/>
            <w:vMerge/>
            <w:tcBorders>
              <w:top w:val="nil"/>
              <w:left w:val="single" w:sz="6" w:color="000000"/>
              <w:bottom w:val="nil"/>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2.10</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0.032</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(-0.120, 0.183)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0.68</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3.82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3.45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0.38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0.103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(0.064, 0.146)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and body mass index for mortality, with prior exacerbation frequency additionally included in the exacerbation models.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0.310</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0.449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0.202</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0.623</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These are the contrasts underlying main text Table 3. No contrast reached significance for any outcome at α = 0.05, so no significance letters are displayed there.</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1.36 (1.01–1.83)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2.14 (1.86–2.46)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3.69 (3.35–4.06)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1.01 (0.66–1.53)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2.07 (1.74–2.46)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3.33 (3.03–3.65)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 for mortality, with prior exacerbation frequency additionally included in the exacerbation models.</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1.35 (1.00–1.81)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2.16 (1.88–2.49)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3.82 (3.48–4.21)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1.08 (0.91–1.29)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(1.81–2.74)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3.73 (3.40–4.10)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 for mortality, with prior exacerbation frequency additionally included in the exacerbation models.</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1.33 (0.89–2.00)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2.83 (2.37–3.38)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4.82 (4.25–5.46)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1.24 (0.72–2.14)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2.46 (1.99–3.06)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4.08 (3.62–4.60)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exacerbation covariate set: age, sex, race, current smoking status, pack-years, body mass index and prior exacerbation frequency.</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tbl>
      <w:tblPr>
        <w:tblStyle w:val="TableGrid"/>
        <w:tblW w:type="auto" w:w="0"/>
        <w:jc w:val="center"/>
        <w:tblLook w:firstColumn="1" w:firstRow="1" w:lastColumn="0" w:lastRow="0" w:noHBand="0" w:noVBand="1" w:val="04A0"/>
        <w:tblLayout w:type="fixed"/>
      </w:tblPr>
      <w:tblGrid>
        <w:gridCol w:w="1800" w:type="dxa"/>
        <w:gridCol w:w="1944" w:type="dxa"/>
        <w:gridCol w:w="864" w:type="dxa"/>
        <w:gridCol w:w="1368" w:type="dxa"/>
        <w:gridCol w:w="1080" w:type="dxa"/>
        <w:gridCol w:w="2304" w:type="dxa"/>
      </w:tblGrid>
      <w:tr>
        <w:trPr>
          <w:cantSplit/>
          <w:tblHeader/>
        </w:trPr>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Classification group</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Person-years</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Events</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Rate per 100 person-years</w:t>
            </w:r>
          </w:p>
        </w:tc>
      </w:tr>
      <w:tr>
        <w:trPr>
          <w:cantSplit/>
        </w:trPr>
        <w:tc>
          <w:tcPr>
            <w:tcW w:type="dxa" w:w="1800"/>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Both-noCOPD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4,109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40,590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602</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1.48</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CT-only-COPD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538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4,494</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114</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2.54</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ESI-only-COPD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846</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16</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1.89</w:t>
            </w:r>
          </w:p>
        </w:tc>
      </w:tr>
      <w:tr>
        <w:trPr>
          <w:cantSplit/>
        </w:trPr>
        <w:tc>
          <w:tcPr>
            <w:tcW w:type="dxa" w:w="1800"/>
            <w:vMerge/>
            <w:tcBorders>
              <w:top w:val="nil"/>
              <w:left w:val="single" w:sz="6" w:color="000000"/>
              <w:bottom w:val="single" w:sz="6" w:color="000000"/>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4,498</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134</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2.98</w:t>
            </w:r>
          </w:p>
        </w:tc>
      </w:tr>
      <w:tr>
        <w:trPr>
          <w:cantSplit/>
        </w:trPr>
        <w:tc>
          <w:tcPr>
            <w:tcW w:type="dxa" w:w="1800"/>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Both-noCOPD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4,109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40,590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12</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0.030</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CT-only-COPD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538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4,494</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0.089</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ESI-only-COPD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846</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0.118</w:t>
            </w:r>
          </w:p>
        </w:tc>
      </w:tr>
      <w:tr>
        <w:trPr>
          <w:cantSplit/>
        </w:trPr>
        <w:tc>
          <w:tcPr>
            <w:tcW w:type="dxa" w:w="1800"/>
            <w:vMerge/>
            <w:tcBorders>
              <w:top w:val="nil"/>
              <w:left w:val="single" w:sz="6" w:color="000000"/>
              <w:bottom w:val="single" w:sz="6" w:color="000000"/>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4,498</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0.156</w:t>
            </w:r>
          </w:p>
        </w:tc>
      </w:tr>
      <w:tr>
        <w:trPr>
          <w:cantSplit/>
        </w:trPr>
        <w:tc>
          <w:tcPr>
            <w:tcW w:type="dxa" w:w="1800"/>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Both-noCOPD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33,601</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4,135</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12.31</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CT-only-COPD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3,550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966</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27.21</w:t>
            </w:r>
          </w:p>
        </w:tc>
      </w:tr>
      <w:tr>
        <w:trPr>
          <w:cantSplit/>
        </w:trPr>
        <w:tc>
          <w:tcPr>
            <w:tcW w:type="dxa" w:w="1800"/>
            <w:vMerge/>
            <w:tcBorders>
              <w:top w:val="nil"/>
              <w:left w:val="single" w:sz="6" w:color="000000"/>
              <w:bottom w:val="nil"/>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ESI-only-COPD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663</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108</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16.28</w:t>
            </w:r>
          </w:p>
        </w:tc>
      </w:tr>
      <w:tr>
        <w:trPr>
          <w:cantSplit/>
        </w:trPr>
        <w:tc>
          <w:tcPr>
            <w:tcW w:type="dxa" w:w="1800"/>
            <w:vMerge/>
            <w:tcBorders>
              <w:top w:val="nil"/>
              <w:left w:val="single" w:sz="6" w:color="000000"/>
              <w:bottom w:val="single" w:sz="6" w:color="000000"/>
              <w:right w:val="single" w:sz="6" w:color="000000"/>
            </w:tcBorders>
          </w:tcPr>
          <w:p>
            <w:pPr>
              <w:keepNext/>
            </w:pPr>
            <w:r/>
            <w:r>
              <w:rPr>
                <w:rFonts w:ascii="Arial" w:hAnsi="Arial"/>
                <w:sz w:val="20"/>
              </w:rPr>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Both-COPD</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3,438</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1,704</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49.57</w:t>
            </w:r>
          </w:p>
        </w:tc>
      </w:tr>
    </w:tbl>
    <w:p>
      <w:pPr>
        <w:keepNext/>
      </w:pPr>
    </w:p>
    <w:p>
      <w:pPr>
        <w:keepLines/>
      </w:pPr>
      <w:bookmarkStart w:id="18" w:name="tbl_S18"/>
      <w:bookmarkEnd w:id="18"/>
      <w:r>
        <w:rPr>
          <w:rFonts w:ascii="Arial" w:hAnsi="Arial"/>
          <w:b/>
          <w:sz w:val="20"/>
        </w:rPr>
        <w:t xml:space="preserve">ST18. Observed event rates, event counts and follow-up time in the four cross-classification groups. </w:t>
      </w:r>
      <w:r>
        <w:rPr>
          <w:rFonts w:ascii="Arial" w:hAnsi="Arial"/>
          <w:sz w:val="20"/>
        </w:rPr>
        <w:t>Rates are events per 100 person-years, computed directly from the observed events and follow-up time shown in the same row, with no model and no adjustment. The four groups are defined by whether a participant meets the COPD definition under the CT-based framework, the ESI-based framework, both or neither, within the preserved-spirometry subgroup analyzed in Table 2. Mortality and exacerbation outcomes are analyzed on different participant sets, so n and person-years are given separately for each outcome. Respiratory mortality is reported to three decimal places because the rates are well under one event per 100 person-years, and the event counts show how few deaths several of these rates rest on. Table 2 reports the crude rate ratio of each group against the Both-noCOPD reference, computed from these rates; Table 3 reports the corresponding covariate-adjusted estimates.</w:t>
      </w:r>
      <w:r>
        <w:rPr>
          <w:rFonts w:ascii="Arial" w:hAnsi="Arial"/>
          <w:i/>
          <w:sz w:val="20"/>
        </w:rPr>
        <w:t xml:space="preserve"> Abbreviations: </w:t>
      </w:r>
      <w:r>
        <w:rPr>
          <w:rFonts w:ascii="Arial" w:hAnsi="Arial"/>
          <w:sz w:val="20"/>
        </w:rPr>
        <w:t>CT, computed tomography; ESI, Emphysema Severity Index; COPD, chronic obstructive pulmonary disease.</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