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04A50D0"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xml:space="preserve">; Matteo Paoletti³; Mariaelena Occhipinti⁴; Alessandra Sorano³; Federico Lavorini³; Enrico Maiorino¹; Craig P. Hersh¹,⁵; Edwin K. Silverman¹,⁵; </w:t>
      </w:r>
      <w:r w:rsidR="00A70800">
        <w:rPr>
          <w:lang w:val="it-IT"/>
        </w:rPr>
        <w:t xml:space="preserve">James </w:t>
      </w:r>
      <w:proofErr w:type="spellStart"/>
      <w:r w:rsidR="00A70800">
        <w:rPr>
          <w:lang w:val="it-IT"/>
        </w:rPr>
        <w:t>Crapo</w:t>
      </w:r>
      <w:proofErr w:type="spellEnd"/>
      <w:r w:rsidR="00A70800" w:rsidRPr="00A70800">
        <w:rPr>
          <w:b/>
          <w:bCs/>
          <w:lang w:val="it-IT"/>
        </w:rPr>
        <w:t>⁶</w:t>
      </w:r>
      <w:r w:rsidR="00A70800">
        <w:rPr>
          <w:lang w:val="it-IT"/>
        </w:rPr>
        <w:t xml:space="preserve">; </w:t>
      </w:r>
      <w:proofErr w:type="spellStart"/>
      <w:r w:rsidR="00F370B1">
        <w:rPr>
          <w:lang w:val="it-IT"/>
        </w:rPr>
        <w:t>Surya</w:t>
      </w:r>
      <w:proofErr w:type="spellEnd"/>
      <w:r w:rsidR="004471E2">
        <w:rPr>
          <w:lang w:val="it-IT"/>
        </w:rPr>
        <w:t xml:space="preserve"> </w:t>
      </w:r>
      <w:r w:rsidR="004471E2" w:rsidRPr="004471E2">
        <w:rPr>
          <w:color w:val="FF0000"/>
          <w:lang w:val="it-IT"/>
        </w:rPr>
        <w:t>P.</w:t>
      </w:r>
      <w:r w:rsidR="00F370B1">
        <w:rPr>
          <w:lang w:val="it-IT"/>
        </w:rPr>
        <w:t xml:space="preserve"> </w:t>
      </w:r>
      <w:proofErr w:type="spellStart"/>
      <w:r w:rsidR="00F370B1">
        <w:rPr>
          <w:lang w:val="it-IT"/>
        </w:rPr>
        <w:t>Bhatt</w:t>
      </w:r>
      <w:proofErr w:type="spellEnd"/>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 xml:space="preserve">⁶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47184107" w:rsidR="00E757CA" w:rsidRDefault="00960EEA">
      <w:r w:rsidRPr="00C04622">
        <w:rPr>
          <w:b/>
        </w:rPr>
        <w:t>Key words:</w:t>
      </w:r>
      <w:r>
        <w:t xml:space="preserve"> Chronic Obstructive Pulmonary Disease; Spirometry; Pulmonary Emphysema; Computed Tomography;</w:t>
      </w:r>
      <w:r w:rsidRPr="00396AD9">
        <w:rPr>
          <w:strike/>
          <w:color w:val="FF0000"/>
        </w:rPr>
        <w:t xml:space="preserve"> </w:t>
      </w:r>
      <w:proofErr w:type="spellStart"/>
      <w:r w:rsidRPr="00396AD9">
        <w:rPr>
          <w:strike/>
          <w:color w:val="FF0000"/>
        </w:rPr>
        <w:t>Pulmonary Function Tests</w:t>
      </w:r>
      <w:r w:rsidR="00396AD9" w:rsidRPr="00396AD9">
        <w:rPr>
          <w:color w:val="FF0000"/>
        </w:rPr>
      </w:r>
      <w:proofErr w:type="spellEnd"/>
      <w:r w:rsidRPr="00396AD9">
        <w:rPr>
          <w:color w:val="FF0000"/>
        </w:rPr>
      </w:r>
      <w:r/>
    </w:p>
    <w:p w14:paraId="387842DE" w14:textId="77777777" w:rsidR="00842167" w:rsidRDefault="00842167">
      <w:pPr>
        <w:pStyle w:val="Titolo1"/>
        <w:rPr>
          <w:rFonts w:ascii="Arial" w:hAnsi="Arial"/>
          <w:b w:val="0"/>
          <w:sz w:val="22"/>
        </w:rPr>
      </w:pPr>
    </w:p>
    <w:p w14:paraId="78AA15B6" w14:textId="77777777" w:rsidR="00842167" w:rsidRDefault="00842167">
      <w:pPr>
        <w:pStyle w:val="Titolo1"/>
        <w:rPr>
          <w:rFonts w:ascii="Arial" w:hAnsi="Arial"/>
          <w:b w:val="0"/>
          <w:sz w:val="22"/>
        </w:rPr>
      </w:pPr>
    </w:p>
    <w:p w14:paraId="300FE9DE" w14:textId="77777777" w:rsidR="00842167" w:rsidRDefault="00842167">
      <w:pPr>
        <w:pStyle w:val="Titolo1"/>
        <w:rPr>
          <w:rFonts w:ascii="Arial" w:hAnsi="Arial"/>
          <w:b w:val="0"/>
          <w:sz w:val="22"/>
        </w:rPr>
      </w:pPr>
    </w:p>
    <w:p w14:paraId="6D8BC223" w14:textId="77777777" w:rsidR="00842167" w:rsidRDefault="00842167">
      <w:pPr>
        <w:pStyle w:val="Titolo1"/>
        <w:rPr>
          <w:rFonts w:ascii="Arial" w:hAnsi="Arial"/>
          <w:b w:val="0"/>
          <w:sz w:val="22"/>
        </w:rPr>
      </w:pPr>
    </w:p>
    <w:p w14:paraId="25A3A669" w14:textId="77777777" w:rsidR="00842167" w:rsidRDefault="00842167">
      <w:pPr>
        <w:pStyle w:val="Titolo1"/>
        <w:rPr>
          <w:rFonts w:ascii="Arial" w:hAnsi="Arial"/>
          <w:b w:val="0"/>
          <w:sz w:val="22"/>
        </w:rPr>
      </w:pPr>
    </w:p>
    <w:p w14:paraId="1233E0FD" w14:textId="77777777" w:rsidR="00842167" w:rsidRDefault="00842167">
      <w:pPr>
        <w:pStyle w:val="Titolo1"/>
        <w:rPr>
          <w:rFonts w:ascii="Arial" w:hAnsi="Arial"/>
          <w:b w:val="0"/>
          <w:sz w:val="22"/>
        </w:rPr>
      </w:pPr>
    </w:p>
    <w:p w14:paraId="6B4B1164" w14:textId="77777777" w:rsidR="00842167" w:rsidRDefault="00842167">
      <w:pPr>
        <w:pStyle w:val="Titolo1"/>
        <w:rPr>
          <w:rFonts w:ascii="Arial" w:hAnsi="Arial"/>
          <w:b w:val="0"/>
          <w:sz w:val="22"/>
        </w:rPr>
      </w:pPr>
    </w:p>
    <w:p w14:paraId="39E70E1B" w14:textId="77777777" w:rsidR="00842167" w:rsidRDefault="00842167">
      <w:pPr>
        <w:pStyle w:val="Titolo1"/>
        <w:rPr>
          <w:rFonts w:ascii="Arial" w:hAnsi="Arial"/>
          <w:b w:val="0"/>
          <w:sz w:val="22"/>
        </w:rPr>
      </w:pPr>
    </w:p>
    <w:p w14:paraId="7015077C" w14:textId="77777777" w:rsidR="00842167" w:rsidRDefault="00842167">
      <w:pPr>
        <w:pStyle w:val="Titolo1"/>
        <w:rPr>
          <w:rFonts w:ascii="Arial" w:hAnsi="Arial"/>
          <w:b w:val="0"/>
          <w:sz w:val="22"/>
        </w:rPr>
      </w:pPr>
    </w:p>
    <w:p w14:paraId="2987927C" w14:textId="77777777" w:rsidR="00C04622" w:rsidRDefault="00C04622" w:rsidP="00C04622">
      <w:pPr>
        <w:pStyle w:val="Titolo1"/>
        <w:rPr>
          <w:rFonts w:ascii="Arial" w:hAnsi="Arial"/>
          <w:bCs w:val="0"/>
          <w:sz w:val="22"/>
        </w:rPr>
      </w:pPr>
    </w:p>
    <w:p w14:paraId="510B6D6C" w14:textId="77777777" w:rsidR="00C04622" w:rsidRDefault="00C04622" w:rsidP="00C04622">
      <w:pPr>
        <w:pStyle w:val="Titolo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Titolo1"/>
        <w:rPr>
          <w:rFonts w:ascii="Arial" w:hAnsi="Arial"/>
          <w:b w:val="0"/>
          <w:sz w:val="22"/>
        </w:rPr>
      </w:pPr>
    </w:p>
    <w:p w14:paraId="5ADE745F" w14:textId="77777777" w:rsidR="00681980" w:rsidRDefault="00681980">
      <w:pPr>
        <w:pStyle w:val="Titolo1"/>
        <w:rPr>
          <w:rFonts w:ascii="Arial" w:hAnsi="Arial"/>
          <w:b w:val="0"/>
          <w:sz w:val="22"/>
        </w:rPr>
      </w:pPr>
    </w:p>
    <w:p w14:paraId="23234F69" w14:textId="77777777" w:rsidR="00681980" w:rsidRDefault="00681980">
      <w:pPr>
        <w:pStyle w:val="Titolo1"/>
        <w:rPr>
          <w:rFonts w:ascii="Arial" w:hAnsi="Arial"/>
          <w:b w:val="0"/>
          <w:sz w:val="22"/>
        </w:rPr>
      </w:pPr>
    </w:p>
    <w:p w14:paraId="1CAA277E" w14:textId="77777777" w:rsidR="00681980" w:rsidRDefault="00681980">
      <w:pPr>
        <w:pStyle w:val="Titolo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268CD670"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phenotypic heterogeneity</w:t>
      </w:r>
      <w:r w:rsidRPr="004815D8">
        <w:rPr>
          <w:rFonts w:eastAsia="Times New Roman"/>
          <w:strike/>
          <w:color w:val="FF0000"/>
          <w:lang w:eastAsia="it-IT"/>
        </w:rPr>
      </w:r>
      <w:r w:rsidRPr="00442CB5">
        <w:rPr>
          <w:rFonts w:eastAsia="Times New Roman"/>
          <w:lang w:eastAsia="it-IT"/>
        </w:rPr>
      </w:r>
      <w:r w:rsidR="004815D8">
        <w:rPr>
          <w:rFonts w:eastAsia="Times New Roman"/>
          <w:color w:val="FF0000"/>
          <w:lang w:eastAsia="it-IT"/>
        </w:rPr>
      </w:r>
      <w:r w:rsidRPr="00442CB5">
        <w:rPr>
          <w:rFonts w:eastAsia="Times New Roman"/>
          <w:lang w:eastAsia="it-IT"/>
        </w:rPr>
        <w:t xml:space="preserve">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D9B93B4"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 for mortality</w:t>
      </w:r>
      <w:r w:rsidRPr="00D2472A">
        <w:rPr>
          <w:rFonts w:eastAsia="Times New Roman"/>
          <w:strike/>
          <w:color w:val="FF0000"/>
          <w:lang w:eastAsia="it-IT"/>
        </w:rPr>
      </w:r>
      <w:r w:rsidRPr="00D2472A">
        <w:rPr>
          <w:rFonts w:eastAsia="Times New Roman"/>
          <w:color w:val="FF0000"/>
          <w:lang w:eastAsia="it-IT"/>
        </w:rPr>
      </w:r>
      <w:r w:rsidR="00D2472A">
        <w:rPr>
          <w:rFonts w:eastAsia="Times New Roman"/>
          <w:color w:val="FF0000"/>
          <w:lang w:eastAsia="it-IT"/>
        </w:rPr>
      </w:r>
      <w:r w:rsidRPr="00442CB5">
        <w:rPr>
          <w:rFonts w:eastAsia="Times New Roman"/>
          <w:lang w:eastAsia="it-IT"/>
        </w:rPr>
        <w:t xml:space="preserve">,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7956479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t>
      </w:r>
      <w:proofErr w:type="gramStart"/>
      <w:r w:rsidRPr="004F0EB4">
        <w:rPr>
          <w:rFonts w:eastAsia="Times New Roman"/>
          <w:lang w:eastAsia="it-IT"/>
        </w:rPr>
        <w:t>was performed</w:t>
      </w:r>
      <w:proofErr w:type="gramEnd"/>
      <w:r w:rsidRPr="004F0EB4">
        <w:rPr>
          <w:rFonts w:eastAsia="Times New Roman"/>
          <w:lang w:eastAsia="it-IT"/>
        </w:rPr>
        <w:t xml:space="preserve"> using data from the COPDGene study (NCT00608764), a multicenter observational cohort of current and former smokers aged 45–80 years</w:t>
      </w:r>
      <w:r w:rsidR="006B6153">
        <w:rPr>
          <w:rFonts w:eastAsia="Times New Roman"/>
          <w:lang w:eastAsia="it-IT"/>
        </w:rPr>
        <w:t xml:space="preserve"> </w:t>
      </w:r>
      <w:r w:rsidR="006B6153">
        <w:rPr>
          <w:rFonts w:eastAsia="Times New Roman"/>
          <w:color w:val="FF0000"/>
          <w:lang w:eastAsia="it-IT"/>
        </w:rPr>
        <w:t>at enrollment</w:t>
      </w:r>
      <w:r w:rsidRPr="004F0EB4">
        <w:rPr>
          <w:rFonts w:eastAsia="Times New Roman"/>
          <w:lang w:eastAsia="it-IT"/>
        </w:rPr>
        <w:t xml:space="preserve">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w:t>
      </w:r>
      <w:proofErr w:type="spellStart"/>
      <w:r w:rsidRPr="004F0EB4">
        <w:rPr>
          <w:rFonts w:eastAsia="Times New Roman"/>
          <w:lang w:eastAsia="it-IT"/>
        </w:rPr>
        <w:t>COPDGene</w:t>
      </w:r>
      <w:proofErr w:type="spellEnd"/>
      <w:r w:rsidR="001A6D5A">
        <w:rPr>
          <w:rFonts w:eastAsia="Times New Roman"/>
          <w:lang w:eastAsia="it-IT"/>
        </w:rPr>
        <w:t xml:space="preserve"> </w:t>
      </w:r>
      <w:r w:rsidR="001A6D5A">
        <w:rPr>
          <w:rFonts w:eastAsia="Times New Roman"/>
          <w:color w:val="FF0000"/>
          <w:lang w:eastAsia="it-IT"/>
        </w:rPr>
        <w:t>study</w:t>
      </w:r>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w:t>
      </w:r>
      <w:proofErr w:type="gramStart"/>
      <w:r w:rsidRPr="004F0EB4">
        <w:rPr>
          <w:rFonts w:eastAsia="Times New Roman"/>
          <w:lang w:eastAsia="it-IT"/>
        </w:rPr>
        <w:t>to be present</w:t>
      </w:r>
      <w:proofErr w:type="gramEnd"/>
      <w:r w:rsidRPr="004F0EB4">
        <w:rPr>
          <w:rFonts w:eastAsia="Times New Roman"/>
          <w:lang w:eastAsia="it-IT"/>
        </w:rPr>
        <w:t xml:space="preserve">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DC1FAAA"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w:t>
      </w:r>
      <w:proofErr w:type="spellStart"/>
      <w:r w:rsidRPr="004F0EB4">
        <w:rPr>
          <w:rFonts w:eastAsia="Times New Roman"/>
          <w:lang w:eastAsia="it-IT"/>
        </w:rPr>
        <w:t>Fleischner</w:t>
      </w:r>
      <w:proofErr w:type="spellEnd"/>
      <w:r w:rsidRPr="004F0EB4">
        <w:rPr>
          <w:rFonts w:eastAsia="Times New Roman"/>
          <w:lang w:eastAsia="it-IT"/>
        </w:rPr>
        <w:t xml:space="preserve"> assessment definite</w:t>
      </w:r>
      <w:r w:rsidR="001A6D5A">
        <w:rPr>
          <w:rFonts w:eastAsia="Times New Roman"/>
          <w:lang w:eastAsia="it-IT"/>
        </w:rPr>
        <w:t xml:space="preserve"> </w:t>
      </w:r>
      <w:r w:rsidR="001A6D5A">
        <w:rPr>
          <w:rFonts w:eastAsia="Times New Roman"/>
          <w:color w:val="FF0000"/>
          <w:lang w:eastAsia="it-IT"/>
        </w:rPr>
        <w:t>thickening</w:t>
      </w:r>
      <w:r w:rsidRPr="004F0EB4">
        <w:rPr>
          <w:rFonts w:eastAsia="Times New Roman"/>
          <w:lang w:eastAsia="it-IT"/>
        </w:rPr>
        <w:t>)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 major pathway; participants meeting at least three of five minor criteria without the major criterion are classified as COPD minor pathway;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w:t>
      </w:r>
      <w:r w:rsidRPr="004F0EB4">
        <w:rPr>
          <w:rFonts w:eastAsia="Times New Roman"/>
          <w:lang w:eastAsia="it-IT"/>
        </w:rPr>
        <w:t xml:space="preserve">population. To preserve the original diagnostic architecture, in which the structural domain contributes up to two of five minor criteria, the ESI-based representation was implemented as a two-threshold scoring rule. ESI ranges from 0 to 10. Values below the lower cutoff (ESI &lt; 1) contribute zero minor criteria; values from the lower cutoff up to but not including the upper cutoff (1 ≤ ESI &lt; 2.5) contribute one; values at or above the upper cutoff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(FEV₁ % predicted ≥ 80% and FEV₁/FVC ≥ 0.70) were referred to as GOLD 0 subjects. Spirometric strata were assigned from the COPDGene staging variable rather than by applying these cut-points independently.</w:t>
      </w:r>
      <w:r w:rsidRPr="004F0EB4">
        <w:rPr>
          <w:rFonts w:eastAsia="Times New Roman"/>
          <w:lang w:eastAsia="it-IT"/>
        </w:rPr>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Longitudinal FEV1 decline was </w:t>
      </w:r>
      <w:r w:rsidR="00011522">
        <w:rPr>
          <w:rFonts w:eastAsia="Times New Roman"/>
          <w:lang w:eastAsia="it-IT"/>
        </w:rPr>
        <w:t>obtained from the main COPD phenotype file containing data from the first three study visits spanning a ~15-year follow-up period. The specific COPDGene data files used are listed in the Supplement.</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Classification agreement between CT-based and ESI-based frameworks was assessed at the level of the binary COPD classification (COPD versus no COPD) using sensitivity, specificity, overall agreement, and Cohen’s κ coefficient. Because this comparison is binary, unweighted κ is reported; the four-category cross-classification is displayed in Figure 1B.</w:t>
      </w:r>
      <w:r w:rsidRPr="004F0EB4">
        <w:rPr>
          <w:rFonts w:eastAsia="Times New Roman"/>
          <w:lang w:val="it-IT" w:eastAsia="it-IT"/>
        </w:rPr>
      </w:r>
      <w:r w:rsidRPr="004F0EB4">
        <w:rPr>
          <w:rFonts w:eastAsia="Times New Roman"/>
          <w:lang w:eastAsia="it-IT"/>
        </w:rPr>
        <w:t xml:space="preserve">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2C4C51" w:rsidRDefault="004F0EB4" w:rsidP="004F0EB4">
      <w:pPr>
        <w:spacing w:before="100" w:beforeAutospacing="1" w:after="100" w:afterAutospacing="1"/>
        <w:rPr>
          <w:rFonts w:eastAsia="Times New Roman"/>
          <w:lang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Adjustment sets were as follows. For mortality and exacerbation models, covariates were age, sex, race, current smoking status, pack-years, and body mass index (BMI); exacerbation models additionally adjusted for prior exacerbation frequency at baseline, consistent with the original MD-COPD report.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2C4C51">
        <w:rPr>
          <w:rFonts w:eastAsia="Times New Roman"/>
          <w:lang w:eastAsia="it-IT"/>
        </w:rPr>
        <w:t xml:space="preserve">All analyses </w:t>
      </w:r>
      <w:proofErr w:type="gramStart"/>
      <w:r w:rsidRPr="002C4C51">
        <w:rPr>
          <w:rFonts w:eastAsia="Times New Roman"/>
          <w:lang w:eastAsia="it-IT"/>
        </w:rPr>
        <w:t>were performed</w:t>
      </w:r>
      <w:proofErr w:type="gramEnd"/>
      <w:r w:rsidRPr="002C4C51">
        <w:rPr>
          <w:rFonts w:eastAsia="Times New Roman"/>
          <w:lang w:eastAsia="it-IT"/>
        </w:rPr>
        <w:t xml:space="preserve"> in R (version 4.5.2).</w:t>
      </w:r>
    </w:p>
    <w:p w14:paraId="4D58684F" w14:textId="15BA39FB"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w:t>
      </w:r>
      <w:r w:rsidRPr="004F0EB4">
        <w:rPr>
          <w:rFonts w:eastAsia="Times New Roman"/>
          <w:lang w:eastAsia="it-IT"/>
        </w:rPr>
        <w:lastRenderedPageBreak/>
        <w:t>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w:t>
      </w:r>
      <w:r w:rsidR="001A6D5A">
        <w:rPr>
          <w:rFonts w:eastAsia="Times New Roman"/>
          <w:color w:val="FF0000"/>
          <w:lang w:eastAsia="it-IT"/>
        </w:rPr>
        <w:t>s</w:t>
      </w:r>
      <w:r w:rsidRPr="004F0EB4">
        <w:rPr>
          <w:rFonts w:eastAsia="Times New Roman"/>
          <w:lang w:eastAsia="it-IT"/>
        </w:rPr>
        <w:t xml:space="preserve"> offset for exacerbations) under both frameworks. The two frameworks are fitted as separate models on the same participants, so their estimates are paired rather than independent, and the bootstrap resamples participants and refits both models within each resample.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2C4C51" w:rsidRDefault="004F0EB4" w:rsidP="00442CB5">
      <w:pPr>
        <w:spacing w:before="100" w:beforeAutospacing="1" w:after="100" w:afterAutospacing="1"/>
        <w:rPr>
          <w:rFonts w:eastAsia="Times New Roman"/>
          <w:lang w:eastAsia="it-IT"/>
        </w:rPr>
      </w:pPr>
      <w:r w:rsidRPr="004F0EB4">
        <w:rPr>
          <w:rFonts w:eastAsia="Times New Roman"/>
          <w:lang w:eastAsia="it-IT"/>
        </w:rPr>
        <w:t xml:space="preserve">For pairwise between-subgroup comparisons in Table 3,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2C4C51">
        <w:rPr>
          <w:rFonts w:eastAsia="Times New Roman"/>
          <w:lang w:eastAsia="it-IT"/>
        </w:rPr>
        <w:t xml:space="preserve">Full contrast estimates are reported in Supplemental Table 3. Observed event rates are reported alongside the adjusted estimates: crude rate ratios in Table 1, and unadjusted rates per 100 person-years in Table 2. Crude and adjusted estimates answer different questions, the first describing what participants in a category experienced and the second the association remaining after adjustment.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244F0D2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participants showed higher ESI values. </w:t>
      </w:r>
      <w:r w:rsidRPr="001A6D5A">
        <w:rPr>
          <w:rFonts w:eastAsia="Times New Roman"/>
          <w:strike/>
          <w:color w:val="FF0000"/>
          <w:lang w:eastAsia="it-IT"/>
        </w:rPr>
        <w:t>While the ESI-only group</w:t>
      </w:r>
      <w:proofErr w:type="spellStart"/>
      <w:r w:rsidRPr="001A6D5A">
        <w:rPr>
          <w:rFonts w:eastAsia="Times New Roman"/>
          <w:strike/>
          <w:color w:val="FF0000"/>
          <w:lang w:eastAsia="it-IT"/>
        </w:rPr>
      </w:r>
      <w:r w:rsidR="001A6D5A">
        <w:rPr>
          <w:rFonts w:eastAsia="Times New Roman"/>
          <w:color w:val="FF0000"/>
          <w:lang w:eastAsia="it-IT"/>
        </w:rPr>
      </w:r>
      <w:r w:rsidRPr="001A6D5A">
        <w:rPr>
          <w:rFonts w:eastAsia="Times New Roman"/>
          <w:color w:val="FF0000"/>
          <w:lang w:eastAsia="it-IT"/>
        </w:rPr>
      </w:r>
      <w:proofErr w:type="spellEnd"/>
      <w:r w:rsidRPr="00442CB5">
        <w:rPr>
          <w:rFonts w:eastAsia="Times New Roman"/>
          <w:lang w:eastAsia="it-IT"/>
        </w:rPr>
        <w:t xml:space="preserve"> had no visual </w:t>
      </w:r>
      <w:proofErr w:type="gramStart"/>
      <w:r w:rsidRPr="00442CB5">
        <w:rPr>
          <w:rFonts w:eastAsia="Times New Roman"/>
          <w:lang w:eastAsia="it-IT"/>
        </w:rPr>
        <w:t>emphysema,</w:t>
      </w:r>
      <w:proofErr w:type="gramEnd"/>
      <w:r w:rsidRPr="00442CB5">
        <w:rPr>
          <w:rFonts w:eastAsia="Times New Roman"/>
          <w:lang w:eastAsia="it-IT"/>
        </w:rPr>
        <w:t xml:space="preserve">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lastRenderedPageBreak/>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 minor pathway and COPD major pathway categories were similar between the two frameworks, although for the COPD major pathway group the CT-based classification did have a significantly higher HR for all-cause mortality and higher IRR for exacerbations. There was no significant difference between the two classifications for the COPD minor pathway groups. The AFL-only-noCOPD category was not significantly associated with mortality under either framework. For exacerbations it was null under the ESI-based framework (IRR 1.01, 95% CI 0.66–1.52) but reached nominal significance under the CT-based framework (IRR 1.35, 95% CI 1.00–1.81, p = 0.049), a small relative effect on an observed rate of 14.2 per 100 person-years against 12.4 in the noCOPD reference. This category is otherwise consistent with its classification outside the multidimensional COPD categories.</w:t>
      </w:r>
      <w:proofErr w:type="spellStart"/>
      <w:r w:rsidRPr="00442CB5">
        <w:rPr>
          <w:rFonts w:eastAsia="Times New Roman"/>
          <w:lang w:eastAsia="it-IT"/>
        </w:rPr>
      </w:r>
      <w:proofErr w:type="spellEnd"/>
      <w:r w:rsidRPr="00442CB5">
        <w:rPr>
          <w:rFonts w:eastAsia="Times New Roman"/>
          <w:lang w:eastAsia="it-IT"/>
        </w:rPr>
      </w:r>
    </w:p>
    <w:p w14:paraId="34938E88" w14:textId="6ECA5794"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 minor pathway and COPD major pathway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t>
      </w:r>
      <w:r w:rsidR="001A6D5A">
        <w:rPr>
          <w:rFonts w:eastAsia="Times New Roman"/>
          <w:color w:val="FF0000"/>
          <w:lang w:eastAsia="it-IT"/>
        </w:rPr>
        <w:t xml:space="preserve">change </w:t>
      </w:r>
      <w:r w:rsidR="00F624E7">
        <w:rPr>
          <w:rFonts w:eastAsia="Times New Roman"/>
          <w:lang w:eastAsia="it-IT"/>
        </w:rPr>
        <w:t xml:space="preserve">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observed event rates among participants classified according to agreement or disagreement between the CT-based and ESI-based frameworks (Table 2), with the corresponding adjusted estimates in Table 3.</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Observed exacerbation rates rose monotonically across the four groups, from 12.3 per 100 person-years among participants classified as noCOPD by both frameworks to 16.3 in the ESI-only-COPD group, 27.2 in the CT-only-COPD group and 49.6 in the Both-COPD group, with a similar ordering for all-cause mortality (1.5, 1.9, 2.5 and 3.0 per 100 person-years). After adjustment, including for prior exacerbation frequency, all three COPD-positive groups retained elevated point estimates relative to the Both-noCOPD reference, and pairwise contrasts among them were not statistically distinguishable for any outcome. Much of the difference in future exacerbations between concordant and discordant groups therefore reflects differences in exacerbation history already present at baseline, which ranged from 0.11 prior exacerbations per participant in the Both-noCOPD group to 0.65 in the Both-COPD group.</w:t>
      </w:r>
      <w:proofErr w:type="spellStart"/>
      <w:r w:rsidRPr="00442CB5">
        <w:rPr>
          <w:rFonts w:eastAsia="Times New Roman"/>
          <w:lang w:eastAsia="it-IT"/>
        </w:rPr>
      </w:r>
      <w:proofErr w:type="spellEnd"/>
      <w:r w:rsidRPr="00442CB5">
        <w:rPr>
          <w:rFonts w:eastAsia="Times New Roman"/>
          <w:lang w:eastAsia="it-IT"/>
        </w:rPr>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5EEA4B1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increases in ESI over follow-up (Supplemental Table 16). ESI was essentially unaffected by acute bronchodilator responsiveness</w:t>
      </w:r>
      <w:r w:rsidRPr="006B6153">
        <w:rPr>
          <w:rFonts w:eastAsia="Times New Roman"/>
          <w:strike/>
          <w:color w:val="FF0000"/>
          <w:lang w:eastAsia="it-IT"/>
        </w:rPr>
      </w:r>
      <w:r w:rsidR="006B6153">
        <w:rPr>
          <w:rFonts w:eastAsia="Times New Roman"/>
          <w:lang w:eastAsia="it-IT"/>
        </w:rPr>
      </w:r>
      <w:r w:rsidR="006B6153" w:rsidRPr="006B6153">
        <w:rPr>
          <w:rFonts w:eastAsia="Times New Roman"/>
          <w:color w:val="FF0000"/>
          <w:lang w:eastAsia="it-IT"/>
        </w:rPr>
      </w:r>
      <w:r w:rsidRPr="00442CB5">
        <w:rPr>
          <w:rFonts w:eastAsia="Times New Roman"/>
          <w:lang w:eastAsia="it-IT"/>
        </w:rPr>
        <w:t>,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the ability of visual CT assessment to identify early or mild morphological abnormalities not captured by quantitative emphysema burden. Because the original framework assigns a structural criterion for even mild visually identified emphysema (11), quantitatively normal </w:t>
      </w:r>
      <w:r w:rsidRPr="00442CB5">
        <w:rPr>
          <w:rFonts w:eastAsia="Times New Roman"/>
          <w:lang w:eastAsia="it-IT"/>
        </w:rPr>
        <w:lastRenderedPageBreak/>
        <w:t xml:space="preserve">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Cross-classification analyses demonstrated that discordance between frameworks was associated with clinically relevant information. Participants classified as COPD by both approaches experienced the highest observed event rates, whereas discordant groups showed intermediate rates. After adjustment, including for prior exacerbation frequency, these groups were no longer statistically distinguishable from one another, indicating that much of the excess exacerbation burden in the concordant group reflects an exacerbation history already established at baseline rather than information added by concordant classification. These findings suggest that agreement between imaging and spirometric representations identifies individuals with the strongest disease expression, while discordance may identify different manifestations within the COPD spectrum.</w:t>
      </w:r>
      <w:proofErr w:type="spellStart"/>
      <w:r w:rsidRPr="00442CB5">
        <w:rPr>
          <w:rFonts w:eastAsia="Times New Roman"/>
          <w:lang w:eastAsia="it-IT"/>
        </w:rPr>
      </w:r>
      <w:proofErr w:type="spellEnd"/>
      <w:r w:rsidRPr="00442CB5">
        <w:rPr>
          <w:rFonts w:eastAsia="Times New Roman"/>
          <w:lang w:eastAsia="it-IT"/>
        </w:rPr>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AFL-only-noCOPD did not demonstrate significantly increased mortality under either framework, and their observed exacerbation rate was close to that of the noCOPD reference; the CT-based exacerbation estimate reached nominal significance after adjustment, but the underlying rate difference was small.</w:t>
      </w:r>
      <w:proofErr w:type="spellStart"/>
      <w:r w:rsidRPr="00442CB5">
        <w:rPr>
          <w:rFonts w:eastAsia="Times New Roman"/>
          <w:lang w:eastAsia="it-IT"/>
        </w:rPr>
      </w:r>
      <w:proofErr w:type="spellEnd"/>
      <w:r w:rsidRPr="00442CB5">
        <w:rPr>
          <w:rFonts w:eastAsia="Times New Roman"/>
          <w:lang w:eastAsia="it-IT"/>
        </w:rPr>
        <w:t xml:space="preserve">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6B69A87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Beyond preserving the diagnostic and prognostic performance of the CT-based framework, the present findings have important practical implications. Because spirometry is inexpensive and </w:t>
      </w:r>
      <w:r w:rsidRPr="00A33A7A">
        <w:rPr>
          <w:rFonts w:eastAsia="Times New Roman"/>
          <w:strike/>
          <w:color w:val="FF0000"/>
          <w:lang w:eastAsia="it-IT"/>
        </w:rPr>
        <w:t>more</w:t>
      </w:r>
      <w:r w:rsidRPr="00442CB5">
        <w:rPr>
          <w:rFonts w:eastAsia="Times New Roman"/>
          <w:lang w:eastAsia="it-IT"/>
        </w:rPr>
        <w:t xml:space="preserve"> widely available </w:t>
      </w:r>
      <w:r w:rsidRPr="00A33A7A">
        <w:rPr>
          <w:rFonts w:eastAsia="Times New Roman"/>
          <w:strike/>
          <w:color w:val="FF0000"/>
          <w:lang w:eastAsia="it-IT"/>
        </w:rPr>
        <w:t>than chest CT</w:t>
      </w:r>
      <w:r w:rsidRPr="00442CB5">
        <w:rPr>
          <w:rFonts w:eastAsia="Times New Roman"/>
          <w:lang w:eastAsia="it-IT"/>
        </w:rPr>
        <w:t xml:space="preserve">, ESI-based multidimensional COPD assessment can be </w:t>
      </w:r>
      <w:r w:rsidRPr="00A33A7A">
        <w:rPr>
          <w:rFonts w:eastAsia="Times New Roman"/>
          <w:strike/>
          <w:color w:val="FF0000"/>
          <w:lang w:eastAsia="it-IT"/>
        </w:rPr>
        <w:t>more</w:t>
      </w:r>
      <w:r w:rsidRPr="00442CB5">
        <w:rPr>
          <w:rFonts w:eastAsia="Times New Roman"/>
          <w:lang w:eastAsia="it-IT"/>
        </w:rPr>
        <w:t xml:space="preserve"> readily applied in routine clinical practice, primary care, epidemiological studies, and </w:t>
      </w:r>
      <w:bookmarkStart w:id="0" w:name="_GoBack"/>
      <w:bookmarkEnd w:id="0"/>
      <w:r w:rsidRPr="00442CB5">
        <w:rPr>
          <w:rFonts w:eastAsia="Times New Roman"/>
          <w:lang w:eastAsia="it-IT"/>
        </w:rPr>
        <w:t>clinical trials.</w:t>
      </w:r>
      <w:r w:rsidR="00D5264C" w:rsidRPr="00D5264C">
        <w:t xml:space="preserve"> </w:t>
      </w:r>
      <w:r w:rsidR="00D5264C" w:rsidRPr="00D5264C">
        <w:rPr>
          <w:rFonts w:eastAsia="Times New Roman"/>
          <w:color w:val="00B050"/>
          <w:lang w:eastAsia="it-IT"/>
        </w:rPr>
        <w:t xml:space="preserve">Importantly, because ESI </w:t>
      </w:r>
      <w:proofErr w:type="gramStart"/>
      <w:r w:rsidR="00D5264C" w:rsidRPr="00D5264C">
        <w:rPr>
          <w:rFonts w:eastAsia="Times New Roman"/>
          <w:color w:val="00B050"/>
          <w:lang w:eastAsia="it-IT"/>
        </w:rPr>
        <w:t>is derived</w:t>
      </w:r>
      <w:proofErr w:type="gramEnd"/>
      <w:r w:rsidR="00D5264C" w:rsidRPr="00D5264C">
        <w:rPr>
          <w:rFonts w:eastAsia="Times New Roman"/>
          <w:color w:val="00B050"/>
          <w:lang w:eastAsia="it-IT"/>
        </w:rPr>
        <w:t xml:space="preserve"> from the same </w:t>
      </w:r>
      <w:proofErr w:type="spellStart"/>
      <w:r w:rsidR="00D5264C" w:rsidRPr="00D5264C">
        <w:rPr>
          <w:rFonts w:eastAsia="Times New Roman"/>
          <w:color w:val="00B050"/>
          <w:lang w:eastAsia="it-IT"/>
        </w:rPr>
        <w:t>spirometric</w:t>
      </w:r>
      <w:proofErr w:type="spellEnd"/>
      <w:r w:rsidR="00D5264C" w:rsidRPr="00D5264C">
        <w:rPr>
          <w:rFonts w:eastAsia="Times New Roman"/>
          <w:color w:val="00B050"/>
          <w:lang w:eastAsia="it-IT"/>
        </w:rPr>
        <w:t xml:space="preserve"> examination used to assess airflow obstruction, the ESI-based framework requires only spirometry and symptom assessment rather than the combination of spirometry, symptoms, and CT imaging. </w:t>
      </w:r>
      <w:r w:rsidRPr="00D5264C">
        <w:rPr>
          <w:rFonts w:eastAsia="Times New Roman"/>
          <w:color w:val="00B050"/>
          <w:lang w:eastAsia="it-IT"/>
        </w:rPr>
        <w:t xml:space="preserve"> </w:t>
      </w:r>
      <w:r w:rsidRPr="00442CB5">
        <w:rPr>
          <w:rFonts w:eastAsia="Times New Roman"/>
          <w:lang w:eastAsia="it-IT"/>
        </w:rPr>
        <w:t>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descriptor can be expected to capture every aspect of CT-defined structural abnormalities</w:t>
      </w:r>
      <w:r w:rsidRPr="00A33A7A">
        <w:rPr>
          <w:rFonts w:eastAsia="Times New Roman"/>
          <w:color w:val="FF0000"/>
          <w:lang w:eastAsia="it-IT"/>
        </w:rPr>
        <w:t>. In particular, because ESI was originally developed to reflect the physiological consequences of emphysema, airway-predominant structural abnormalities with relatively limited emphysema may be less completely represented.</w:t>
      </w:r>
      <w:r w:rsidRPr="00442CB5">
        <w:rPr>
          <w:rFonts w:eastAsia="Times New Roman"/>
          <w:lang w:eastAsia="it-IT"/>
        </w:rPr>
        <w:t xml:space="preserve">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Titolo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1966</w:t>
      </w:r>
      <w:proofErr w:type="gramStart"/>
      <w:r>
        <w:t>;1:830</w:t>
      </w:r>
      <w:proofErr w:type="gramEnd"/>
      <w:r>
        <w:t>–835.</w:t>
      </w:r>
    </w:p>
    <w:p w14:paraId="0CB3F4D8" w14:textId="77777777" w:rsidR="001E3D95" w:rsidRDefault="001E3D95" w:rsidP="001E3D95">
      <w:pPr>
        <w:ind w:left="576" w:hanging="576"/>
      </w:pPr>
      <w:r>
        <w:t>2. Snider GL. Chronic obstructive pulmonary disease: a definition and implications of structural determinants of airflow obstruction for epidemiology. Am Rev Respir Dis 1989</w:t>
      </w:r>
      <w:proofErr w:type="gramStart"/>
      <w:r>
        <w:t>;140:S3</w:t>
      </w:r>
      <w:proofErr w:type="gramEnd"/>
      <w:r>
        <w:t>–S8.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64DD85FD" w:rsidR="001E3D95" w:rsidRDefault="001E3D95" w:rsidP="001E3D95">
      <w:pPr>
        <w:ind w:left="576" w:hanging="576"/>
      </w:pPr>
      <w:r w:rsidRPr="00960EEA">
        <w:rPr>
          <w:lang w:val="it-IT"/>
        </w:rPr>
        <w:t>4. Camiciottoli G, Bigazzi F, Paolett</w:t>
      </w:r>
      <w:r w:rsidR="002C4C51">
        <w:rPr>
          <w:lang w:val="it-IT"/>
        </w:rPr>
        <w:t>i M</w:t>
      </w:r>
      <w:r w:rsidRPr="00960EEA">
        <w:rPr>
          <w:lang w:val="it-IT"/>
        </w:rPr>
        <w:t xml:space="preserve">, et al. </w:t>
      </w:r>
      <w:r>
        <w:t xml:space="preserve">Pulmonary function and sputum characteristics predict computed tomography phenotype and severity of COPD. </w:t>
      </w:r>
      <w:proofErr w:type="spellStart"/>
      <w:r>
        <w:t>Eur</w:t>
      </w:r>
      <w:proofErr w:type="spellEnd"/>
      <w:r>
        <w:t xml:space="preserve"> </w:t>
      </w:r>
      <w:proofErr w:type="spellStart"/>
      <w:r>
        <w:t>Respir</w:t>
      </w:r>
      <w:proofErr w:type="spellEnd"/>
      <w:r>
        <w:t xml:space="preserve"> J 2013</w:t>
      </w:r>
      <w:proofErr w:type="gramStart"/>
      <w:r>
        <w:t>;42:626</w:t>
      </w:r>
      <w:proofErr w:type="gramEnd"/>
      <w:r>
        <w:t>–635.</w:t>
      </w:r>
    </w:p>
    <w:p w14:paraId="3774F178" w14:textId="77777777" w:rsidR="001E3D95" w:rsidRDefault="001E3D95" w:rsidP="001E3D95">
      <w:pPr>
        <w:ind w:left="576" w:hanging="576"/>
      </w:pPr>
      <w:r>
        <w:t>5. Castaldi PJ, Xu Z, Young K, et al. Heterogeneity and progression of chronic obstructive pulmonary disease: emphysema-predominant and non-emphysema-predominant disease. Am J Epidemiol 2023</w:t>
      </w:r>
      <w:proofErr w:type="gramStart"/>
      <w:r>
        <w:t>;192:1647</w:t>
      </w:r>
      <w:proofErr w:type="gramEnd"/>
      <w:r>
        <w:t>–1658.</w:t>
      </w:r>
    </w:p>
    <w:p w14:paraId="1C604B48" w14:textId="77777777" w:rsidR="001E3D95" w:rsidRDefault="001E3D95" w:rsidP="001E3D95">
      <w:pPr>
        <w:ind w:left="576" w:hanging="576"/>
      </w:pPr>
      <w:r>
        <w:t>6. Bhatt SP, Silverman EK, Crapo JD. Beyond spirometry in COPD: expanding the diagnostic paradigm. ERJ Open Res 2026</w:t>
      </w:r>
      <w:proofErr w:type="gramStart"/>
      <w:r>
        <w:t>;12:00045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7. Celli BR, Cote CG, Marin JM, et al. The body-mass index, airflow obstruction, dyspnea, and exercise capacity index in chronic obstructive pulmonary disease. N Engl J Med 2004</w:t>
      </w:r>
      <w:proofErr w:type="gramStart"/>
      <w:r>
        <w:t>;350:1005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proofErr w:type="spellStart"/>
      <w:r w:rsidRPr="00960EEA">
        <w:rPr>
          <w:lang w:val="de-DE"/>
        </w:rPr>
        <w:t>Chronic</w:t>
      </w:r>
      <w:proofErr w:type="spellEnd"/>
      <w:r w:rsidRPr="00960EEA">
        <w:rPr>
          <w:lang w:val="de-DE"/>
        </w:rPr>
        <w:t xml:space="preserve">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2019;6:384-399.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Towards the elimination of chronic obstructive pulmonary disease: a Lancet Commission. Lancet 2022</w:t>
      </w:r>
      <w:proofErr w:type="gramStart"/>
      <w:r>
        <w:t>;400:921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A multidimensional diagnostic approach for chronic obstructive pulmonary disease. JAMA 2025</w:t>
      </w:r>
      <w:proofErr w:type="gramStart"/>
      <w:r>
        <w:t>;333:2164</w:t>
      </w:r>
      <w:proofErr w:type="gramEnd"/>
      <w:r>
        <w:t>-2175.</w:t>
      </w:r>
    </w:p>
    <w:p w14:paraId="48D5E56F" w14:textId="77777777" w:rsidR="001E3D95" w:rsidRDefault="001E3D95" w:rsidP="001E3D95">
      <w:pPr>
        <w:ind w:left="576" w:hanging="576"/>
      </w:pPr>
      <w:r>
        <w:t>12. Wu F, Huang S, Zhou K, et al. Clinical validation of a multidimensional diagnostic approach for COPD in Chinese individuals. Chest 2026</w:t>
      </w:r>
      <w:proofErr w:type="gramStart"/>
      <w:r>
        <w:t>;169:371</w:t>
      </w:r>
      <w:proofErr w:type="gramEnd"/>
      <w:r>
        <w:t>-384.</w:t>
      </w:r>
    </w:p>
    <w:p w14:paraId="50CFA824" w14:textId="77777777" w:rsidR="001E3D95" w:rsidRPr="00960EEA" w:rsidRDefault="001E3D95" w:rsidP="001E3D95">
      <w:pPr>
        <w:ind w:left="576" w:hanging="576"/>
        <w:rPr>
          <w:lang w:val="it-IT"/>
        </w:rPr>
      </w:pPr>
      <w:r>
        <w:t xml:space="preserve">13. </w:t>
      </w:r>
      <w:proofErr w:type="spellStart"/>
      <w:r>
        <w:t>Occhipinti</w:t>
      </w:r>
      <w:proofErr w:type="spellEnd"/>
      <w:r>
        <w:t xml:space="preserve"> M, </w:t>
      </w:r>
      <w:proofErr w:type="spellStart"/>
      <w:r>
        <w:t>Paoletti</w:t>
      </w:r>
      <w:proofErr w:type="spellEnd"/>
      <w:r>
        <w:t xml:space="preserve">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w:t>
      </w:r>
      <w:proofErr w:type="spellStart"/>
      <w:r w:rsidRPr="00960EEA">
        <w:rPr>
          <w:lang w:val="it-IT"/>
        </w:rPr>
        <w:t>Luoto</w:t>
      </w:r>
      <w:proofErr w:type="spellEnd"/>
      <w:r w:rsidRPr="00960EEA">
        <w:rPr>
          <w:lang w:val="it-IT"/>
        </w:rPr>
        <w:t xml:space="preserve"> J, </w:t>
      </w:r>
      <w:proofErr w:type="spellStart"/>
      <w:r w:rsidRPr="00960EEA">
        <w:rPr>
          <w:lang w:val="it-IT"/>
        </w:rPr>
        <w:t>Pihlsgård</w:t>
      </w:r>
      <w:proofErr w:type="spellEnd"/>
      <w:r w:rsidRPr="00960EEA">
        <w:rPr>
          <w:lang w:val="it-IT"/>
        </w:rPr>
        <w:t xml:space="preserve"> M, Pistolesi M, et al. </w:t>
      </w:r>
      <w:r>
        <w:t>Emphysema severity index (ESI) associated with respiratory death in a large Swedish general population. Respir Med 2022</w:t>
      </w:r>
      <w:proofErr w:type="gramStart"/>
      <w:r>
        <w:t>;200:106899</w:t>
      </w:r>
      <w:proofErr w:type="gramEnd"/>
      <w:r>
        <w:t>.</w:t>
      </w:r>
    </w:p>
    <w:p w14:paraId="7E296FD5" w14:textId="77777777" w:rsidR="001E3D95" w:rsidRDefault="001E3D95" w:rsidP="001E3D95">
      <w:pPr>
        <w:ind w:left="576" w:hanging="576"/>
      </w:pPr>
      <w:r>
        <w:t xml:space="preserve">16. </w:t>
      </w:r>
      <w:proofErr w:type="spellStart"/>
      <w:r>
        <w:t>Maio</w:t>
      </w:r>
      <w:proofErr w:type="spellEnd"/>
      <w:r>
        <w:t xml:space="preserve"> S, </w:t>
      </w:r>
      <w:proofErr w:type="spellStart"/>
      <w:r>
        <w:t>Viegi</w:t>
      </w:r>
      <w:proofErr w:type="spellEnd"/>
      <w:r>
        <w:t xml:space="preserve"> G, </w:t>
      </w:r>
      <w:proofErr w:type="spellStart"/>
      <w:r>
        <w:t>Carrozzi</w:t>
      </w:r>
      <w:proofErr w:type="spellEnd"/>
      <w:r>
        <w:t xml:space="preserve">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study design. COPD 2010</w:t>
      </w:r>
      <w:proofErr w:type="gramStart"/>
      <w:r>
        <w:t>;7:32</w:t>
      </w:r>
      <w:proofErr w:type="gramEnd"/>
      <w:r>
        <w:t>–43.</w:t>
      </w:r>
    </w:p>
    <w:p w14:paraId="1A929A29" w14:textId="77777777" w:rsidR="001E3D95" w:rsidRDefault="001E3D95" w:rsidP="001E3D95">
      <w:pPr>
        <w:ind w:left="576" w:hanging="576"/>
      </w:pPr>
      <w:r w:rsidRPr="007B5F8B">
        <w:t xml:space="preserve">18. Lynch DA, Austin JH, Hogg JC, et al. </w:t>
      </w:r>
      <w:r>
        <w:t>CT-definable subtypes of chronic obstructive pulmonary disease: a statement of the Fleischner Society. Radiology 2015</w:t>
      </w:r>
      <w:proofErr w:type="gramStart"/>
      <w:r>
        <w:t>;277:192</w:t>
      </w:r>
      <w:proofErr w:type="gramEnd"/>
      <w:r>
        <w:t>–205.</w:t>
      </w:r>
    </w:p>
    <w:p w14:paraId="0530C701" w14:textId="77777777" w:rsidR="001E3D95" w:rsidRPr="00B63197" w:rsidRDefault="001E3D95" w:rsidP="001E3D95">
      <w:pPr>
        <w:pStyle w:val="Titolo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Enfasigrassetto"/>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Enfasigrassetto"/>
          <w:rFonts w:ascii="Arial" w:hAnsi="Arial" w:cs="Arial"/>
          <w:color w:val="000000" w:themeColor="text1"/>
          <w:sz w:val="22"/>
          <w:szCs w:val="22"/>
        </w:rPr>
        <w:t>Radiology 2018</w:t>
      </w:r>
      <w:proofErr w:type="gramStart"/>
      <w:r w:rsidRPr="00B63197">
        <w:rPr>
          <w:rStyle w:val="Enfasigrassetto"/>
          <w:rFonts w:ascii="Arial" w:hAnsi="Arial" w:cs="Arial"/>
          <w:color w:val="000000" w:themeColor="text1"/>
          <w:sz w:val="22"/>
          <w:szCs w:val="22"/>
        </w:rPr>
        <w:t>;288:859</w:t>
      </w:r>
      <w:proofErr w:type="gramEnd"/>
      <w:r w:rsidRPr="00B63197">
        <w:rPr>
          <w:rStyle w:val="Enfasigrassetto"/>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Titolo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proofErr w:type="spellStart"/>
      <w:r w:rsidRPr="007B5F8B">
        <w:rPr>
          <w:rFonts w:ascii="Arial" w:hAnsi="Arial" w:cs="Arial"/>
          <w:b w:val="0"/>
          <w:color w:val="000000" w:themeColor="text1"/>
          <w:sz w:val="22"/>
          <w:szCs w:val="22"/>
          <w:lang w:val="de-DE"/>
        </w:rPr>
        <w:t>Chronic</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2019;6:400</w:t>
      </w:r>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;201:W460</w:t>
      </w:r>
      <w:proofErr w:type="gramEnd"/>
      <w:r w:rsidRPr="00B63197">
        <w:rPr>
          <w:color w:val="000000" w:themeColor="text1"/>
        </w:rPr>
        <w:t>–W470.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2012</w:t>
      </w:r>
      <w:proofErr w:type="gramStart"/>
      <w:r w:rsidRPr="00B63197">
        <w:rPr>
          <w:color w:val="000000" w:themeColor="text1"/>
        </w:rPr>
        <w:t>;18:1711</w:t>
      </w:r>
      <w:proofErr w:type="gramEnd"/>
      <w:r w:rsidRPr="00B63197">
        <w:rPr>
          <w:color w:val="000000" w:themeColor="text1"/>
        </w:rPr>
        <w:t>–1715.</w:t>
      </w:r>
    </w:p>
    <w:p w14:paraId="37AFE3A7" w14:textId="77777777" w:rsidR="001E3D95" w:rsidRPr="00B63197" w:rsidRDefault="001E3D95" w:rsidP="001E3D95">
      <w:pPr>
        <w:pStyle w:val="Testocommento"/>
        <w:rPr>
          <w:color w:val="000000" w:themeColor="text1"/>
          <w:sz w:val="22"/>
          <w:szCs w:val="22"/>
        </w:rPr>
      </w:pPr>
      <w:r w:rsidRPr="007B5F8B">
        <w:rPr>
          <w:color w:val="000000" w:themeColor="text1"/>
          <w:sz w:val="22"/>
          <w:szCs w:val="22"/>
        </w:rPr>
        <w:t xml:space="preserve">23. </w:t>
      </w:r>
      <w:r w:rsidRPr="007B5F8B">
        <w:rPr>
          <w:rStyle w:val="Enfasigrassetto"/>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nfasicorsivo"/>
          <w:i w:val="0"/>
          <w:color w:val="000000" w:themeColor="text1"/>
          <w:sz w:val="22"/>
          <w:szCs w:val="22"/>
        </w:rPr>
        <w:t xml:space="preserve">Stat </w:t>
      </w:r>
      <w:r w:rsidRPr="00B63197">
        <w:rPr>
          <w:rStyle w:val="Enfasicorsivo"/>
          <w:i w:val="0"/>
          <w:color w:val="000000" w:themeColor="text1"/>
          <w:sz w:val="22"/>
          <w:szCs w:val="22"/>
        </w:rPr>
        <w:tab/>
        <w:t>Med</w:t>
      </w:r>
      <w:r w:rsidRPr="00B63197">
        <w:rPr>
          <w:color w:val="000000" w:themeColor="text1"/>
          <w:sz w:val="22"/>
          <w:szCs w:val="22"/>
        </w:rPr>
        <w:t xml:space="preserve"> 1996</w:t>
      </w:r>
      <w:proofErr w:type="gramStart"/>
      <w:r w:rsidRPr="00B63197">
        <w:rPr>
          <w:color w:val="000000" w:themeColor="text1"/>
          <w:sz w:val="22"/>
          <w:szCs w:val="22"/>
        </w:rPr>
        <w:t>;15:361</w:t>
      </w:r>
      <w:proofErr w:type="gramEnd"/>
      <w:r w:rsidRPr="00B63197">
        <w:rPr>
          <w:color w:val="000000" w:themeColor="text1"/>
          <w:sz w:val="22"/>
          <w:szCs w:val="22"/>
        </w:rPr>
        <w:t>-387.</w:t>
      </w:r>
    </w:p>
    <w:p w14:paraId="71BD5029" w14:textId="77777777" w:rsidR="001E3D95" w:rsidRPr="00B63197" w:rsidRDefault="001E3D95" w:rsidP="001E3D95">
      <w:pPr>
        <w:pStyle w:val="Testocommento"/>
        <w:rPr>
          <w:color w:val="000000" w:themeColor="text1"/>
          <w:sz w:val="22"/>
          <w:szCs w:val="22"/>
        </w:rPr>
      </w:pPr>
      <w:r w:rsidRPr="00B63197">
        <w:rPr>
          <w:color w:val="000000" w:themeColor="text1"/>
          <w:sz w:val="22"/>
          <w:szCs w:val="22"/>
        </w:rPr>
        <w:t xml:space="preserve">24. </w:t>
      </w:r>
      <w:proofErr w:type="spellStart"/>
      <w:r w:rsidRPr="00B63197">
        <w:rPr>
          <w:rStyle w:val="Enfasigrassetto"/>
          <w:b w:val="0"/>
          <w:color w:val="000000" w:themeColor="text1"/>
          <w:sz w:val="22"/>
          <w:szCs w:val="22"/>
        </w:rPr>
        <w:t>Schuirmann</w:t>
      </w:r>
      <w:proofErr w:type="spellEnd"/>
      <w:r w:rsidRPr="00B63197">
        <w:rPr>
          <w:rStyle w:val="Enfasigrassetto"/>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nfasicorsivo"/>
          <w:color w:val="000000" w:themeColor="text1"/>
          <w:sz w:val="22"/>
          <w:szCs w:val="22"/>
        </w:rPr>
        <w:t xml:space="preserve">J </w:t>
      </w:r>
      <w:proofErr w:type="spellStart"/>
      <w:r w:rsidRPr="00B63197">
        <w:rPr>
          <w:rStyle w:val="Enfasicorsivo"/>
          <w:color w:val="000000" w:themeColor="text1"/>
          <w:sz w:val="22"/>
          <w:szCs w:val="22"/>
        </w:rPr>
        <w:t>Pharmacokinet</w:t>
      </w:r>
      <w:proofErr w:type="spellEnd"/>
      <w:r w:rsidRPr="00B63197">
        <w:rPr>
          <w:rStyle w:val="Enfasicorsivo"/>
          <w:color w:val="000000" w:themeColor="text1"/>
          <w:sz w:val="22"/>
          <w:szCs w:val="22"/>
        </w:rPr>
        <w:t xml:space="preserve"> </w:t>
      </w:r>
      <w:r w:rsidRPr="00B63197">
        <w:rPr>
          <w:rStyle w:val="Enfasicorsivo"/>
          <w:color w:val="000000" w:themeColor="text1"/>
          <w:sz w:val="22"/>
          <w:szCs w:val="22"/>
        </w:rPr>
        <w:tab/>
      </w:r>
      <w:proofErr w:type="spellStart"/>
      <w:r w:rsidRPr="00B63197">
        <w:rPr>
          <w:rStyle w:val="Enfasicorsivo"/>
          <w:color w:val="000000" w:themeColor="text1"/>
          <w:sz w:val="22"/>
          <w:szCs w:val="22"/>
        </w:rPr>
        <w:t>Biopharm</w:t>
      </w:r>
      <w:proofErr w:type="spellEnd"/>
      <w:r w:rsidRPr="00B63197">
        <w:rPr>
          <w:rStyle w:val="Enfasicorsivo"/>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1967</w:t>
      </w:r>
      <w:proofErr w:type="gramStart"/>
      <w:r w:rsidRPr="00B63197">
        <w:rPr>
          <w:color w:val="000000" w:themeColor="text1"/>
        </w:rPr>
        <w:t>;22:395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1976</w:t>
      </w:r>
      <w:proofErr w:type="gramStart"/>
      <w:r w:rsidRPr="00B63197">
        <w:rPr>
          <w:color w:val="000000" w:themeColor="text1"/>
        </w:rPr>
        <w:t>;69:51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2015</w:t>
      </w:r>
      <w:proofErr w:type="gramStart"/>
      <w:r w:rsidRPr="00B63197">
        <w:rPr>
          <w:color w:val="000000" w:themeColor="text1"/>
        </w:rPr>
        <w:t>;118:796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w:t>
      </w:r>
      <w:proofErr w:type="spellStart"/>
      <w:r w:rsidRPr="00B63197">
        <w:rPr>
          <w:color w:val="000000" w:themeColor="text1"/>
        </w:rPr>
        <w:t>Povero</w:t>
      </w:r>
      <w:proofErr w:type="spellEnd"/>
      <w:r w:rsidRPr="00B63197">
        <w:rPr>
          <w:color w:val="000000" w:themeColor="text1"/>
        </w:rPr>
        <w:t xml:space="preserve">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Med 2024</w:t>
      </w:r>
      <w:proofErr w:type="gramStart"/>
      <w:r w:rsidRPr="00B63197">
        <w:rPr>
          <w:color w:val="000000" w:themeColor="text1"/>
        </w:rPr>
        <w:t>;14:01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29. Albert P, Agusti A, Edwards L, et al. Bronchodilator responsiveness as a phenotypic characteristic of established chronic obstructive pulmonary disease. Thorax 2012</w:t>
      </w:r>
      <w:proofErr w:type="gramStart"/>
      <w:r w:rsidRPr="00B63197">
        <w:rPr>
          <w:color w:val="000000" w:themeColor="text1"/>
        </w:rPr>
        <w:t>;67:701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w:t>
      </w:r>
      <w:proofErr w:type="spellStart"/>
      <w:r w:rsidRPr="00B63197">
        <w:rPr>
          <w:color w:val="000000" w:themeColor="text1"/>
        </w:rPr>
        <w:t>Soc</w:t>
      </w:r>
      <w:proofErr w:type="spellEnd"/>
      <w:r w:rsidRPr="00B63197">
        <w:rPr>
          <w:color w:val="000000" w:themeColor="text1"/>
        </w:rPr>
        <w:t xml:space="preserve"> 2014</w:t>
      </w:r>
      <w:proofErr w:type="gramStart"/>
      <w:r w:rsidRPr="00B63197">
        <w:rPr>
          <w:color w:val="000000" w:themeColor="text1"/>
        </w:rPr>
        <w:t>;11:898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JAMA Intern Med 2015;175:1539-1549.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Clinical significance of symptoms in smokers with preserved pulmonary function. N Engl J Med 2016</w:t>
      </w:r>
      <w:proofErr w:type="gramStart"/>
      <w:r w:rsidRPr="00B63197">
        <w:rPr>
          <w:color w:val="000000" w:themeColor="text1"/>
        </w:rPr>
        <w:t>;374:1811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33. Fortis S, Strand M, Bhatt SP, et al. Respiratory exacerbations and lung function decline in people with smoking history and normal spirometry. Am J Respir Crit Care Med 2025</w:t>
      </w:r>
      <w:proofErr w:type="gramStart"/>
      <w:r w:rsidRPr="00B63197">
        <w:rPr>
          <w:color w:val="000000" w:themeColor="text1"/>
        </w:rPr>
        <w:t>;211:957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w:t>
      </w:r>
      <w:proofErr w:type="spellStart"/>
      <w:r w:rsidRPr="007B5F8B">
        <w:rPr>
          <w:color w:val="000000" w:themeColor="text1"/>
        </w:rPr>
        <w:t>Abdo</w:t>
      </w:r>
      <w:proofErr w:type="spellEnd"/>
      <w:r w:rsidRPr="007B5F8B">
        <w:rPr>
          <w:color w:val="000000" w:themeColor="text1"/>
        </w:rPr>
        <w:t xml:space="preserve"> M, </w:t>
      </w:r>
      <w:proofErr w:type="spellStart"/>
      <w:r w:rsidRPr="007B5F8B">
        <w:rPr>
          <w:color w:val="000000" w:themeColor="text1"/>
        </w:rPr>
        <w:t>Reck</w:t>
      </w:r>
      <w:proofErr w:type="spellEnd"/>
      <w:r w:rsidRPr="007B5F8B">
        <w:rPr>
          <w:color w:val="000000" w:themeColor="text1"/>
        </w:rPr>
        <w:t xml:space="preserve">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J 2026</w:t>
      </w:r>
      <w:proofErr w:type="gramStart"/>
      <w:r w:rsidRPr="00B63197">
        <w:rPr>
          <w:color w:val="000000" w:themeColor="text1"/>
        </w:rPr>
        <w:t>;67:2900306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Titolo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Titolo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Category labels are abbreviated within the panels to fit: COPD minor pathway and COPD major pathway appear as minor pathway and major pathway in Panel B, and as minor and major within the Panel A blocks.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Grigliatabella"/>
        <w:tblW w:w="0" w:type="auto"/>
        <w:jc w:val="center"/>
        <w:tblLook w:val="04A0" w:firstRow="1" w:lastRow="0" w:firstColumn="1" w:lastColumn="0" w:noHBand="0" w:noVBand="1"/>
      </w:tblPr>
      <w:tblGrid>
        <w:gridCol w:w="2086"/>
        <w:gridCol w:w="1582"/>
        <w:gridCol w:w="2227"/>
        <w:gridCol w:w="2227"/>
        <w:gridCol w:w="1222"/>
        <w:gridCol w:w="1200"/>
        <w:gridCol w:w="1200"/>
        <w:gridCol w:w="1200"/>
      </w:tblGrid>
      <w:tr w:rsidR="00266B86" w14:paraId="525E2EA7" w14:textId="77777777">
        <w:trPr>
          <w:jc w:val="center"/>
        </w:trPr>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Outcome (metric)</w:t>
            </w:r>
          </w:p>
        </w:tc>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Category</w:t>
            </w:r>
          </w:p>
        </w:tc>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Crude RR (CT)</w:t>
            </w:r>
          </w:p>
        </w:tc>
        <w:tc>
          <w:tcPr>
            <w:tcW w:w="1656"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Crude RR (ESI)</w:t>
            </w:r>
          </w:p>
        </w:tc>
        <w:tc>
          <w:tcPr>
            <w:tcW w:w="792" w:type="dxa"/>
            <w:tcBorders>
              <w:top w:val="single" w:sz="6" w:space="0" w:color="000000"/>
              <w:left w:val="single" w:sz="6" w:space="0" w:color="000000"/>
              <w:bottom w:val="single" w:sz="6" w:space="0" w:color="000000"/>
              <w:right w:val="single" w:sz="6" w:space="0" w:color="000000"/>
            </w:tcBorders>
            <w:vAlign w:val="center"/>
          </w:tcPr>
          <w:p>
            <w:r>
              <w:rPr>
                <w:rFonts w:ascii="Arial" w:hAnsi="Arial" w:cs="Arial"/>
                <w:sz w:val="18"/>
                <w:b/>
              </w:rPr>
              <w:t xml:space="preserve">p-value</w:t>
            </w:r>
          </w:p>
        </w:tc>
        <w:tc>
          <w:tcPr>
            <w:tcW w:type="dxa" w:w="1800"/>
          </w:tcPr>
          <w:p>
            <w:r>
              <w:rPr>
                <w:rFonts w:ascii="Arial" w:hAnsi="Arial" w:cs="Arial"/>
                <w:sz w:val="18"/>
                <w:b/>
              </w:rPr>
              <w:t xml:space="preserve">Adjusted Rate (CT)</w:t>
            </w:r>
          </w:p>
        </w:tc>
        <w:tc>
          <w:tcPr>
            <w:tcW w:type="dxa" w:w="1800"/>
          </w:tcPr>
          <w:p>
            <w:r>
              <w:rPr>
                <w:rFonts w:ascii="Arial" w:hAnsi="Arial" w:cs="Arial"/>
                <w:sz w:val="18"/>
                <w:b/>
              </w:rPr>
              <w:t xml:space="preserve">Adjusted Rate (ESI)</w:t>
            </w:r>
          </w:p>
        </w:tc>
        <w:tc>
          <w:tcPr>
            <w:tcW w:type="dxa" w:w="792"/>
          </w:tcPr>
          <w:p>
            <w:r>
              <w:rPr>
                <w:rFonts w:ascii="Arial" w:hAnsi="Arial" w:cs="Arial"/>
                <w:sz w:val="18"/>
                <w:b/>
              </w:rPr>
              <w:t xml:space="preserve">p-value</w:t>
            </w:r>
          </w:p>
        </w:tc>
      </w:tr>
      <w:tr w:rsidR="00266B86" w14:paraId="39F85C63" w14:textId="77777777">
        <w:trPr>
          <w:jc w:val="center"/>
        </w:trPr>
        <w:tc>
          <w:tcPr>
            <w:tcW w:w="1656" w:type="dxa"/>
            <w:tcBorders>
              <w:top w:val="single" w:sz="6" w:space="0" w:color="000000"/>
              <w:left w:val="single" w:sz="6" w:space="0" w:color="000000"/>
              <w:bottom w:val="nil"/>
              <w:right w:val="single" w:sz="6" w:space="0" w:color="000000"/>
            </w:tcBorders>
          </w:tcPr>
          <w:p>
            <w:r>
              <w:rPr>
                <w:rFonts w:ascii="Arial" w:hAnsi="Arial" w:cs="Arial"/>
                <w:sz w:val="18"/>
              </w:rPr>
              <w:t xml:space="preserve">All-cause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AFL-only-noCOPD</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1.08 (0.72–1.51)</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1.24 (0.72–1.83)</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0.58</w:t>
            </w:r>
          </w:p>
        </w:tc>
        <w:tc>
          <w:tcPr>
            <w:tcW w:type="dxa" w:w="1800"/>
          </w:tcPr>
          <w:p>
            <w:r>
              <w:rPr>
                <w:rFonts w:ascii="Arial" w:hAnsi="Arial" w:cs="Arial"/>
                <w:sz w:val="18"/>
              </w:rPr>
              <w:t xml:space="preserve">0.90 (0.62–1.30)</w:t>
            </w:r>
          </w:p>
        </w:tc>
        <w:tc>
          <w:tcPr>
            <w:tcW w:type="dxa" w:w="1800"/>
          </w:tcPr>
          <w:p>
            <w:r>
              <w:rPr>
                <w:rFonts w:ascii="Arial" w:hAnsi="Arial" w:cs="Arial"/>
                <w:sz w:val="18"/>
              </w:rPr>
              <w:t xml:space="preserve">0.91 (0.57–1.46)</w:t>
            </w:r>
          </w:p>
        </w:tc>
        <w:tc>
          <w:tcPr>
            <w:tcW w:type="dxa" w:w="792"/>
          </w:tcPr>
          <w:p>
            <w:r>
              <w:rPr>
                <w:rFonts w:ascii="Arial" w:hAnsi="Arial" w:cs="Arial"/>
                <w:sz w:val="18"/>
              </w:rPr>
              <w:t xml:space="preserve">0.94</w:t>
            </w:r>
          </w:p>
        </w:tc>
      </w:tr>
      <w:tr w:rsidR="00266B86" w14:paraId="050B4317" w14:textId="77777777">
        <w:trPr>
          <w:jc w:val="center"/>
        </w:trPr>
        <w:tc>
          <w:tcPr>
            <w:tcW w:w="2088" w:type="dxa"/>
            <w:tcBorders>
              <w:top w:val="nil"/>
              <w:left w:val="single" w:sz="6" w:space="0" w:color="000000"/>
              <w:bottom w:val="single" w:sz="6" w:space="0" w:color="000000"/>
              <w:right w:val="single" w:sz="6" w:space="0" w:color="000000"/>
            </w:tcBorders>
          </w:tcPr>
          <w:p>
            <w:r>
              <w:rPr>
                <w:rFonts w:ascii="Arial" w:hAnsi="Arial" w:cs="Arial"/>
                <w:sz w:val="18"/>
              </w:rPr>
              <w:t xml:space="preserve">All-cause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minor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1.85 (1.59–2.14)</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1.77 (1.46–2.08)</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0.49</w:t>
            </w:r>
          </w:p>
        </w:tc>
        <w:tc>
          <w:tcPr>
            <w:tcW w:type="dxa" w:w="1800"/>
          </w:tcPr>
          <w:p>
            <w:r>
              <w:rPr>
                <w:rFonts w:ascii="Arial" w:hAnsi="Arial" w:cs="Arial"/>
                <w:sz w:val="18"/>
              </w:rPr>
              <w:t xml:space="preserve">1.91 (1.64–2.22)</w:t>
            </w:r>
          </w:p>
        </w:tc>
        <w:tc>
          <w:tcPr>
            <w:tcW w:type="dxa" w:w="1800"/>
          </w:tcPr>
          <w:p>
            <w:r>
              <w:rPr>
                <w:rFonts w:ascii="Arial" w:hAnsi="Arial" w:cs="Arial"/>
                <w:sz w:val="18"/>
              </w:rPr>
              <w:t xml:space="preserve">1.94 (1.63–2.32)</w:t>
            </w:r>
          </w:p>
        </w:tc>
        <w:tc>
          <w:tcPr>
            <w:tcW w:type="dxa" w:w="792"/>
          </w:tcPr>
          <w:p>
            <w:r>
              <w:rPr>
                <w:rFonts w:ascii="Arial" w:hAnsi="Arial" w:cs="Arial"/>
                <w:sz w:val="18"/>
              </w:rPr>
              <w:t xml:space="preserve">0.85</w:t>
            </w:r>
          </w:p>
        </w:tc>
      </w:tr>
      <w:tr w:rsidR="00266B86" w14:paraId="0079C3D5" w14:textId="77777777">
        <w:trPr>
          <w:jc w:val="center"/>
        </w:trPr>
        <w:tc>
          <w:tcPr>
            <w:tcW w:w="1656" w:type="dxa"/>
            <w:tcBorders>
              <w:top w:val="single" w:sz="6" w:space="0" w:color="000000"/>
              <w:left w:val="single" w:sz="6" w:space="0" w:color="000000"/>
              <w:bottom w:val="nil"/>
              <w:right w:val="single" w:sz="6" w:space="0" w:color="000000"/>
            </w:tcBorders>
          </w:tcPr>
          <w:p>
            <w:r>
              <w:rPr>
                <w:rFonts w:ascii="Arial" w:hAnsi="Arial" w:cs="Arial"/>
                <w:sz w:val="18"/>
              </w:rPr>
              <w:t xml:space="preserve">All-cause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major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3.39 (3.09–3.71)</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3.12 (2.87–3.38)</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&lt;0.01</w:t>
            </w:r>
          </w:p>
        </w:tc>
        <w:tc>
          <w:tcPr>
            <w:tcW w:type="dxa" w:w="1800"/>
          </w:tcPr>
          <w:p>
            <w:r>
              <w:rPr>
                <w:rFonts w:ascii="Arial" w:hAnsi="Arial" w:cs="Arial"/>
                <w:sz w:val="18"/>
              </w:rPr>
              <w:t xml:space="preserve">2.59 (2.35–2.86)</w:t>
            </w:r>
          </w:p>
        </w:tc>
        <w:tc>
          <w:tcPr>
            <w:tcW w:type="dxa" w:w="1800"/>
          </w:tcPr>
          <w:p>
            <w:r>
              <w:rPr>
                <w:rFonts w:ascii="Arial" w:hAnsi="Arial" w:cs="Arial"/>
                <w:sz w:val="18"/>
              </w:rPr>
              <w:t xml:space="preserve">2.39 (2.18–2.63)</w:t>
            </w:r>
          </w:p>
        </w:tc>
        <w:tc>
          <w:tcPr>
            <w:tcW w:type="dxa" w:w="792"/>
          </w:tcPr>
          <w:p>
            <w:r>
              <w:rPr>
                <w:rFonts w:ascii="Arial" w:hAnsi="Arial" w:cs="Arial"/>
                <w:sz w:val="18"/>
              </w:rPr>
              <w:t xml:space="preserve">&lt;0.002</w:t>
            </w:r>
          </w:p>
        </w:tc>
      </w:tr>
      <w:tr w:rsidR="00266B86" w14:paraId="11DDB199" w14:textId="77777777">
        <w:trPr>
          <w:jc w:val="center"/>
        </w:trPr>
        <w:tc>
          <w:tcPr>
            <w:tcW w:w="2088" w:type="dxa"/>
            <w:tcBorders>
              <w:top w:val="nil"/>
              <w:left w:val="single" w:sz="6" w:space="0" w:color="000000"/>
              <w:bottom w:val="single" w:sz="6" w:space="0" w:color="000000"/>
              <w:right w:val="single" w:sz="6" w:space="0" w:color="000000"/>
            </w:tcBorders>
          </w:tcPr>
          <w:p>
            <w:r>
              <w:rPr>
                <w:rFonts w:ascii="Arial" w:hAnsi="Arial" w:cs="Arial"/>
                <w:sz w:val="18"/>
              </w:rPr>
              <w:t xml:space="preserve">Respiratory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AFL-only-noCOPD</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1.70 (1.18–7.34)</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3.09 (1.94–14.84)</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0.37</w:t>
            </w:r>
          </w:p>
        </w:tc>
        <w:tc>
          <w:tcPr>
            <w:tcW w:type="dxa" w:w="1800"/>
          </w:tcPr>
          <w:p>
            <w:r>
              <w:rPr>
                <w:rFonts w:ascii="Arial" w:hAnsi="Arial" w:cs="Arial"/>
                <w:sz w:val="18"/>
              </w:rPr>
              <w:t xml:space="preserve">1.42 (0.19–10.84)</w:t>
            </w:r>
          </w:p>
        </w:tc>
        <w:tc>
          <w:tcPr>
            <w:tcW w:type="dxa" w:w="1800"/>
          </w:tcPr>
          <w:p>
            <w:r>
              <w:rPr>
                <w:rFonts w:ascii="Arial" w:hAnsi="Arial" w:cs="Arial"/>
                <w:sz w:val="18"/>
              </w:rPr>
              <w:t xml:space="preserve">2.19 (0.29–16.54)</w:t>
            </w:r>
          </w:p>
        </w:tc>
        <w:tc>
          <w:tcPr>
            <w:tcW w:type="dxa" w:w="792"/>
          </w:tcPr>
          <w:p>
            <w:r>
              <w:rPr>
                <w:rFonts w:ascii="Arial" w:hAnsi="Arial" w:cs="Arial"/>
                <w:sz w:val="18"/>
              </w:rPr>
              <w:t xml:space="preserve">0.46</w:t>
            </w:r>
          </w:p>
        </w:tc>
      </w:tr>
      <w:tr w:rsidR="00266B86" w14:paraId="40EBE454" w14:textId="77777777">
        <w:trPr>
          <w:jc w:val="center"/>
        </w:trPr>
        <w:tc>
          <w:tcPr>
            <w:tcW w:w="1656" w:type="dxa"/>
            <w:tcBorders>
              <w:top w:val="single" w:sz="6" w:space="0" w:color="000000"/>
              <w:left w:val="single" w:sz="6" w:space="0" w:color="000000"/>
              <w:bottom w:val="nil"/>
              <w:right w:val="single" w:sz="6" w:space="0" w:color="000000"/>
            </w:tcBorders>
          </w:tcPr>
          <w:p>
            <w:r>
              <w:rPr>
                <w:rFonts w:ascii="Arial" w:hAnsi="Arial" w:cs="Arial"/>
                <w:sz w:val="18"/>
              </w:rPr>
              <w:t xml:space="preserve">Respiratory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minor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3.90 (1.60–9.11)</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4.22 (1.48–9.78)</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0.86</w:t>
            </w:r>
          </w:p>
        </w:tc>
        <w:tc>
          <w:tcPr>
            <w:tcW w:type="dxa" w:w="1800"/>
          </w:tcPr>
          <w:p>
            <w:r>
              <w:rPr>
                <w:rFonts w:ascii="Arial" w:hAnsi="Arial" w:cs="Arial"/>
                <w:sz w:val="18"/>
              </w:rPr>
              <w:t xml:space="preserve">4.80 (2.14–10.76)</w:t>
            </w:r>
          </w:p>
        </w:tc>
        <w:tc>
          <w:tcPr>
            <w:tcW w:type="dxa" w:w="1800"/>
          </w:tcPr>
          <w:p>
            <w:r>
              <w:rPr>
                <w:rFonts w:ascii="Arial" w:hAnsi="Arial" w:cs="Arial"/>
                <w:sz w:val="18"/>
              </w:rPr>
              <w:t xml:space="preserve">5.68 (2.43–13.32)</w:t>
            </w:r>
          </w:p>
        </w:tc>
        <w:tc>
          <w:tcPr>
            <w:tcW w:type="dxa" w:w="792"/>
          </w:tcPr>
          <w:p>
            <w:r>
              <w:rPr>
                <w:rFonts w:ascii="Arial" w:hAnsi="Arial" w:cs="Arial"/>
                <w:sz w:val="18"/>
              </w:rPr>
              <w:t xml:space="preserve">0.70</w:t>
            </w:r>
          </w:p>
        </w:tc>
      </w:tr>
      <w:tr w:rsidR="00266B86" w14:paraId="7672777F" w14:textId="77777777">
        <w:trPr>
          <w:jc w:val="center"/>
        </w:trPr>
        <w:tc>
          <w:tcPr>
            <w:tcW w:w="2088" w:type="dxa"/>
            <w:tcBorders>
              <w:top w:val="nil"/>
              <w:left w:val="single" w:sz="6" w:space="0" w:color="000000"/>
              <w:bottom w:val="single" w:sz="6" w:space="0" w:color="000000"/>
              <w:right w:val="single" w:sz="6" w:space="0" w:color="000000"/>
            </w:tcBorders>
          </w:tcPr>
          <w:p>
            <w:r>
              <w:rPr>
                <w:rFonts w:ascii="Arial" w:hAnsi="Arial" w:cs="Arial"/>
                <w:sz w:val="18"/>
              </w:rPr>
              <w:t xml:space="preserve">Respiratory mortality (HR)</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COPD major pathway</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56.05 (36.05–111.79)</w:t>
            </w:r>
          </w:p>
        </w:tc>
        <w:tc>
          <w:tcPr>
            <w:tcW w:w="1656"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48.19 (31.66–91.19)</w:t>
            </w:r>
          </w:p>
        </w:tc>
        <w:tc>
          <w:tcPr>
            <w:tcW w:w="792" w:type="dxa"/>
            <w:tcBorders>
              <w:top w:val="single" w:sz="6" w:space="0" w:color="000000"/>
              <w:left w:val="single" w:sz="6" w:space="0" w:color="000000"/>
              <w:bottom w:val="single" w:sz="6" w:space="0" w:color="000000"/>
              <w:right w:val="single" w:sz="6" w:space="0" w:color="000000"/>
            </w:tcBorders>
          </w:tcPr>
          <w:p>
            <w:r>
              <w:rPr>
                <w:rFonts w:ascii="Arial" w:hAnsi="Arial" w:cs="Arial"/>
                <w:sz w:val="18"/>
              </w:rPr>
              <w:t xml:space="preserve">0.30</w:t>
            </w:r>
          </w:p>
        </w:tc>
        <w:tc>
          <w:tcPr>
            <w:tcW w:type="dxa" w:w="1800"/>
          </w:tcPr>
          <w:p>
            <w:r>
              <w:rPr>
                <w:rFonts w:ascii="Arial" w:hAnsi="Arial" w:cs="Arial"/>
                <w:sz w:val="18"/>
              </w:rPr>
              <w:t xml:space="preserve">36.27 (20.85–63.07)</w:t>
            </w:r>
          </w:p>
        </w:tc>
        <w:tc>
          <w:tcPr>
            <w:tcW w:type="dxa" w:w="1800"/>
          </w:tcPr>
          <w:p>
            <w:r>
              <w:rPr>
                <w:rFonts w:ascii="Arial" w:hAnsi="Arial" w:cs="Arial"/>
                <w:sz w:val="18"/>
              </w:rPr>
              <w:t xml:space="preserve">30.95 (18.76–51.06)</w:t>
            </w:r>
          </w:p>
        </w:tc>
        <w:tc>
          <w:tcPr>
            <w:tcW w:type="dxa" w:w="792"/>
          </w:tcPr>
          <w:p>
            <w:r>
              <w:rPr>
                <w:rFonts w:ascii="Arial" w:hAnsi="Arial" w:cs="Arial"/>
                <w:sz w:val="18"/>
              </w:rPr>
              <w:t xml:space="preserve">0.29</w:t>
            </w:r>
          </w:p>
        </w:tc>
      </w:tr>
      <w:tr>
        <w:tc>
          <w:tcPr>
            <w:tcW w:type="dxa" w:w="1656"/>
          </w:tcPr>
          <w:p>
            <w:r>
              <w:rPr>
                <w:rFonts w:ascii="Arial" w:hAnsi="Arial" w:cs="Arial"/>
                <w:sz w:val="18"/>
              </w:rPr>
              <w:t xml:space="preserve">Exacerbations (IRR)</w:t>
            </w:r>
          </w:p>
        </w:tc>
        <w:tc>
          <w:tcPr>
            <w:tcW w:type="dxa" w:w="1656"/>
          </w:tcPr>
          <w:p>
            <w:r>
              <w:rPr>
                <w:rFonts w:ascii="Arial" w:hAnsi="Arial" w:cs="Arial"/>
                <w:sz w:val="18"/>
              </w:rPr>
              <w:t xml:space="preserve">AFL-only-noCOPD</w:t>
            </w:r>
          </w:p>
        </w:tc>
        <w:tc>
          <w:tcPr>
            <w:tcW w:type="dxa" w:w="1656"/>
          </w:tcPr>
          <w:p>
            <w:r>
              <w:rPr>
                <w:rFonts w:ascii="Arial" w:hAnsi="Arial" w:cs="Arial"/>
                <w:sz w:val="18"/>
              </w:rPr>
              <w:t xml:space="preserve">1.15 (0.81–1.53)</w:t>
            </w:r>
          </w:p>
        </w:tc>
        <w:tc>
          <w:tcPr>
            <w:tcW w:type="dxa" w:w="1656"/>
          </w:tcPr>
          <w:p>
            <w:r>
              <w:rPr>
                <w:rFonts w:ascii="Arial" w:hAnsi="Arial" w:cs="Arial"/>
                <w:sz w:val="18"/>
              </w:rPr>
              <w:t xml:space="preserve">0.96 (0.58–1.41)</w:t>
            </w:r>
          </w:p>
        </w:tc>
        <w:tc>
          <w:tcPr>
            <w:tcW w:type="dxa" w:w="792"/>
          </w:tcPr>
          <w:p>
            <w:r>
              <w:rPr>
                <w:rFonts w:ascii="Arial" w:hAnsi="Arial" w:cs="Arial"/>
                <w:sz w:val="18"/>
              </w:rPr>
              <w:t xml:space="preserve">0.40</w:t>
            </w:r>
          </w:p>
        </w:tc>
        <w:tc>
          <w:tcPr>
            <w:tcW w:type="dxa" w:w="1800"/>
          </w:tcPr>
          <w:p>
            <w:r>
              <w:rPr>
                <w:rFonts w:ascii="Arial" w:hAnsi="Arial" w:cs="Arial"/>
                <w:sz w:val="18"/>
              </w:rPr>
              <w:t xml:space="preserve">1.35 (1.00–1.81)</w:t>
            </w:r>
          </w:p>
        </w:tc>
        <w:tc>
          <w:tcPr>
            <w:tcW w:type="dxa" w:w="1800"/>
          </w:tcPr>
          <w:p>
            <w:r>
              <w:rPr>
                <w:rFonts w:ascii="Arial" w:hAnsi="Arial" w:cs="Arial"/>
                <w:sz w:val="18"/>
              </w:rPr>
              <w:t xml:space="preserve">1.01 (0.66–1.52)</w:t>
            </w:r>
          </w:p>
        </w:tc>
        <w:tc>
          <w:tcPr>
            <w:tcW w:type="dxa" w:w="792"/>
          </w:tcPr>
          <w:p>
            <w:r>
              <w:rPr>
                <w:rFonts w:ascii="Arial" w:hAnsi="Arial" w:cs="Arial"/>
                <w:sz w:val="18"/>
              </w:rPr>
              <w:t xml:space="preserve">0.20</w:t>
            </w:r>
          </w:p>
        </w:tc>
      </w:tr>
      <w:tr>
        <w:tc>
          <w:tcPr>
            <w:tcW w:type="dxa" w:w="1656"/>
          </w:tcPr>
          <w:p>
            <w:r>
              <w:rPr>
                <w:rFonts w:ascii="Arial" w:hAnsi="Arial" w:cs="Arial"/>
                <w:sz w:val="18"/>
              </w:rPr>
              <w:t xml:space="preserve">Exacerbations (IRR)</w:t>
            </w:r>
          </w:p>
        </w:tc>
        <w:tc>
          <w:tcPr>
            <w:tcW w:type="dxa" w:w="1656"/>
          </w:tcPr>
          <w:p>
            <w:r>
              <w:rPr>
                <w:rFonts w:ascii="Arial" w:hAnsi="Arial" w:cs="Arial"/>
                <w:sz w:val="18"/>
              </w:rPr>
              <w:t xml:space="preserve">COPD minor pathway</w:t>
            </w:r>
          </w:p>
        </w:tc>
        <w:tc>
          <w:tcPr>
            <w:tcW w:type="dxa" w:w="1656"/>
          </w:tcPr>
          <w:p>
            <w:r>
              <w:rPr>
                <w:rFonts w:ascii="Arial" w:hAnsi="Arial" w:cs="Arial"/>
                <w:sz w:val="18"/>
              </w:rPr>
              <w:t xml:space="preserve">3.09 (2.68–3.59)</w:t>
            </w:r>
          </w:p>
        </w:tc>
        <w:tc>
          <w:tcPr>
            <w:tcW w:type="dxa" w:w="1656"/>
          </w:tcPr>
          <w:p>
            <w:r>
              <w:rPr>
                <w:rFonts w:ascii="Arial" w:hAnsi="Arial" w:cs="Arial"/>
                <w:sz w:val="18"/>
              </w:rPr>
              <w:t xml:space="preserve">3.22 (2.67–3.87)</w:t>
            </w:r>
          </w:p>
        </w:tc>
        <w:tc>
          <w:tcPr>
            <w:tcW w:type="dxa" w:w="792"/>
          </w:tcPr>
          <w:p>
            <w:r>
              <w:rPr>
                <w:rFonts w:ascii="Arial" w:hAnsi="Arial" w:cs="Arial"/>
                <w:sz w:val="18"/>
              </w:rPr>
              <w:t xml:space="preserve">0.52</w:t>
            </w:r>
          </w:p>
        </w:tc>
        <w:tc>
          <w:tcPr>
            <w:tcW w:type="dxa" w:w="1800"/>
          </w:tcPr>
          <w:p>
            <w:r>
              <w:rPr>
                <w:rFonts w:ascii="Arial" w:hAnsi="Arial" w:cs="Arial"/>
                <w:sz w:val="18"/>
              </w:rPr>
              <w:t xml:space="preserve">2.16 (1.88–2.49)</w:t>
            </w:r>
          </w:p>
        </w:tc>
        <w:tc>
          <w:tcPr>
            <w:tcW w:type="dxa" w:w="1800"/>
          </w:tcPr>
          <w:p>
            <w:r>
              <w:rPr>
                <w:rFonts w:ascii="Arial" w:hAnsi="Arial" w:cs="Arial"/>
                <w:sz w:val="18"/>
              </w:rPr>
              <w:t xml:space="preserve">2.10 (1.77–2.48)</w:t>
            </w:r>
          </w:p>
        </w:tc>
        <w:tc>
          <w:tcPr>
            <w:tcW w:type="dxa" w:w="792"/>
          </w:tcPr>
          <w:p>
            <w:r>
              <w:rPr>
                <w:rFonts w:ascii="Arial" w:hAnsi="Arial" w:cs="Arial"/>
                <w:sz w:val="18"/>
              </w:rPr>
              <w:t xml:space="preserve">0.68</w:t>
            </w:r>
          </w:p>
        </w:tc>
      </w:tr>
      <w:tr>
        <w:tc>
          <w:tcPr>
            <w:tcW w:type="dxa" w:w="1656"/>
          </w:tcPr>
          <w:p>
            <w:r>
              <w:rPr>
                <w:rFonts w:ascii="Arial" w:hAnsi="Arial" w:cs="Arial"/>
                <w:sz w:val="18"/>
              </w:rPr>
              <w:t xml:space="preserve">Exacerbations (IRR)</w:t>
            </w:r>
          </w:p>
        </w:tc>
        <w:tc>
          <w:tcPr>
            <w:tcW w:type="dxa" w:w="1656"/>
          </w:tcPr>
          <w:p>
            <w:r>
              <w:rPr>
                <w:rFonts w:ascii="Arial" w:hAnsi="Arial" w:cs="Arial"/>
                <w:sz w:val="18"/>
              </w:rPr>
              <w:t xml:space="preserve">COPD major pathway</w:t>
            </w:r>
          </w:p>
        </w:tc>
        <w:tc>
          <w:tcPr>
            <w:tcW w:type="dxa" w:w="1656"/>
          </w:tcPr>
          <w:p>
            <w:r>
              <w:rPr>
                <w:rFonts w:ascii="Arial" w:hAnsi="Arial" w:cs="Arial"/>
                <w:sz w:val="18"/>
              </w:rPr>
              <w:t xml:space="preserve">4.46 (4.03–4.93)</w:t>
            </w:r>
          </w:p>
        </w:tc>
        <w:tc>
          <w:tcPr>
            <w:tcW w:type="dxa" w:w="1656"/>
          </w:tcPr>
          <w:p>
            <w:r>
              <w:rPr>
                <w:rFonts w:ascii="Arial" w:hAnsi="Arial" w:cs="Arial"/>
                <w:sz w:val="18"/>
              </w:rPr>
              <w:t xml:space="preserve">3.94 (3.58–4.32)</w:t>
            </w:r>
          </w:p>
        </w:tc>
        <w:tc>
          <w:tcPr>
            <w:tcW w:type="dxa" w:w="792"/>
          </w:tcPr>
          <w:p>
            <w:r>
              <w:rPr>
                <w:rFonts w:ascii="Arial" w:hAnsi="Arial" w:cs="Arial"/>
                <w:sz w:val="18"/>
              </w:rPr>
              <w:t xml:space="preserve">&lt;0.01</w:t>
            </w:r>
          </w:p>
        </w:tc>
        <w:tc>
          <w:tcPr>
            <w:tcW w:type="dxa" w:w="1800"/>
          </w:tcPr>
          <w:p>
            <w:r>
              <w:rPr>
                <w:rFonts w:ascii="Arial" w:hAnsi="Arial" w:cs="Arial"/>
                <w:sz w:val="18"/>
              </w:rPr>
              <w:t xml:space="preserve">3.82 (3.48–4.21)</w:t>
            </w:r>
          </w:p>
        </w:tc>
        <w:tc>
          <w:tcPr>
            <w:tcW w:type="dxa" w:w="1800"/>
          </w:tcPr>
          <w:p>
            <w:r>
              <w:rPr>
                <w:rFonts w:ascii="Arial" w:hAnsi="Arial" w:cs="Arial"/>
                <w:sz w:val="18"/>
              </w:rPr>
              <w:t xml:space="preserve">3.45 (3.14–3.78)</w:t>
            </w:r>
          </w:p>
        </w:tc>
        <w:tc>
          <w:tcPr>
            <w:tcW w:type="dxa" w:w="792"/>
          </w:tcPr>
          <w:p>
            <w:r>
              <w:rPr>
                <w:rFonts w:ascii="Arial" w:hAnsi="Arial" w:cs="Arial"/>
                <w:sz w:val="18"/>
              </w:rPr>
              <w:t xml:space="preserve">&lt;0.002</w:t>
            </w:r>
          </w:p>
        </w:tc>
      </w:tr>
    </w:tbl>
    <w:p w14:paraId="205F4BF5" w14:textId="089642C5" w:rsidR="00266B86" w:rsidRPr="006741AD" w:rsidRDefault="00960EEA">
      <w:pPr>
        <w:rPr>
          <w:bCs/>
        </w:rPr>
      </w:pPr>
      <w:bookmarkStart w:id="1" w:name="tbl_1"/>
      <w:bookmarkEnd w:id="1"/>
      <w:proofErr w:type="spellStart"/>
      <w:proofErr w:type="spellEnd"/>
      <w:proofErr w:type="spellStart"/>
      <w:proofErr w:type="spellEnd"/>
      <w:r>
        <w:rPr>
          <w:rFonts w:ascii="Arial" w:hAnsi="Arial"/>
          <w:b/>
          <w:sz w:val="20"/>
        </w:rPr>
        <w:t xml:space="preserve">Table 1. </w:t>
      </w:r>
      <w:r>
        <w:rPr>
          <w:rFonts w:ascii="Arial" w:hAnsi="Arial"/>
          <w:sz w:val="20"/>
        </w:rPr>
        <w:t>Associations of MD-COPD diagnostic categories with mortality and exacerbation outcomes under the CT-based and ESI-based frameworks. Crude rate ratios are the observed event rate in each category divided by the observed rate in the noCOPD reference of the same framework, with 95% percentile intervals from a paired subject resample bootstrap. Observed rates in the noCOPD reference are 1.49 deaths, 0.03 respiratory deaths and 12.38 exacerbations per 100 person-years under the CT-based framework, and 1.59, 0.04 and 13.73 respectively under the ESI-based framework. Adjusted estimates are hazard ratios from Cox proportional hazards models (mortality) and incidence-rate ratios from negative binomial models (exacerbations), each relative to the noCOPD reference; adjustment covariates are age, sex, race, current smoking status, pack-years and body mass index, with prior exacerbation frequency additionally included in the exacerbation models. Each p-value tests the difference between the CT-based and ESI-based estimate for that category on the log scale, by paired subject resample bootstrap; values reported as “&lt;0.002” denote combinations in which no resample crossed zero. Reading the two pairs of columns together shows how much of each association is accounted for by the covariates. Category sizes under the CT-based framework are noCOPD n = 4,203, AFL-only-noCOPD n = 170, COPD minor pathway n = 1,086 and COPD major pathway n = 3,943; the ESI-based categories contain different participants, and the full cross-classification is shown in Figure 1B. Abbreviations: CT, computed tomography; ESI, Emphysema Severity Index; RR, rate ratio; HR, hazard ratio; IRR, incidence-rate ratio; CI, confidence interval.</w:t>
      </w:r>
    </w:p>
    <w:p w14:paraId="1AD3202A" w14:textId="35C244B8" w:rsidR="00E757CA" w:rsidRDefault="00E757CA"/>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Exacerbations</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1.48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0.03</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12.31</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2.54</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27.21</w:t>
            </w:r>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1.89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0.12</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16.28</w:t>
            </w:r>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0.16</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49.57</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2. </w:t>
      </w:r>
      <w:r>
        <w:rPr>
          <w:rFonts w:ascii="Arial" w:hAnsi="Arial"/>
          <w:sz w:val="20"/>
        </w:rPr>
        <w:t>Observed event rates by cross-classification group. Rates are events per 100 person-years, unadjusted, within the preserved-spirometry (minor pathway) subgroup, as in Figure 2. Participants are cross-classified by whether they meet the COPD definition under each framework, yielding four mutually exclusive groups. These are the rates participants in each group experienced; the corresponding adjusted estimates are given in Table 3. Participants meeting the major criterion, including the AFL-only-noCOPD category, are outside this subgroup by definition and are therefore not represented here; their outcomes appear in Table 1. Mortality rates are computed on 5,289 participants and exacerbation rates on 4,635. Abbreviations: CT, computed tomography; ESI, Emphysema Severity Index; COPD, chronic obstructive pulmonary disease.</w:t>
      </w:r>
    </w:p>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 HR (95% CI)</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 HR (95% CI)</w:t>
            </w:r>
          </w:p>
        </w:tc>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 IRR (95% CI)</w:t>
            </w:r>
          </w:p>
        </w:tc>
      </w:tr>
      <w:tr w:rsidR="00DD5950" w14:paraId="1C8605F4"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r>
      <w:tr w:rsidR="00DD5950" w14:paraId="0C553D2B"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1.53 (1.25–1.88)</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2.90 (0.91–9.28)</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1.69 (1.36–2.10)</w:t>
            </w:r>
          </w:p>
        </w:tc>
      </w:tr>
      <w:tr w:rsidR="00DD5950" w14:paraId="6D727E5A"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1.26 (0.76–2.07)</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4.86 (0.62–38.02)</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1.32 (0.81–2.16)</w:t>
            </w:r>
          </w:p>
        </w:tc>
      </w:tr>
      <w:tr w:rsidR="00DD5950" w14:paraId="40ACCCCF"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2.02 (1.66–2.46)</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6.10 (2.19–16.96)</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2.07 (1.66–2.59)</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3. </w:t>
      </w:r>
      <w:r>
        <w:rPr>
          <w:rFonts w:ascii="Arial" w:hAnsi="Arial"/>
          <w:sz w:val="20"/>
        </w:rPr>
        <w:t>Adjusted associations by cross-classification group. Cox proportional hazards models estimate the hazard ratio for all-cause and respiratory mortality, and a negative binomial model with a follow-up-year offset estimates the incidence-rate ratio for exacerbations, each relative to the Both-noCOPD reference. Adjustment covariates are age, sex, race, current smoking status, pack-years and body mass index, with prior exacerbation frequency additionally included in the exacerbation model. Groups are defined as in Table 2, which reports the observed rates these estimates adjust. Pairwise contrasts among the three COPD-positive groups were tested on the log scale with single-step adjusted p-values (multcomp); no contrast reached significance for any outcome, so no significance letters are shown. Full contrast estimates are reported in Supplemental Table 3. Abbreviations: CT, computed tomography; ESI, Emphysema Severity Index; COPD, chronic obstructive pulmonary disease; HR, hazard ratio; IRR, incidence-rate ratio; CI, confidence interval.</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A6D5A"/>
    <w:rsid w:val="001B15C1"/>
    <w:rsid w:val="001B68B2"/>
    <w:rsid w:val="001E0D9C"/>
    <w:rsid w:val="001E3D95"/>
    <w:rsid w:val="001E7586"/>
    <w:rsid w:val="0023386F"/>
    <w:rsid w:val="00266B86"/>
    <w:rsid w:val="0029639D"/>
    <w:rsid w:val="002C025D"/>
    <w:rsid w:val="002C0E25"/>
    <w:rsid w:val="002C4C51"/>
    <w:rsid w:val="002C4E69"/>
    <w:rsid w:val="0030669B"/>
    <w:rsid w:val="00313503"/>
    <w:rsid w:val="00320EE6"/>
    <w:rsid w:val="00322E46"/>
    <w:rsid w:val="00326F90"/>
    <w:rsid w:val="00396AD9"/>
    <w:rsid w:val="003B1B47"/>
    <w:rsid w:val="003B36AF"/>
    <w:rsid w:val="003B6AB2"/>
    <w:rsid w:val="003C5044"/>
    <w:rsid w:val="003C7DB1"/>
    <w:rsid w:val="003D2FA1"/>
    <w:rsid w:val="0041242A"/>
    <w:rsid w:val="00425918"/>
    <w:rsid w:val="00442CB5"/>
    <w:rsid w:val="00444ECE"/>
    <w:rsid w:val="004471E2"/>
    <w:rsid w:val="004815D8"/>
    <w:rsid w:val="004A5C24"/>
    <w:rsid w:val="004D1101"/>
    <w:rsid w:val="004F0EB4"/>
    <w:rsid w:val="004F2343"/>
    <w:rsid w:val="005523CD"/>
    <w:rsid w:val="005E2195"/>
    <w:rsid w:val="006173BC"/>
    <w:rsid w:val="0063379E"/>
    <w:rsid w:val="00647D1D"/>
    <w:rsid w:val="00650ACA"/>
    <w:rsid w:val="00664E36"/>
    <w:rsid w:val="006741AD"/>
    <w:rsid w:val="00681980"/>
    <w:rsid w:val="006B6153"/>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33A7A"/>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2472A"/>
    <w:rsid w:val="00D51C0B"/>
    <w:rsid w:val="00D5264C"/>
    <w:rsid w:val="00D62EC3"/>
    <w:rsid w:val="00D656BD"/>
    <w:rsid w:val="00D91155"/>
    <w:rsid w:val="00DA190D"/>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FC693F"/>
    <w:pPr>
      <w:spacing w:after="160" w:line="240" w:lineRule="auto"/>
    </w:pPr>
    <w:rPr>
      <w:rFonts w:ascii="Arial" w:hAnsi="Arial" w:cs="Arial"/>
    </w:rPr>
  </w:style>
  <w:style w:type="paragraph" w:styleId="Titolo1">
    <w:name w:val="heading 1"/>
    <w:basedOn w:val="Normale"/>
    <w:next w:val="Normale"/>
    <w:link w:val="Titolo1Carattere"/>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Titolo2">
    <w:name w:val="heading 2"/>
    <w:basedOn w:val="Normale"/>
    <w:next w:val="Normale"/>
    <w:link w:val="Titolo2Carattere"/>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Titolo3">
    <w:name w:val="heading 3"/>
    <w:basedOn w:val="Normale"/>
    <w:next w:val="Normale"/>
    <w:link w:val="Titolo3Carattere"/>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Rimandocommento">
    <w:name w:val="annotation reference"/>
    <w:basedOn w:val="Carpredefinitoparagrafo"/>
    <w:uiPriority w:val="99"/>
    <w:semiHidden/>
    <w:unhideWhenUsed/>
    <w:rsid w:val="00320EE6"/>
    <w:rPr>
      <w:sz w:val="16"/>
      <w:szCs w:val="16"/>
    </w:rPr>
  </w:style>
  <w:style w:type="paragraph" w:styleId="Testocommento">
    <w:name w:val="annotation text"/>
    <w:basedOn w:val="Normale"/>
    <w:link w:val="TestocommentoCarattere"/>
    <w:uiPriority w:val="99"/>
    <w:unhideWhenUsed/>
    <w:rsid w:val="00320EE6"/>
    <w:rPr>
      <w:sz w:val="20"/>
      <w:szCs w:val="20"/>
    </w:rPr>
  </w:style>
  <w:style w:type="character" w:customStyle="1" w:styleId="TestocommentoCarattere">
    <w:name w:val="Testo commento Carattere"/>
    <w:basedOn w:val="Carpredefinitoparagrafo"/>
    <w:link w:val="Testocommento"/>
    <w:uiPriority w:val="99"/>
    <w:rsid w:val="00320EE6"/>
    <w:rPr>
      <w:rFonts w:ascii="Arial" w:hAnsi="Arial" w:cs="Arial"/>
      <w:sz w:val="20"/>
      <w:szCs w:val="20"/>
    </w:rPr>
  </w:style>
  <w:style w:type="paragraph" w:styleId="Soggettocommento">
    <w:name w:val="annotation subject"/>
    <w:basedOn w:val="Testocommento"/>
    <w:next w:val="Testocommento"/>
    <w:link w:val="SoggettocommentoCarattere"/>
    <w:uiPriority w:val="99"/>
    <w:semiHidden/>
    <w:unhideWhenUsed/>
    <w:rsid w:val="00320EE6"/>
    <w:rPr>
      <w:b/>
      <w:bCs/>
    </w:rPr>
  </w:style>
  <w:style w:type="character" w:customStyle="1" w:styleId="SoggettocommentoCarattere">
    <w:name w:val="Soggetto commento Carattere"/>
    <w:basedOn w:val="TestocommentoCarattere"/>
    <w:link w:val="Soggettocommento"/>
    <w:uiPriority w:val="99"/>
    <w:semiHidden/>
    <w:rsid w:val="00320EE6"/>
    <w:rPr>
      <w:rFonts w:ascii="Arial" w:hAnsi="Arial" w:cs="Arial"/>
      <w:b/>
      <w:bCs/>
      <w:sz w:val="20"/>
      <w:szCs w:val="20"/>
    </w:rPr>
  </w:style>
  <w:style w:type="character" w:styleId="Collegamentoipertestuale">
    <w:name w:val="Hyperlink"/>
    <w:basedOn w:val="Carpredefinitoparagrafo"/>
    <w:uiPriority w:val="99"/>
    <w:semiHidden/>
    <w:unhideWhenUsed/>
    <w:rsid w:val="008F1B26"/>
    <w:rPr>
      <w:color w:val="0000FF"/>
      <w:u w:val="single"/>
    </w:rPr>
  </w:style>
  <w:style w:type="paragraph" w:styleId="Testofumetto">
    <w:name w:val="Balloon Text"/>
    <w:basedOn w:val="Normale"/>
    <w:link w:val="TestofumettoCarattere"/>
    <w:uiPriority w:val="99"/>
    <w:semiHidden/>
    <w:unhideWhenUsed/>
    <w:rsid w:val="00006497"/>
    <w:pPr>
      <w:spacing w:after="0"/>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06497"/>
    <w:rPr>
      <w:rFonts w:ascii="Segoe UI" w:hAnsi="Segoe UI" w:cs="Segoe UI"/>
      <w:sz w:val="18"/>
      <w:szCs w:val="18"/>
    </w:rPr>
  </w:style>
  <w:style w:type="character" w:customStyle="1" w:styleId="period">
    <w:name w:val="period"/>
    <w:basedOn w:val="Carpredefinitoparagrafo"/>
    <w:rsid w:val="00A1602E"/>
  </w:style>
  <w:style w:type="character" w:customStyle="1" w:styleId="cit">
    <w:name w:val="cit"/>
    <w:basedOn w:val="Carpredefinitoparagrafo"/>
    <w:rsid w:val="00A1602E"/>
  </w:style>
  <w:style w:type="character" w:customStyle="1" w:styleId="citation-doi">
    <w:name w:val="citation-doi"/>
    <w:basedOn w:val="Carpredefinitoparagrafo"/>
    <w:rsid w:val="00A1602E"/>
  </w:style>
  <w:style w:type="character" w:customStyle="1" w:styleId="authors-list-item">
    <w:name w:val="authors-list-item"/>
    <w:basedOn w:val="Carpredefinitoparagrafo"/>
    <w:rsid w:val="00A1602E"/>
  </w:style>
  <w:style w:type="character" w:customStyle="1" w:styleId="author-sup-separator">
    <w:name w:val="author-sup-separator"/>
    <w:basedOn w:val="Carpredefinitoparagrafo"/>
    <w:rsid w:val="00A1602E"/>
  </w:style>
  <w:style w:type="character" w:customStyle="1" w:styleId="comma">
    <w:name w:val="comma"/>
    <w:basedOn w:val="Carpredefinitoparagrafo"/>
    <w:rsid w:val="00A1602E"/>
  </w:style>
  <w:style w:type="paragraph" w:customStyle="1" w:styleId="pdq2pgselectionanchorcontainer">
    <w:name w:val="pdq2pg_selectionanchorcontainer"/>
    <w:basedOn w:val="Normale"/>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8A0D-F8C9-4994-BE65-DDBC6C25CCB0}">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16</Pages>
  <Words>6270</Words>
  <Characters>35744</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41931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Massimo</cp:lastModifiedBy>
  <cp:revision>10</cp:revision>
  <dcterms:created xsi:type="dcterms:W3CDTF">2026-08-31T09:22:00Z</dcterms:created>
  <dcterms:modified xsi:type="dcterms:W3CDTF">2026-08-31T10:18:00Z</dcterms:modified>
  <cp:category/>
</cp:coreProperties>
</file>