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Supplemental Material</w:t>
      </w:r>
    </w:p>
    <w:p>
      <w:pPr>
        <w:jc w:val="center"/>
      </w:pPr>
      <w:r>
        <w:rPr>
          <w:rFonts w:ascii="Arial" w:hAnsi="Arial"/>
          <w:i/>
          <w:sz w:val="22"/>
        </w:rPr>
        <w:t>The Emphysema Severity Index: A Spirometric Representation of CT-Defined Structural Abnormalities in a Multidimensional COPD Framework</w:t>
      </w:r>
    </w:p>
    <w:p/>
    <w:p>
      <w:pPr>
        <w:jc w:val="center"/>
      </w:pPr>
      <w:r>
        <w:rPr>
          <w:rFonts w:ascii="Arial" w:hAnsi="Arial"/>
          <w:b/>
          <w:sz w:val="24"/>
        </w:rPr>
        <w:t>Table of Contents</w:t>
      </w:r>
    </w:p>
    <w:p>
      <w:pPr>
        <w:ind w:left="720"/>
      </w:pPr>
      <w:r>
        <w:rPr>
          <w:rFonts w:ascii="Arial" w:hAnsi="Arial"/>
          <w:b/>
          <w:sz w:val="22"/>
        </w:rPr>
        <w:t xml:space="preserve">  ST1  |  </w:t>
      </w:r>
      <w:hyperlink w:anchor="tbl_S1">
        <w:r>
          <w:rPr>
            <w:rFonts w:ascii="Arial" w:hAnsi="Arial" w:cs="Arial"/>
            <w:sz w:val="22"/>
            <w:color w:val="0563C1"/>
            <w:u w:val="single"/>
          </w:rPr>
          <w:t xml:space="preserve">Threshold sensitivity: agreement and diagnostic performance of candidate ESI-based COPD definitions relative to the CT-based reference</w:t>
        </w:r>
      </w:hyperlink>
    </w:p>
    <w:p>
      <w:pPr>
        <w:ind w:left="720"/>
      </w:pPr>
      <w:r>
        <w:rPr>
          <w:rFonts w:ascii="Arial" w:hAnsi="Arial"/>
          <w:b/>
          <w:sz w:val="22"/>
        </w:rPr>
        <w:t xml:space="preserve">  ST2  |  </w:t>
      </w:r>
      <w:hyperlink w:anchor="tbl_S2">
        <w:r>
          <w:rPr>
            <w:rFonts w:ascii="Arial" w:hAnsi="Arial" w:cs="Arial"/>
            <w:sz w:val="22"/>
            <w:color w:val="0563C1"/>
            <w:u w:val="single"/>
          </w:rPr>
          <w:t xml:space="preserve">Paired-bootstrap test of category-level equivalence between frameworks (Δlog-effect), all outcomes</w:t>
        </w:r>
      </w:hyperlink>
    </w:p>
    <w:p>
      <w:pPr>
        <w:ind w:left="720"/>
      </w:pPr>
      <w:r>
        <w:rPr>
          <w:rFonts w:ascii="Arial" w:hAnsi="Arial"/>
          <w:b/>
          <w:sz w:val="22"/>
        </w:rPr>
        <w:t xml:space="preserve">  ST3  |  </w:t>
      </w:r>
      <w:hyperlink w:anchor="tbl_S3">
        <w:r>
          <w:rPr>
            <w:rFonts w:ascii="Arial" w:hAnsi="Arial" w:cs="Arial"/>
            <w:sz w:val="22"/>
            <w:color w:val="0563C1"/>
            <w:u w:val="single"/>
          </w:rPr>
          <w:t xml:space="preserve">Pairwise contrasts among cross-classification groups (Both-COPD, CT-only-COPD, ESI-only-COPD), all outcomes</w:t>
        </w:r>
      </w:hyperlink>
    </w:p>
    <w:p>
      <w:pPr>
        <w:ind w:left="720"/>
      </w:pPr>
      <w:r>
        <w:rPr>
          <w:rFonts w:ascii="Arial" w:hAnsi="Arial"/>
          <w:b/>
          <w:sz w:val="22"/>
        </w:rPr>
        <w:t xml:space="preserve">  ST4  |  </w:t>
      </w:r>
      <w:hyperlink w:anchor="tbl_S4">
        <w:r>
          <w:rPr>
            <w:rFonts w:ascii="Arial" w:hAnsi="Arial" w:cs="Arial"/>
            <w:sz w:val="22"/>
            <w:color w:val="0563C1"/>
            <w:u w:val="single"/>
          </w:rPr>
          <w:t xml:space="preserve">Baseline characteristics of the analytic cohort by GOLD-stage stratum</w:t>
        </w:r>
      </w:hyperlink>
    </w:p>
    <w:p>
      <w:pPr>
        <w:ind w:left="720"/>
      </w:pPr>
      <w:r>
        <w:rPr>
          <w:rFonts w:ascii="Arial" w:hAnsi="Arial"/>
          <w:b/>
          <w:sz w:val="22"/>
        </w:rPr>
        <w:t xml:space="preserve">  ST5  |  </w:t>
      </w:r>
      <w:hyperlink w:anchor="tbl_S5">
        <w:r>
          <w:rPr>
            <w:rFonts w:ascii="Arial" w:hAnsi="Arial" w:cs="Arial"/>
            <w:sz w:val="22"/>
            <w:color w:val="0563C1"/>
            <w:u w:val="single"/>
          </w:rPr>
          <w:t xml:space="preserve">Per-stratum Pearson correlations between ESI and quantitative CT emphysema metrics</w:t>
        </w:r>
      </w:hyperlink>
    </w:p>
    <w:p>
      <w:pPr>
        <w:ind w:left="720"/>
      </w:pPr>
      <w:r>
        <w:rPr>
          <w:rFonts w:ascii="Arial" w:hAnsi="Arial"/>
          <w:b/>
          <w:sz w:val="22"/>
        </w:rPr>
        <w:t xml:space="preserve">  ST6  |  </w:t>
      </w:r>
      <w:hyperlink w:anchor="tbl_S6">
        <w:r>
          <w:rPr>
            <w:rFonts w:ascii="Arial" w:hAnsi="Arial" w:cs="Arial"/>
            <w:sz w:val="22"/>
            <w:color w:val="0563C1"/>
            <w:u w:val="single"/>
          </w:rPr>
          <w:t xml:space="preserve">Cardiovascular-disease-specific mortality by MD-COPD diagnostic category under both frameworks</w:t>
        </w:r>
      </w:hyperlink>
    </w:p>
    <w:p>
      <w:pPr>
        <w:ind w:left="720"/>
      </w:pPr>
      <w:r>
        <w:rPr>
          <w:rFonts w:ascii="Arial" w:hAnsi="Arial"/>
          <w:b/>
          <w:sz w:val="22"/>
        </w:rPr>
        <w:t xml:space="preserve">  ST7  |  </w:t>
      </w:r>
      <w:hyperlink w:anchor="tbl_S7">
        <w:r>
          <w:rPr>
            <w:rFonts w:ascii="Arial" w:hAnsi="Arial" w:cs="Arial"/>
            <w:sz w:val="22"/>
            <w:color w:val="0563C1"/>
            <w:u w:val="single"/>
          </w:rPr>
          <w:t xml:space="preserve">Cancer-specific mortality by MD-COPD diagnostic category under both frameworks</w:t>
        </w:r>
      </w:hyperlink>
    </w:p>
    <w:p>
      <w:pPr>
        <w:ind w:left="720"/>
      </w:pPr>
      <w:r>
        <w:rPr>
          <w:rFonts w:ascii="Arial" w:hAnsi="Arial"/>
          <w:b/>
          <w:sz w:val="22"/>
        </w:rPr>
        <w:t xml:space="preserve">  ST8  |  </w:t>
      </w:r>
      <w:hyperlink w:anchor="tbl_S8">
        <w:r>
          <w:rPr>
            <w:rFonts w:ascii="Arial" w:hAnsi="Arial" w:cs="Arial"/>
            <w:sz w:val="22"/>
            <w:color w:val="0563C1"/>
            <w:u w:val="single"/>
          </w:rPr>
          <w:t xml:space="preserve">Other-cause (non-cardiovascular, non-cancer) mortality by MD-COPD diagnostic category under both frameworks</w:t>
        </w:r>
      </w:hyperlink>
    </w:p>
    <w:p>
      <w:pPr>
        <w:ind w:left="720"/>
      </w:pPr>
      <w:r>
        <w:rPr>
          <w:rFonts w:ascii="Arial" w:hAnsi="Arial"/>
          <w:b/>
          <w:sz w:val="22"/>
        </w:rPr>
        <w:t xml:space="preserve">  ST9  |  </w:t>
      </w:r>
      <w:hyperlink w:anchor="tbl_S9">
        <w:r>
          <w:rPr>
            <w:rFonts w:ascii="Arial" w:hAnsi="Arial" w:cs="Arial"/>
            <w:sz w:val="22"/>
            <w:color w:val="0563C1"/>
            <w:u w:val="single"/>
          </w:rPr>
          <w:t xml:space="preserve">FEV₁ decline (mL/yr) by MD-COPD diagnostic category under both frameworks</w:t>
        </w:r>
      </w:hyperlink>
    </w:p>
    <w:p>
      <w:pPr>
        <w:ind w:left="720"/>
      </w:pPr>
      <w:r>
        <w:rPr>
          <w:rFonts w:ascii="Arial" w:hAnsi="Arial"/>
          <w:b/>
          <w:sz w:val="22"/>
        </w:rPr>
        <w:t xml:space="preserve"> ST10  |  </w:t>
      </w:r>
      <w:hyperlink w:anchor="tbl_S10">
        <w:r>
          <w:rPr>
            <w:rFonts w:ascii="Arial" w:hAnsi="Arial" w:cs="Arial"/>
            <w:sz w:val="22"/>
            <w:color w:val="0563C1"/>
            <w:u w:val="single"/>
          </w:rPr>
          <w:t xml:space="preserve">Discrimination-level equivalence between the CT-based and ESI-based frameworks (C-index, paired TOST)</w:t>
        </w:r>
      </w:hyperlink>
    </w:p>
    <w:p>
      <w:pPr>
        <w:ind w:left="720"/>
      </w:pPr>
      <w:r>
        <w:rPr>
          <w:rFonts w:ascii="Arial" w:hAnsi="Arial"/>
          <w:b/>
          <w:sz w:val="22"/>
        </w:rPr>
        <w:t xml:space="preserve"> ST11  |  </w:t>
      </w:r>
      <w:hyperlink w:anchor="tbl_S11">
        <w:r>
          <w:rPr>
            <w:rFonts w:ascii="Arial" w:hAnsi="Arial" w:cs="Arial"/>
            <w:sz w:val="22"/>
            <w:color w:val="0563C1"/>
            <w:u w:val="single"/>
          </w:rPr>
          <w:t xml:space="preserve">Sensitivity analysis: category-level associations after excluding participants at the ESI ceiling (ESI = 10)</w:t>
        </w:r>
      </w:hyperlink>
    </w:p>
    <w:p>
      <w:pPr>
        <w:ind w:left="720"/>
      </w:pPr>
      <w:r>
        <w:rPr>
          <w:rFonts w:ascii="Arial" w:hAnsi="Arial"/>
          <w:b/>
          <w:sz w:val="22"/>
        </w:rPr>
        <w:t xml:space="preserve"> ST12  |  </w:t>
      </w:r>
      <w:hyperlink w:anchor="tbl_S12">
        <w:r>
          <w:rPr>
            <w:rFonts w:ascii="Arial" w:hAnsi="Arial" w:cs="Arial"/>
            <w:sz w:val="22"/>
            <w:color w:val="0563C1"/>
            <w:u w:val="single"/>
          </w:rPr>
          <w:t xml:space="preserve">Sensitivity analysis: category-level associations under the alternative 4-criterion framework (emphysema criterion replaced)</w:t>
        </w:r>
      </w:hyperlink>
    </w:p>
    <w:p>
      <w:pPr>
        <w:ind w:left="720"/>
      </w:pPr>
      <w:r>
        <w:rPr>
          <w:rFonts w:ascii="Arial" w:hAnsi="Arial"/>
          <w:b/>
          <w:sz w:val="22"/>
        </w:rPr>
        <w:t xml:space="preserve"> ST13  |  </w:t>
      </w:r>
      <w:hyperlink w:anchor="tbl_S13">
        <w:r>
          <w:rPr>
            <w:rFonts w:ascii="Arial" w:hAnsi="Arial" w:cs="Arial"/>
            <w:sz w:val="22"/>
            <w:color w:val="0563C1"/>
            <w:u w:val="single"/>
          </w:rPr>
          <w:t xml:space="preserve">Sensitivity analysis: category-level associations restricted to severe exacerbations only</w:t>
        </w:r>
      </w:hyperlink>
    </w:p>
    <w:p>
      <w:pPr>
        <w:ind w:left="720"/>
      </w:pPr>
      <w:r>
        <w:rPr>
          <w:rFonts w:ascii="Arial" w:hAnsi="Arial"/>
          <w:b/>
          <w:sz w:val="22"/>
        </w:rPr>
        <w:t xml:space="preserve"> ST14  |  </w:t>
      </w:r>
      <w:hyperlink w:anchor="tbl_S14">
        <w:r>
          <w:rPr>
            <w:rFonts w:ascii="Arial" w:hAnsi="Arial" w:cs="Arial"/>
            <w:sz w:val="22"/>
            <w:color w:val="0563C1"/>
            <w:u w:val="single"/>
          </w:rPr>
          <w:t xml:space="preserve">Continuous ESI vs FEV₁/FVC as predictors of mortality and exacerbations, and combined-model likelihood-ratio tests</w:t>
        </w:r>
      </w:hyperlink>
    </w:p>
    <w:p>
      <w:pPr>
        <w:ind w:left="720"/>
      </w:pPr>
      <w:r>
        <w:rPr>
          <w:rFonts w:ascii="Arial" w:hAnsi="Arial"/>
          <w:b/>
          <w:sz w:val="22"/>
        </w:rPr>
        <w:t xml:space="preserve"> ST15  |  </w:t>
      </w:r>
      <w:hyperlink w:anchor="tbl_S15">
        <w:r>
          <w:rPr>
            <w:rFonts w:ascii="Arial" w:hAnsi="Arial" w:cs="Arial"/>
            <w:sz w:val="22"/>
            <w:color w:val="0563C1"/>
            <w:u w:val="single"/>
          </w:rPr>
          <w:t xml:space="preserve">Continuous ESI vs FEV₁/FVC as predictors of FEV₁ decline (mL/yr), stratified by baseline lung-function stratum</w:t>
        </w:r>
      </w:hyperlink>
    </w:p>
    <w:p>
      <w:pPr>
        <w:ind w:left="720"/>
      </w:pPr>
      <w:r>
        <w:rPr>
          <w:rFonts w:ascii="Arial" w:hAnsi="Arial"/>
          <w:b/>
          <w:sz w:val="22"/>
        </w:rPr>
        <w:t xml:space="preserve"> ST16  |  </w:t>
      </w:r>
      <w:hyperlink w:anchor="tbl_S16">
        <w:r>
          <w:rPr>
            <w:rFonts w:ascii="Arial" w:hAnsi="Arial" w:cs="Arial"/>
            <w:sz w:val="22"/>
            <w:color w:val="0563C1"/>
            <w:u w:val="single"/>
          </w:rPr>
          <w:t xml:space="preserve">ESI trajectory by baseline lung-function stratum, follow-up visits 2 and 3</w:t>
        </w:r>
      </w:hyperlink>
    </w:p>
    <w:p>
      <w:pPr>
        <w:ind w:left="720"/>
      </w:pPr>
      <w:r>
        <w:rPr>
          <w:rFonts w:ascii="Arial" w:hAnsi="Arial"/>
          <w:b/>
          <w:sz w:val="22"/>
        </w:rPr>
        <w:t xml:space="preserve"> ST17  |  </w:t>
      </w:r>
      <w:hyperlink w:anchor="tbl_S17">
        <w:r>
          <w:rPr>
            <w:rFonts w:ascii="Arial" w:hAnsi="Arial" w:cs="Arial"/>
            <w:sz w:val="22"/>
            <w:color w:val="0563C1"/>
            <w:u w:val="single"/>
          </w:rPr>
          <w:t xml:space="preserve">ESI stability across paired pre- and post-bronchodilator spirometry</w:t>
        </w:r>
      </w:hyperlink>
    </w:p>
    <w:p/>
    <w:p>
      <w:pPr>
        <w:pStyle w:val="Heading2"/>
      </w:pPr>
      <w:r>
        <w:rPr>
          <w:rFonts w:ascii="Arial" w:hAnsi="Arial"/>
          <w:b w:val="0"/>
          <w:i w:val="0"/>
          <w:sz w:val="22"/>
        </w:rPr>
        <w:t>COPDGene files used</w:t>
      </w:r>
    </w:p>
    <w:p>
      <w:r>
        <w:rPr>
          <w:rFonts w:ascii="Arial" w:hAnsi="Arial"/>
          <w:b w:val="0"/>
          <w:i w:val="0"/>
          <w:sz w:val="22"/>
        </w:rPr>
        <w:t>Analyses in this manuscript draw on the following COPDGene distribution files.</w:t>
      </w:r>
    </w:p>
    <w:p>
      <w:r>
        <w:rPr>
          <w:rFonts w:ascii="Arial" w:hAnsi="Arial"/>
          <w:b/>
          <w:i w:val="0"/>
          <w:sz w:val="22"/>
        </w:rPr>
        <w:t>COPDGene_VitalStatus_SM_NS_Sep23.csv</w:t>
      </w:r>
      <w:r>
        <w:rPr>
          <w:rFonts w:ascii="Arial" w:hAnsi="Arial"/>
          <w:b w:val="0"/>
          <w:i w:val="0"/>
          <w:sz w:val="22"/>
        </w:rPr>
        <w:t xml:space="preserve"> — vital status and follow-up time, used for all-cause mortality. Overall mortality was ascertained through longitudinal follow-up calls combined with Social Security Death Index searches.</w:t>
      </w:r>
    </w:p>
    <w:p>
      <w:r>
        <w:rPr>
          <w:rFonts w:ascii="Arial" w:hAnsi="Arial"/>
          <w:b/>
          <w:i w:val="0"/>
          <w:sz w:val="22"/>
        </w:rPr>
        <w:t>COPDGene_Mort_COD_Adj.csv</w:t>
      </w:r>
      <w:r>
        <w:rPr>
          <w:rFonts w:ascii="Arial" w:hAnsi="Arial"/>
          <w:b w:val="0"/>
          <w:i w:val="0"/>
          <w:sz w:val="22"/>
        </w:rPr>
        <w:t xml:space="preserve"> — adjudicated underlying cause of death, used for respiratory and cause-specific mortality. Causes were assigned by a pre-specified adjudication process applying a modified version of the Towards a Revolution in COPD Health (TORCH) criteria.</w:t>
      </w:r>
    </w:p>
    <w:p>
      <w:r>
        <w:rPr>
          <w:rFonts w:ascii="Arial" w:hAnsi="Arial"/>
          <w:b/>
          <w:i w:val="0"/>
          <w:sz w:val="22"/>
        </w:rPr>
        <w:t>LFU_SidLevel_Comorbid_SM_30SEP21.txt</w:t>
      </w:r>
      <w:r>
        <w:rPr>
          <w:rFonts w:ascii="Arial" w:hAnsi="Arial"/>
          <w:b w:val="0"/>
          <w:i w:val="0"/>
          <w:sz w:val="22"/>
        </w:rPr>
        <w:t xml:space="preserve"> — the COPDGene Longitudinal Follow-up (LFU) program dataset, used for prospective respiratory exacerbation counts and person-time at risk.</w:t>
      </w:r>
    </w:p>
    <w:p>
      <w:r>
        <w:rPr>
          <w:rFonts w:ascii="Arial" w:hAnsi="Arial"/>
          <w:b/>
          <w:i w:val="0"/>
          <w:sz w:val="22"/>
        </w:rPr>
        <w:t>COPDGene_P1P2P3_SM_NS_Long_Sep24.csv</w:t>
      </w:r>
      <w:r>
        <w:rPr>
          <w:rFonts w:ascii="Arial" w:hAnsi="Arial"/>
          <w:b w:val="0"/>
          <w:i w:val="0"/>
          <w:sz w:val="22"/>
        </w:rPr>
        <w:t xml:space="preserve"> — the main COPD phenotype file in long format, covering the first three study visits over approximately fifteen years, used for baseline characteristics and longitudinal FEV₁ decline.</w:t>
      </w:r>
    </w:p>
    <w:p>
      <w:r>
        <w:rPr>
          <w:rFonts w:ascii="Arial" w:hAnsi="Arial"/>
          <w:b w:val="0"/>
          <w:i w:val="0"/>
          <w:sz w:val="22"/>
        </w:rPr>
        <w:t>Emphysema Severity Index values were computed from the COPDGene spirometric flow-volume curves as described in the main text.</w:t>
      </w:r>
    </w:p>
    <w:p>
      <w:pPr>
        <w:sectPr>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5688" w:type="dxa"/>
        <w:gridCol w:w="864" w:type="dxa"/>
        <w:gridCol w:w="1008" w:type="dxa"/>
        <w:gridCol w:w="1008" w:type="dxa"/>
        <w:gridCol w:w="792" w:type="dxa"/>
        <w:gridCol w:w="864" w:type="dxa"/>
        <w:gridCol w:w="1008" w:type="dxa"/>
        <w:gridCol w:w="1008" w:type="dxa"/>
        <w:gridCol w:w="792" w:type="dxa"/>
        <w:gridCol w:w="1368" w:type="dxa"/>
      </w:tblGrid>
      <w:tr>
        <w:trPr>
          <w:cantSplit/>
          <w:tblHeader/>
        </w:trPr>
        <w:tc>
          <w:tcPr>
            <w:tcW w:type="dxa" w:w="5688"/>
            <w:vAlign w:val="center"/>
            <w:tcBorders>
              <w:top w:val="single" w:sz="6" w:color="000000"/>
              <w:left w:val="single" w:sz="6" w:color="000000"/>
              <w:bottom w:val="single" w:sz="6" w:color="000000"/>
              <w:right w:val="single" w:sz="6" w:color="000000"/>
            </w:tcBorders>
          </w:tcPr>
          <w:p>
            <w:pPr>
              <w:keepNext/>
            </w:pPr>
            <w:r/>
            <w:r>
              <w:rPr>
                <w:rFonts w:ascii="Arial" w:hAnsi="Arial"/>
                <w:b/>
                <w:sz w:val="22"/>
              </w:rPr>
              <w:t>Variant</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κ</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κ</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Selected</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5572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0.846</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1119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0.837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4912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0.902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991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0.807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939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4521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0.739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3669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0.998</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0.5, ESI cutoff high = 2.0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5408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0.863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1094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0.875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1.0, ESI cutoff high = 2.5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1.5, ESI cutoff high = 3.0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2.0, ESI cutoff high = 3.5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0.712</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bl>
    <w:p>
      <w:pPr>
        <w:keepNext/>
      </w:pPr>
    </w:p>
    <w:p>
      <w:pPr>
        <w:keepLines/>
      </w:pPr>
      <w:bookmarkStart w:id="1" w:name="tbl_S1"/>
      <w:bookmarkEnd w:id="1"/>
      <w:r>
        <w:rPr>
          <w:rFonts w:ascii="Arial" w:hAnsi="Arial"/>
          <w:b/>
          <w:sz w:val="20"/>
        </w:rPr>
        <w:t xml:space="preserve">ST1. Threshold sensitivity: candidate ESI-based COPD definitions vs the CT-based MD-COPD reference. </w:t>
      </w:r>
      <w:r>
        <w:rPr>
          <w:rFonts w:ascii="Arial" w:hAnsi="Arial"/>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 minor pathway" designation. Sensitivity, specificity, and Cohen's κ are reported for each definition against the CT-based MD-COPD label. The training-derived variant (5 criteria, ESI cutoff low = 1.0, ESI cutoff high = 2.5) is the definition used in all main text analyses.</w:t>
      </w:r>
      <w:r>
        <w:rPr>
          <w:rFonts w:ascii="Arial" w:hAnsi="Arial"/>
          <w:i/>
          <w:sz w:val="20"/>
        </w:rPr>
        <w:t xml:space="preserve"> Abbreviations: </w:t>
      </w:r>
      <w:r>
        <w:rPr>
          <w:rFonts w:ascii="Arial" w:hAnsi="Arial"/>
          <w:sz w:val="20"/>
        </w:rPr>
        <w:t>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 minor pathway classification; ESI cutoff low / ESI cutoff high, lower / upper ESI thresholds in a 5-criteria two-threshold variant (values below the ESI cutoff low contribute zero minor criteria; ESI cutoff low ≤ ESI &lt; ESI cutoff high contribute one; ESI ≥ ESI cutoff high contribute two).</w:t>
      </w:r>
    </w:p>
    <w:tbl>
      <w:tblPr>
        <w:tblStyle w:val="TableGrid"/>
        <w:tblW w:type="auto" w:w="0"/>
        <w:jc w:val="center"/>
        <w:tblLook w:firstColumn="1" w:firstRow="1" w:lastColumn="0" w:lastRow="0" w:noHBand="0" w:noVBand="1" w:val="04A0"/>
        <w:tblLayout w:type="fixed"/>
      </w:tblPr>
      <w:tblGrid>
        <w:gridCol w:w="2232" w:type="dxa"/>
        <w:gridCol w:w="864" w:type="dxa"/>
        <w:gridCol w:w="1584" w:type="dxa"/>
        <w:gridCol w:w="792" w:type="dxa"/>
        <w:gridCol w:w="792" w:type="dxa"/>
        <w:gridCol w:w="1512" w:type="dxa"/>
        <w:gridCol w:w="1368" w:type="dxa"/>
        <w:gridCol w:w="2232" w:type="dxa"/>
        <w:gridCol w:w="1296"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CT</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Difference (CT − ESI)</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Observed Δlog</w:t>
            </w:r>
          </w:p>
        </w:tc>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(Δlog)</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Two-sided p</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0.90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0.91</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-0.02</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-0.018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(-0.573, 0.583)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0.94</w:t>
            </w:r>
          </w:p>
        </w:tc>
      </w:tr>
      <w:tr>
        <w:trPr>
          <w:cantSplit/>
        </w:trPr>
        <w:tc>
          <w:tcPr>
            <w:tcW w:type="dxa" w:w="2232"/>
            <w:vMerge/>
            <w:tcBorders>
              <w:top w:val="nil"/>
              <w:left w:val="single" w:sz="6" w:color="000000"/>
              <w:bottom w:val="nil"/>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1.91</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1.94</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-0.019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(-0.179, 0.135)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0.85</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2.59</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2.39</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0.079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(0.045, 0.115)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1.42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2.19</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-0.436</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(-1.806, 0.748)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w:t>
            </w:r>
          </w:p>
        </w:tc>
      </w:tr>
      <w:tr>
        <w:trPr>
          <w:cantSplit/>
        </w:trPr>
        <w:tc>
          <w:tcPr>
            <w:tcW w:type="dxa" w:w="2232"/>
            <w:vMerge/>
            <w:tcBorders>
              <w:top w:val="nil"/>
              <w:left w:val="single" w:sz="6" w:color="000000"/>
              <w:bottom w:val="nil"/>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4.80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5.68</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-0.168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(-1.026, 0.764)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36.27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30.95</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5.31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0.158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(-0.182, 0.510)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1.35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1.01</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0.34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0.291</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(-0.123, 0.794)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0.20</w:t>
            </w:r>
          </w:p>
        </w:tc>
      </w:tr>
      <w:tr>
        <w:trPr>
          <w:cantSplit/>
        </w:trPr>
        <w:tc>
          <w:tcPr>
            <w:tcW w:type="dxa" w:w="2232"/>
            <w:vMerge/>
            <w:tcBorders>
              <w:top w:val="nil"/>
              <w:left w:val="single" w:sz="6" w:color="000000"/>
              <w:bottom w:val="nil"/>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2.16</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2.10</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0.032</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(-0.120, 0.183)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0.68</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3.82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3.45</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0.38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0.103</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(0.064, 0.146)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bl>
    <w:p>
      <w:pPr>
        <w:keepNext/>
      </w:pPr>
    </w:p>
    <w:p>
      <w:pPr>
        <w:keepLines/>
      </w:pPr>
      <w:bookmarkStart w:id="2" w:name="tbl_S2"/>
      <w:bookmarkEnd w:id="2"/>
      <w:r>
        <w:rPr>
          <w:rFonts w:ascii="Arial" w:hAnsi="Arial"/>
          <w:b/>
          <w:sz w:val="20"/>
        </w:rPr>
        <w:t xml:space="preserve">ST2. Paired-bootstrap test of category-level equivalence between the CT-based and ESI-based frameworks, all outcomes. </w:t>
      </w:r>
      <w:r>
        <w:rPr>
          <w:rFonts w:ascii="Arial" w:hAnsi="Arial"/>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and body mass index for mortality, with prior exacerbation frequency additionally included in the exacerbation models. The "Difference (CT − ESI)" column is the signed difference between the two point estimates on the natural scale. noCOPD denotes participants meeting neither framework's COPD definition.</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between the CT-based and ESI-based frameworks; CI, confidence interval;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1008" w:type="dxa"/>
        <w:gridCol w:w="2952" w:type="dxa"/>
        <w:gridCol w:w="1512" w:type="dxa"/>
        <w:gridCol w:w="720" w:type="dxa"/>
        <w:gridCol w:w="1296"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2952"/>
            <w:vAlign w:val="center"/>
            <w:tcBorders>
              <w:top w:val="single" w:sz="6" w:color="000000"/>
              <w:left w:val="single" w:sz="6" w:color="000000"/>
              <w:bottom w:val="single" w:sz="6" w:color="000000"/>
              <w:right w:val="single" w:sz="6" w:color="000000"/>
            </w:tcBorders>
          </w:tcPr>
          <w:p>
            <w:pPr>
              <w:keepNext/>
            </w:pPr>
            <w:r/>
            <w:r>
              <w:rPr>
                <w:rFonts w:ascii="Arial" w:hAnsi="Arial"/>
                <w:b/>
                <w:sz w:val="22"/>
              </w:rPr>
              <w:t>Contrast</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(Δlog)</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Adjusted p</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0.279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0.069</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0.476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0.161</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0.197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0.733</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0.638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0.464</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1.080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0.975</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-0.516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1.124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0.887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0.143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0.310</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0.449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0.202</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0.623</w:t>
            </w:r>
          </w:p>
        </w:tc>
      </w:tr>
    </w:tbl>
    <w:p>
      <w:pPr>
        <w:keepNext/>
      </w:pPr>
    </w:p>
    <w:p>
      <w:pPr>
        <w:keepLines/>
      </w:pPr>
      <w:bookmarkStart w:id="3" w:name="tbl_S3"/>
      <w:bookmarkEnd w:id="3"/>
      <w:r>
        <w:rPr>
          <w:rFonts w:ascii="Arial" w:hAnsi="Arial"/>
          <w:b/>
          <w:sz w:val="20"/>
        </w:rPr>
        <w:t xml:space="preserve">ST3. Pairwise contrasts among cross-classification groups for all outcomes. </w:t>
      </w:r>
      <w:r>
        <w:rPr>
          <w:rFonts w:ascii="Arial" w:hAnsi="Arial"/>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These are the contrasts underlying main text Table 3. No contrast reached significance for any outcome at α = 0.05, so no significance letters are displayed there.</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SE, standard error; COPD, chronic obstructive pulmonary disease;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936" w:type="dxa"/>
        <w:gridCol w:w="648" w:type="dxa"/>
        <w:gridCol w:w="1008" w:type="dxa"/>
        <w:gridCol w:w="864" w:type="dxa"/>
        <w:gridCol w:w="936" w:type="dxa"/>
        <w:gridCol w:w="1008" w:type="dxa"/>
        <w:gridCol w:w="979" w:type="dxa"/>
        <w:gridCol w:w="1368" w:type="dxa"/>
        <w:gridCol w:w="1152" w:type="dxa"/>
        <w:gridCol w:w="1152" w:type="dxa"/>
        <w:gridCol w:w="1296" w:type="dxa"/>
        <w:gridCol w:w="1008" w:type="dxa"/>
        <w:gridCol w:w="1152" w:type="dxa"/>
        <w:gridCol w:w="1296" w:type="dxa"/>
      </w:tblGrid>
      <w:tr>
        <w:trPr>
          <w:cantSplit/>
          <w:tblHeader/>
        </w:trPr>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Stratum</w:t>
            </w:r>
          </w:p>
        </w:tc>
        <w:tc>
          <w:tcPr>
            <w:tcW w:type="dxa" w:w="648"/>
            <w:vAlign w:val="center"/>
            <w:tcBorders>
              <w:top w:val="single" w:sz="6" w:color="000000"/>
              <w:left w:val="single" w:sz="6" w:color="000000"/>
              <w:bottom w:val="single" w:sz="6" w:color="000000"/>
              <w:right w:val="single" w:sz="6" w:color="000000"/>
            </w:tcBorders>
          </w:tcPr>
          <w:p>
            <w:pPr>
              <w:keepNext/>
            </w:pPr>
            <w:r/>
            <w:r>
              <w:rPr>
                <w:rFonts w:ascii="Arial" w:hAnsi="Arial"/>
                <w:b/>
                <w:sz w:val="18"/>
              </w:rPr>
              <w:t>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Age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18"/>
              </w:rPr>
              <w:t>Female</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Smoker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BMI</w:t>
            </w:r>
          </w:p>
        </w:tc>
        <w:tc>
          <w:tcPr>
            <w:tcW w:type="dxa" w:w="979"/>
            <w:vAlign w:val="center"/>
            <w:tcBorders>
              <w:top w:val="single" w:sz="6" w:color="000000"/>
              <w:left w:val="single" w:sz="6" w:color="000000"/>
              <w:bottom w:val="single" w:sz="6" w:color="000000"/>
              <w:right w:val="single" w:sz="6" w:color="000000"/>
            </w:tcBorders>
          </w:tcPr>
          <w:p>
            <w:pPr>
              <w:keepNext/>
            </w:pPr>
            <w:r/>
            <w:r>
              <w:rPr>
                <w:rFonts w:ascii="Arial" w:hAnsi="Arial"/>
                <w:b/>
                <w:sz w:val="18"/>
              </w:rPr>
              <w:t>Pack-yr</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 %pred</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FEV₁/FVC</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ESI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LAA-950HU</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mMRC≥2</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SGRQ≥25</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Bronchitis</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Never</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62.0 (9.3)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68%</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28.3 (5.1)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0 (0)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103 (14)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0.80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0.83 (0.22)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1.8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GOLD0</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4054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56.7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28.9 (5.8)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37 (20)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97 (11)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0.79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0.90 (0.37)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2.0 (2.7)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23%</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13%</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PRISm</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1129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57.2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54%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63%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31.7 (7.2)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42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71 (8)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0.77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0.91 (0.45)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GOLD1</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740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61.9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26.9 (4.8)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45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91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0.65 (0.04)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1.44 (0.51)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5.4 (5.9)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GOLD2</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1789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62.6 (8.9)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49%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28.7 (6.1)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51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65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0.58 (0.08)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2.18 (1.20)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7.3 (8.0)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GOLD3</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1053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64.3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36%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28.0 (6.3)</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55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40 (6)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0.44 (0.09)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4.84 (2.14)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16.5 (12.7)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78%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30%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GOLD4</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531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64.1 (7.6)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25.3 (5.6)</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57 (29)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23 (5)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0.32 (0.07)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8.30 (1.97)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27.1 (14.0)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95%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28%</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Overall</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9402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59.6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28.8 (6.2)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44 (25)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77 (25)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0.67 (0.16)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2.05 (2.23)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6.3 (9.8)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19%</w:t>
            </w:r>
          </w:p>
        </w:tc>
      </w:tr>
    </w:tbl>
    <w:p>
      <w:pPr>
        <w:keepNext/>
      </w:pPr>
    </w:p>
    <w:p>
      <w:pPr>
        <w:keepLines/>
      </w:pPr>
      <w:bookmarkStart w:id="4" w:name="tbl_S4"/>
      <w:bookmarkEnd w:id="4"/>
      <w:r>
        <w:rPr>
          <w:rFonts w:ascii="Arial" w:hAnsi="Arial"/>
          <w:b/>
          <w:sz w:val="20"/>
        </w:rPr>
        <w:t xml:space="preserve">ST4. Baseline characteristics of the analytic cohort by GOLD-stage stratum. </w:t>
      </w:r>
      <w:r>
        <w:rPr>
          <w:rFonts w:ascii="Arial" w:hAnsi="Arial"/>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definitions: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rFonts w:ascii="Arial" w:hAnsi="Arial"/>
          <w:i/>
          <w:sz w:val="20"/>
        </w:rPr>
        <w:t xml:space="preserve"> Abbreviations: </w:t>
      </w:r>
      <w:r>
        <w:rPr>
          <w:rFonts w:ascii="Arial" w:hAnsi="Arial"/>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872" w:type="dxa"/>
        <w:gridCol w:w="1872" w:type="dxa"/>
        <w:gridCol w:w="1944" w:type="dxa"/>
        <w:gridCol w:w="1944"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%LAA-950HU)</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%LAA-950HU)</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PRM emphysema)</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PRM emphysema)</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Never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0.29</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0.28</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4030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3394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PRISm</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1118</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915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734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623</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1771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1580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0.54</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938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527</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0.44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467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0.45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All strata</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9335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0.78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8007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0.81</w:t>
            </w:r>
          </w:p>
        </w:tc>
      </w:tr>
    </w:tbl>
    <w:p>
      <w:pPr>
        <w:keepNext/>
      </w:pPr>
    </w:p>
    <w:p>
      <w:pPr>
        <w:keepLines/>
      </w:pPr>
      <w:bookmarkStart w:id="5" w:name="tbl_S5"/>
      <w:bookmarkEnd w:id="5"/>
      <w:r>
        <w:rPr>
          <w:rFonts w:ascii="Arial" w:hAnsi="Arial"/>
          <w:b/>
          <w:sz w:val="20"/>
        </w:rPr>
        <w:t xml:space="preserve">ST5. Per-stratum Pearson correlations between ESI and quantitative CT emphysema metrics. </w:t>
      </w:r>
      <w:r>
        <w:rPr>
          <w:rFonts w:ascii="Arial" w:hAnsi="Arial"/>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rFonts w:ascii="Arial" w:hAnsi="Arial"/>
          <w:i/>
          <w:sz w:val="20"/>
        </w:rPr>
        <w:t xml:space="preserve"> Abbreviations: </w:t>
      </w:r>
      <w:r>
        <w:rPr>
          <w:rFonts w:ascii="Arial" w:hAnsi="Arial"/>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1.22 (0.53–2.79)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0.73 (0.18–2.98)</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1.39 (0.95–2.05)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23</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1.51 (0.96–2.37)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0.08</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186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1.75 (1.35–2.26)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190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1.71 (1.33–2.19)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6" w:name="tbl_S6"/>
      <w:bookmarkEnd w:id="6"/>
      <w:r>
        <w:rPr>
          <w:rFonts w:ascii="Arial" w:hAnsi="Arial"/>
          <w:b/>
          <w:sz w:val="20"/>
        </w:rPr>
        <w:t xml:space="preserve">ST6. Cardiovascular-disease-specific mortality by MD-COPD diagnostic category under both frameworks. </w:t>
      </w:r>
      <w:r>
        <w:rPr>
          <w:rFonts w:ascii="Arial" w:hAnsi="Arial"/>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1.19 (0.55–2.57)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1.61 (0.71–3.66)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0.26</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2.32 (1.67–3.23)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2.48 (1.70–3.61)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1.97 (1.56–2.50)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276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1.79 (1.43–2.24)</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7" w:name="tbl_S7"/>
      <w:bookmarkEnd w:id="7"/>
      <w:r>
        <w:rPr>
          <w:rFonts w:ascii="Arial" w:hAnsi="Arial"/>
          <w:b/>
          <w:sz w:val="20"/>
        </w:rPr>
        <w:t xml:space="preserve">ST7. Cancer-specific mortality by MD-COPD diagnostic category under both frameworks. </w:t>
      </w:r>
      <w:r>
        <w:rPr>
          <w:rFonts w:ascii="Arial" w:hAnsi="Arial"/>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4</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0.81 (0.30–2.19)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0.36 (0.05–2.57)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0.31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2.11 (1.53–2.92)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2.02 (1.39–2.92)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1.43 (1.10–1.85)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1.30 (1.02–1.67)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0.03</w:t>
            </w:r>
          </w:p>
        </w:tc>
      </w:tr>
    </w:tbl>
    <w:p>
      <w:pPr>
        <w:keepNext/>
      </w:pPr>
    </w:p>
    <w:p>
      <w:pPr>
        <w:keepLines/>
      </w:pPr>
      <w:bookmarkStart w:id="8" w:name="tbl_S8"/>
      <w:bookmarkEnd w:id="8"/>
      <w:r>
        <w:rPr>
          <w:rFonts w:ascii="Arial" w:hAnsi="Arial"/>
          <w:b/>
          <w:sz w:val="20"/>
        </w:rPr>
        <w:t xml:space="preserve">ST8. Other-cause mortality by MD-COPD diagnostic category under both frameworks. </w:t>
      </w:r>
      <w:r>
        <w:rPr>
          <w:rFonts w:ascii="Arial" w:hAnsi="Arial"/>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2232" w:type="dxa"/>
        <w:gridCol w:w="1800" w:type="dxa"/>
        <w:gridCol w:w="720" w:type="dxa"/>
        <w:gridCol w:w="720" w:type="dxa"/>
        <w:gridCol w:w="1800" w:type="dxa"/>
        <w:gridCol w:w="720" w:type="dxa"/>
        <w:gridCol w:w="720"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3.63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10.15</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4.20</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0.02</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1.81</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0.25</w:t>
            </w:r>
          </w:p>
        </w:tc>
      </w:tr>
    </w:tbl>
    <w:p>
      <w:pPr>
        <w:keepNext/>
      </w:pPr>
    </w:p>
    <w:p>
      <w:pPr>
        <w:keepLines/>
      </w:pPr>
      <w:bookmarkStart w:id="9" w:name="tbl_S9"/>
      <w:bookmarkEnd w:id="9"/>
      <w:r>
        <w:rPr>
          <w:rFonts w:ascii="Arial" w:hAnsi="Arial"/>
          <w:b/>
          <w:sz w:val="20"/>
        </w:rPr>
        <w:t xml:space="preserve">ST9. FEV₁ decline (mL/yr) by MD-COPD diagnostic category under both frameworks. </w:t>
      </w:r>
      <w:r>
        <w:rPr>
          <w:rFonts w:ascii="Arial" w:hAnsi="Arial"/>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MD-COPD, multidimensional COPD; FEV₁, forced expiratory volume in one second; SE, standard error; AFL, airflow limitation;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2304" w:type="dxa"/>
        <w:gridCol w:w="1440" w:type="dxa"/>
        <w:gridCol w:w="1512" w:type="dxa"/>
        <w:gridCol w:w="1944" w:type="dxa"/>
        <w:gridCol w:w="1872" w:type="dxa"/>
        <w:gridCol w:w="1656" w:type="dxa"/>
        <w:gridCol w:w="1656" w:type="dxa"/>
        <w:gridCol w:w="1584"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C-index</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C-index</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Δ C-index (CT − ESI)</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(lower)</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(upper)</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Equivalent</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All-cause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0.703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0.700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(0.000, 0.006)</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Respiratory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0.853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(-0.001, 0.004)</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bl>
    <w:p>
      <w:pPr>
        <w:keepNext/>
      </w:pPr>
    </w:p>
    <w:p>
      <w:pPr>
        <w:keepLines/>
      </w:pPr>
      <w:bookmarkStart w:id="10" w:name="tbl_S10"/>
      <w:bookmarkEnd w:id="10"/>
      <w:r>
        <w:rPr>
          <w:rFonts w:ascii="Arial" w:hAnsi="Arial"/>
          <w:b/>
          <w:sz w:val="20"/>
        </w:rPr>
        <w:t xml:space="preserve">ST10. Discrimination-level equivalence between the CT-based and ESI-based frameworks. </w:t>
      </w:r>
      <w:r>
        <w:rPr>
          <w:rFonts w:ascii="Arial" w:hAnsi="Arial"/>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rFonts w:ascii="Arial" w:hAnsi="Arial"/>
          <w:i/>
          <w:sz w:val="20"/>
        </w:rPr>
        <w:t xml:space="preserve"> Abbreviations: </w:t>
      </w:r>
      <w:r>
        <w:rPr>
          <w:rFonts w:ascii="Arial" w:hAnsi="Arial"/>
          <w:sz w:val="20"/>
        </w:rPr>
        <w:t>C-index, Harrell's concordance index; CI, confidence interval; TOST, two one-sided tests;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1.86 (1.60–2.17)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2.40 (2.17–2.65)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0.91 (0.57–1.45)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1.90 (1.59–2.27)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(2.02–2.44)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1.40 (0.18–10.75)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4.55 (2.03–10.20)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30.27 (17.37–52.76)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2.15 (0.29–16.24)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5.41 (2.31–12.69)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25.95 (15.70–42.92)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1.36 (1.01–1.83)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2.14 (1.86–2.46)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3.69 (3.35–4.06)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1.01 (0.66–1.53)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2.07 (1.74–2.46)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3.33 (3.03–3.65)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1" w:name="tbl_S11"/>
      <w:bookmarkEnd w:id="11"/>
      <w:r>
        <w:rPr>
          <w:rFonts w:ascii="Arial" w:hAnsi="Arial"/>
          <w:b/>
          <w:sz w:val="20"/>
        </w:rPr>
        <w:t xml:space="preserve">ST11. Sensitivity analysis: Category-level associations after excluding participants at the ESI ceiling (ESI = 10). </w:t>
      </w:r>
      <w:r>
        <w:rPr>
          <w:rFonts w:ascii="Arial" w:hAnsi="Arial"/>
          <w:sz w:val="20"/>
        </w:rPr>
        <w:t>This sensitivity analysis repeats the primary Table 1 analysis (Cox proportional-hazards for all-cause and respiratory mortality; negative-binomial with a follow-up-year offset for exacerbations) after excluding participants at the ESI ceiling (ESI = 10);. Adjustment covariates match the Table 1 covariate set: age, sex, race, current smoking status, pack-years and body mass index for mortality, with prior exacerbation frequency additionally included in the exacerbation models.</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1.91 (1.64–2.22)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 (2.35–2.86)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0.86 (0.70–1.05)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1.89 (1.51–2.36)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2.58 (2.35–2.82)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1.42 (0.19–10.84)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(2.14–10.76)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36.27 (20.85–63.07)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1.30 (0.44–3.86)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7.21 (2.85–18.24)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33.06 (20.59–53.09)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1.35 (1.00–1.81)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2.16 (1.88–2.49)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3.82 (3.48–4.21)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1.08 (0.91–1.29)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(1.81–2.74)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3.73 (3.40–4.10)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2" w:name="tbl_S12"/>
      <w:bookmarkEnd w:id="12"/>
      <w:r>
        <w:rPr>
          <w:rFonts w:ascii="Arial" w:hAnsi="Arial"/>
          <w:b/>
          <w:sz w:val="20"/>
        </w:rPr>
        <w:t xml:space="preserve">ST12. Sensitivity analysis: Category-level associations under the alternative 4-criterion framework. </w:t>
      </w:r>
      <w:r>
        <w:rPr>
          <w:rFonts w:ascii="Arial" w:hAnsi="Arial"/>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 for mortality, with prior exacerbation frequency additionally included in the exacerbation models.</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1.33 (0.89–2.00)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2.83 (2.37–3.38)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4.82 (4.25–5.46)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1.24 (0.72–2.14)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2.46 (1.99–3.06)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4.08 (3.62–4.60)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3" w:name="tbl_S13"/>
      <w:bookmarkEnd w:id="13"/>
      <w:r>
        <w:rPr>
          <w:rFonts w:ascii="Arial" w:hAnsi="Arial"/>
          <w:b/>
          <w:sz w:val="20"/>
        </w:rPr>
        <w:t xml:space="preserve">ST13. Sensitivity analysis: Category-level associations for severe exacerbations only. </w:t>
      </w:r>
      <w:r>
        <w:rPr>
          <w:rFonts w:ascii="Arial" w:hAnsi="Arial"/>
          <w:sz w:val="20"/>
        </w:rPr>
        <w:t>This sensitivity analysis refits the primary negative-binomial exacerbation model restricted to severe exacerbations only (all-cause and respiratory mortality outcomes are unchanged). Adjustment covariates match the Table 1 exacerbation covariate set: age, sex, race, current smoking status, pack-years, body mass index and prior exacerbation frequency.</w:t>
      </w:r>
      <w:r>
        <w:rPr>
          <w:rFonts w:ascii="Arial" w:hAnsi="Arial"/>
          <w:i/>
          <w:sz w:val="20"/>
        </w:rPr>
        <w:t xml:space="preserve"> Abbreviations: </w:t>
      </w:r>
      <w:r>
        <w:rPr>
          <w:rFonts w:ascii="Arial" w:hAnsi="Arial"/>
          <w:sz w:val="20"/>
        </w:rPr>
        <w:t>CT, computed tomography; ESI, Emphysema Severity Index; MD-COPD, multidimensional COPD; AFL, airflow limitation; IRR, incidence-rate ratio; CI, confidence interval.</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864" w:type="dxa"/>
        <w:gridCol w:w="1872" w:type="dxa"/>
        <w:gridCol w:w="2376" w:type="dxa"/>
        <w:gridCol w:w="1008" w:type="dxa"/>
        <w:gridCol w:w="2664" w:type="dxa"/>
        <w:gridCol w:w="1008" w:type="dxa"/>
        <w:gridCol w:w="2304"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6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Likelihood-ratio test</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HR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1.10 (1.07-1.13)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0.83 (0.79-0.88)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1.07 (1.02-1.12)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0.004</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0.93 (0.85-1.02)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0.101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8.30, df = 1, p = 0.004</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1.15 (1.10-1.20)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0.65 (0.58-0.72)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0.97 (0.89-1.05)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0.427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0.60 (0.49-0.74)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0.63, df = 1, p = 0.427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IRR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1.11 (1.07-1.15)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0.79 (0.74-0.84)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1.01 (0.96-1.06)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0.80 (0.73-0.88)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0.12, df = 1, p = 0.730</w:t>
            </w:r>
          </w:p>
        </w:tc>
      </w:tr>
    </w:tbl>
    <w:p>
      <w:pPr>
        <w:keepNext/>
      </w:pPr>
    </w:p>
    <w:p>
      <w:pPr>
        <w:keepLines/>
      </w:pPr>
      <w:bookmarkStart w:id="14" w:name="tbl_S14"/>
      <w:bookmarkEnd w:id="14"/>
      <w:r>
        <w:rPr>
          <w:rFonts w:ascii="Arial" w:hAnsi="Arial"/>
          <w:b/>
          <w:sz w:val="20"/>
        </w:rPr>
        <w:t xml:space="preserve">ST14. Continuous ESI vs FEV₁/FVC as predictors of mortality and exacerbations. </w:t>
      </w:r>
      <w:r>
        <w:rPr>
          <w:rFonts w:ascii="Arial" w:hAnsi="Arial"/>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indicators replace body mass index because the continuous-ESI analysis spans the full spectrum of airflow obstruction. Companion Supplemental Table 15 shows continuous ESI vs FEV₁/FVC as predictors of FEV₁ decline (mL/yr), stratified by baseline lung-function stratum.</w:t>
      </w:r>
      <w:r>
        <w:rPr>
          <w:rFonts w:ascii="Arial" w:hAnsi="Arial"/>
          <w:i/>
          <w:sz w:val="20"/>
        </w:rPr>
        <w:t xml:space="preserve"> Abbreviations: </w:t>
      </w:r>
      <w:r>
        <w:rPr>
          <w:rFonts w:ascii="Arial" w:hAnsi="Arial"/>
          <w:sz w:val="20"/>
        </w:rPr>
        <w:t>ESI, Emphysema Severity Index; FEV₁, forced expiratory volume in one second; FVC, forced vital capacity; HR, hazard ratio; IRR, incidence-rate ratio; CI, confidence interval; LR, likelihood ratio; GOLD, Global Initiative for Chronic Obstructive Lung Disease.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080" w:type="dxa"/>
        <w:gridCol w:w="720" w:type="dxa"/>
        <w:gridCol w:w="1440" w:type="dxa"/>
        <w:gridCol w:w="1872" w:type="dxa"/>
        <w:gridCol w:w="936" w:type="dxa"/>
        <w:gridCol w:w="2304" w:type="dxa"/>
        <w:gridCol w:w="1008" w:type="dxa"/>
      </w:tblGrid>
      <w:tr>
        <w:trPr>
          <w:cantSplit/>
          <w:tblHeader/>
        </w:trPr>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slope (mL/yr)</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slope (mL/yr)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4054</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-5.38 (SE 1.44)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-4.73 (SE 1.47)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29.93 (SE 11.18)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0.007</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1129</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-1.69 (SE 3.61)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0.639</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2.01 (SE 3.80)</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0.597</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66.64 (SE 27.18)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0.014</w:t>
            </w:r>
          </w:p>
        </w:tc>
      </w:tr>
    </w:tbl>
    <w:p>
      <w:pPr>
        <w:keepNext/>
      </w:pPr>
    </w:p>
    <w:p>
      <w:pPr>
        <w:keepLines/>
      </w:pPr>
      <w:bookmarkStart w:id="15" w:name="tbl_S15"/>
      <w:bookmarkEnd w:id="15"/>
      <w:r>
        <w:rPr>
          <w:rFonts w:ascii="Arial" w:hAnsi="Arial"/>
          <w:b/>
          <w:sz w:val="20"/>
        </w:rPr>
        <w:t xml:space="preserve">ST15. Continuous ESI vs FEV₁/FVC as predictors of FEV₁ decline (mL/yr), stratified by baseline lung-function stratum. </w:t>
      </w:r>
      <w:r>
        <w:rPr>
          <w:rFonts w:ascii="Arial" w:hAnsi="Arial"/>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with the standard error in parentheses.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rFonts w:ascii="Arial" w:hAnsi="Arial"/>
          <w:i/>
          <w:sz w:val="20"/>
        </w:rPr>
        <w:t xml:space="preserve"> Abbreviations: </w:t>
      </w:r>
      <w:r>
        <w:rPr>
          <w:rFonts w:ascii="Arial" w:hAnsi="Arial"/>
          <w:sz w:val="20"/>
        </w:rPr>
        <w:t>N, number of participants in the stratum included in the model; ESI, Emphysema Severity Index; FEV₁, forced expiratory volume in one second; FVC, forced vital capacity; SE, standard error; GOLD, Global Initiative for Chronic Obstructive Lung Disease; PRISm, preserved-ratio impaired spirometry.</w:t>
      </w:r>
    </w:p>
    <w:tbl>
      <w:tblPr>
        <w:tblStyle w:val="TableGrid"/>
        <w:tblW w:type="auto" w:w="0"/>
        <w:jc w:val="center"/>
        <w:tblLook w:firstColumn="1" w:firstRow="1" w:lastColumn="0" w:lastRow="0" w:noHBand="0" w:noVBand="1" w:val="04A0"/>
        <w:tblLayout w:type="fixed"/>
      </w:tblPr>
      <w:tblGrid>
        <w:gridCol w:w="2304" w:type="dxa"/>
        <w:gridCol w:w="1080" w:type="dxa"/>
        <w:gridCol w:w="1224" w:type="dxa"/>
        <w:gridCol w:w="2376" w:type="dxa"/>
        <w:gridCol w:w="2376"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Baseline stratum</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Visit</w:t>
            </w:r>
          </w:p>
        </w:tc>
        <w:tc>
          <w:tcPr>
            <w:tcW w:type="dxa" w:w="1224"/>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Mean ΔESI</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Median ΔESI</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2525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0.000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0.051</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0.010</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660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0.105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0.040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208</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0.232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0.060</w:t>
            </w:r>
          </w:p>
        </w:tc>
      </w:tr>
    </w:tbl>
    <w:p>
      <w:pPr>
        <w:keepNext/>
      </w:pPr>
    </w:p>
    <w:p>
      <w:pPr>
        <w:keepLines/>
      </w:pPr>
      <w:bookmarkStart w:id="16" w:name="tbl_S16"/>
      <w:bookmarkEnd w:id="16"/>
      <w:r>
        <w:rPr>
          <w:rFonts w:ascii="Arial" w:hAnsi="Arial"/>
          <w:b/>
          <w:sz w:val="20"/>
        </w:rPr>
        <w:t xml:space="preserve">ST16. ESI trajectory by baseline lung-function stratum, follow-up visits 2 and 3. </w:t>
      </w:r>
      <w:r>
        <w:rPr>
          <w:rFonts w:ascii="Arial" w:hAnsi="Arial"/>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rFonts w:ascii="Arial" w:hAnsi="Arial"/>
          <w:i/>
          <w:sz w:val="20"/>
        </w:rPr>
        <w:t xml:space="preserve"> Abbreviations: </w:t>
      </w:r>
      <w:r>
        <w:rPr>
          <w:rFonts w:ascii="Arial" w:hAnsi="Arial"/>
          <w:sz w:val="20"/>
        </w:rPr>
        <w:t>ESI, Emphysema Severity Index; ΔESI, change in ESI from baseline; GOLD, Global Initiative for Chronic Obstructive Lung Disease; PRISm, preserved-ratio impaired spirometry; FEV₁, forced expiratory volume in one second; FVC, forced vital capacity.</w:t>
      </w:r>
    </w:p>
    <w:tbl>
      <w:tblPr>
        <w:tblStyle w:val="TableGrid"/>
        <w:tblW w:type="auto" w:w="0"/>
        <w:jc w:val="center"/>
        <w:tblLook w:firstColumn="1" w:firstRow="1" w:lastColumn="0" w:lastRow="0" w:noHBand="0" w:noVBand="1" w:val="04A0"/>
        <w:tblLayout w:type="fixed"/>
      </w:tblPr>
      <w:tblGrid>
        <w:gridCol w:w="5760" w:type="dxa"/>
        <w:gridCol w:w="3600" w:type="dxa"/>
      </w:tblGrid>
      <w:tr>
        <w:trPr>
          <w:cantSplit/>
          <w:tblHeader/>
        </w:trPr>
        <w:tc>
          <w:tcPr>
            <w:tcW w:type="dxa" w:w="576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Statistic</w:t>
            </w:r>
          </w:p>
        </w:tc>
        <w:tc>
          <w:tcPr>
            <w:tcW w:type="dxa" w:w="3600"/>
            <w:vAlign w:val="center"/>
            <w:tcBorders>
              <w:top w:val="single" w:sz="6" w:color="000000"/>
              <w:left w:val="single" w:sz="6" w:color="000000"/>
              <w:bottom w:val="single" w:sz="6" w:color="000000"/>
              <w:right w:val="single" w:sz="6" w:color="000000"/>
            </w:tcBorders>
          </w:tcPr>
          <w:p>
            <w:pPr>
              <w:keepNext/>
            </w:pPr>
            <w:r/>
            <w:r>
              <w:rPr>
                <w:rFonts w:ascii="Arial" w:hAnsi="Arial"/>
                <w:b/>
                <w:sz w:val="22"/>
              </w:rPr>
              <w:t>Value</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Paired pre/post-bronchodilator measurements (N)</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10,160</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Mean ΔESI (post − pre)</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-0.09</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Standard deviation of ΔESI</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0.86</w:t>
            </w:r>
          </w:p>
        </w:tc>
      </w:tr>
    </w:tbl>
    <w:p>
      <w:pPr>
        <w:keepNext/>
      </w:pPr>
    </w:p>
    <w:p>
      <w:pPr>
        <w:keepLines/>
      </w:pPr>
      <w:bookmarkStart w:id="17" w:name="tbl_S17"/>
      <w:bookmarkEnd w:id="17"/>
      <w:r>
        <w:rPr>
          <w:rFonts w:ascii="Arial" w:hAnsi="Arial"/>
          <w:b/>
          <w:sz w:val="20"/>
        </w:rPr>
        <w:t xml:space="preserve">ST17. ESI stability across paired pre- and post-bronchodilator spirometry. </w:t>
      </w:r>
      <w:r>
        <w:rPr>
          <w:rFonts w:ascii="Arial" w:hAnsi="Arial"/>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rFonts w:ascii="Arial" w:hAnsi="Arial"/>
          <w:i/>
          <w:sz w:val="20"/>
        </w:rPr>
        <w:t xml:space="preserve"> Abbreviations: </w:t>
      </w:r>
      <w:r>
        <w:rPr>
          <w:rFonts w:ascii="Arial" w:hAnsi="Arial"/>
          <w:sz w:val="20"/>
        </w:rPr>
        <w:t>ESI, Emphysema Severity Index; ΔESI, post-bronchodilator minus pre-bronchodilator ESI.</w:t>
      </w:r>
    </w:p>
    <w:sectPr w:rsidR="00FC693F" w:rsidRPr="0006063C"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