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A4E49" w14:textId="11D26233" w:rsidR="00E757CA" w:rsidRPr="002C4E69" w:rsidRDefault="002C4E69">
      <w:pP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77777777"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Matteo Paoletti³; Mariaelena Occhipinti⁴; Alessandra Sorano³; Federico Lavorini³; Enrico Maiorino¹; Craig P. Hersh</w:t>
      </w:r>
      <w:proofErr w:type="gramStart"/>
      <w:r w:rsidRPr="00960EEA">
        <w:rPr>
          <w:lang w:val="it-IT"/>
        </w:rPr>
        <w:t>¹,⁵</w:t>
      </w:r>
      <w:proofErr w:type="gramEnd"/>
      <w:r w:rsidRPr="00960EEA">
        <w:rPr>
          <w:lang w:val="it-IT"/>
        </w:rPr>
        <w:t>; Edwin K. Silverman</w:t>
      </w:r>
      <w:proofErr w:type="gramStart"/>
      <w:r w:rsidRPr="00960EEA">
        <w:rPr>
          <w:lang w:val="it-IT"/>
        </w:rPr>
        <w:t>¹,⁵</w:t>
      </w:r>
      <w:proofErr w:type="gramEnd"/>
      <w:r w:rsidRPr="00960EEA">
        <w:rPr>
          <w:lang w:val="it-IT"/>
        </w:rPr>
        <w:t>; 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375E46FE" w14:textId="77777777" w:rsidR="00E757CA" w:rsidRDefault="00960EEA">
      <w:r>
        <w:t>⁵ Division of Pulmonary and Critical Care Medicine, Brigham and Women's Hospital, Boston, MA, USA</w:t>
      </w:r>
    </w:p>
    <w:p w14:paraId="36D6618E" w14:textId="77777777" w:rsidR="00E757CA" w:rsidRDefault="00E757CA"/>
    <w:p w14:paraId="596951E9" w14:textId="77777777" w:rsidR="00E757CA" w:rsidRDefault="00960EEA">
      <w:r w:rsidRPr="00C04622">
        <w:rPr>
          <w:b/>
        </w:rPr>
        <w:t>Key words:</w:t>
      </w:r>
      <w:r>
        <w:t xml:space="preserve"> Chronic Obstructive Pulmonary Disease; Spirometry; Pulmonary Emphysema; Computed Tomography; Respiratory Function Tests</w:t>
      </w:r>
    </w:p>
    <w:p w14:paraId="387842DE" w14:textId="77777777" w:rsidR="00842167" w:rsidRDefault="00842167">
      <w:pPr>
        <w:pStyle w:val="Heading1"/>
        <w:rPr>
          <w:rFonts w:ascii="Arial" w:hAnsi="Arial"/>
          <w:b w:val="0"/>
          <w:sz w:val="22"/>
        </w:rPr>
      </w:pPr>
    </w:p>
    <w:p w14:paraId="78AA15B6" w14:textId="77777777" w:rsidR="00842167" w:rsidRDefault="00842167">
      <w:pPr>
        <w:pStyle w:val="Heading1"/>
        <w:rPr>
          <w:rFonts w:ascii="Arial" w:hAnsi="Arial"/>
          <w:b w:val="0"/>
          <w:sz w:val="22"/>
        </w:rPr>
      </w:pPr>
    </w:p>
    <w:p w14:paraId="300FE9DE" w14:textId="77777777" w:rsidR="00842167" w:rsidRDefault="00842167">
      <w:pPr>
        <w:pStyle w:val="Heading1"/>
        <w:rPr>
          <w:rFonts w:ascii="Arial" w:hAnsi="Arial"/>
          <w:b w:val="0"/>
          <w:sz w:val="22"/>
        </w:rPr>
      </w:pPr>
    </w:p>
    <w:p w14:paraId="6D8BC223" w14:textId="77777777" w:rsidR="00842167" w:rsidRDefault="00842167">
      <w:pPr>
        <w:pStyle w:val="Heading1"/>
        <w:rPr>
          <w:rFonts w:ascii="Arial" w:hAnsi="Arial"/>
          <w:b w:val="0"/>
          <w:sz w:val="22"/>
        </w:rPr>
      </w:pPr>
    </w:p>
    <w:p w14:paraId="25A3A669" w14:textId="77777777" w:rsidR="00842167" w:rsidRDefault="00842167">
      <w:pPr>
        <w:pStyle w:val="Heading1"/>
        <w:rPr>
          <w:rFonts w:ascii="Arial" w:hAnsi="Arial"/>
          <w:b w:val="0"/>
          <w:sz w:val="22"/>
        </w:rPr>
      </w:pPr>
    </w:p>
    <w:p w14:paraId="1233E0FD" w14:textId="77777777" w:rsidR="00842167" w:rsidRDefault="00842167">
      <w:pPr>
        <w:pStyle w:val="Heading1"/>
        <w:rPr>
          <w:rFonts w:ascii="Arial" w:hAnsi="Arial"/>
          <w:b w:val="0"/>
          <w:sz w:val="22"/>
        </w:rPr>
      </w:pPr>
    </w:p>
    <w:p w14:paraId="6B4B1164" w14:textId="77777777" w:rsidR="00842167" w:rsidRDefault="00842167">
      <w:pPr>
        <w:pStyle w:val="Heading1"/>
        <w:rPr>
          <w:rFonts w:ascii="Arial" w:hAnsi="Arial"/>
          <w:b w:val="0"/>
          <w:sz w:val="22"/>
        </w:rPr>
      </w:pPr>
    </w:p>
    <w:p w14:paraId="39E70E1B" w14:textId="77777777" w:rsidR="00842167" w:rsidRDefault="00842167">
      <w:pPr>
        <w:pStyle w:val="Heading1"/>
        <w:rPr>
          <w:rFonts w:ascii="Arial" w:hAnsi="Arial"/>
          <w:b w:val="0"/>
          <w:sz w:val="22"/>
        </w:rPr>
      </w:pPr>
    </w:p>
    <w:p w14:paraId="7015077C" w14:textId="77777777" w:rsidR="00842167" w:rsidRDefault="00842167">
      <w:pPr>
        <w:pStyle w:val="Heading1"/>
        <w:rPr>
          <w:rFonts w:ascii="Arial" w:hAnsi="Arial"/>
          <w:b w:val="0"/>
          <w:sz w:val="22"/>
        </w:rPr>
      </w:pPr>
    </w:p>
    <w:p w14:paraId="2987927C" w14:textId="77777777" w:rsidR="00C04622" w:rsidRDefault="00C04622" w:rsidP="00C04622">
      <w:pPr>
        <w:pStyle w:val="Heading1"/>
        <w:rPr>
          <w:rFonts w:ascii="Arial" w:hAnsi="Arial"/>
          <w:bCs w:val="0"/>
          <w:sz w:val="22"/>
        </w:rPr>
      </w:pPr>
    </w:p>
    <w:p w14:paraId="510B6D6C" w14:textId="77777777" w:rsidR="00C04622" w:rsidRDefault="00C04622" w:rsidP="00C04622">
      <w:pPr>
        <w:pStyle w:val="Heading1"/>
        <w:rPr>
          <w:rFonts w:ascii="Arial" w:hAnsi="Arial"/>
          <w:bCs w:val="0"/>
          <w:sz w:val="22"/>
        </w:rPr>
      </w:pPr>
    </w:p>
    <w:p w14:paraId="48149D91" w14:textId="77777777" w:rsidR="00C04622" w:rsidRDefault="00C04622" w:rsidP="00C04622">
      <w:pPr>
        <w:pStyle w:val="Heading1"/>
        <w:rPr>
          <w:rFonts w:ascii="Arial" w:hAnsi="Arial"/>
          <w:bCs w:val="0"/>
          <w:sz w:val="22"/>
        </w:rPr>
      </w:pPr>
    </w:p>
    <w:p w14:paraId="7A50CBCA" w14:textId="77777777" w:rsidR="00C04622" w:rsidRDefault="00C04622" w:rsidP="00C04622">
      <w:pPr>
        <w:spacing w:before="100" w:beforeAutospacing="1" w:after="100" w:afterAutospacing="1"/>
        <w:rPr>
          <w:rFonts w:eastAsia="Times New Roman"/>
          <w:b/>
          <w:bCs/>
          <w:lang w:eastAsia="it-IT"/>
        </w:rPr>
      </w:pPr>
    </w:p>
    <w:p w14:paraId="08A6FC1F" w14:textId="77777777" w:rsidR="00C04622" w:rsidRDefault="00C04622" w:rsidP="00C04622">
      <w:pPr>
        <w:spacing w:before="100" w:beforeAutospacing="1" w:after="100" w:afterAutospacing="1"/>
        <w:rPr>
          <w:rFonts w:eastAsia="Times New Roman"/>
          <w:b/>
          <w:bCs/>
          <w:lang w:eastAsia="it-IT"/>
        </w:rPr>
      </w:pPr>
    </w:p>
    <w:p w14:paraId="4D595893" w14:textId="77777777" w:rsidR="001E0D9C" w:rsidRDefault="001E0D9C" w:rsidP="00C04622">
      <w:pPr>
        <w:spacing w:before="100" w:beforeAutospacing="1" w:after="100" w:afterAutospacing="1"/>
        <w:rPr>
          <w:rFonts w:eastAsia="Times New Roman"/>
          <w:b/>
          <w:bCs/>
          <w:lang w:eastAsia="it-IT"/>
        </w:rPr>
      </w:pPr>
    </w:p>
    <w:p w14:paraId="3484EF66" w14:textId="41F80F2C"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Heading1"/>
        <w:rPr>
          <w:rFonts w:ascii="Arial" w:hAnsi="Arial"/>
          <w:b w:val="0"/>
          <w:sz w:val="22"/>
        </w:rPr>
      </w:pPr>
    </w:p>
    <w:p w14:paraId="5ADE745F" w14:textId="77777777" w:rsidR="00681980" w:rsidRDefault="00681980">
      <w:pPr>
        <w:pStyle w:val="Heading1"/>
        <w:rPr>
          <w:rFonts w:ascii="Arial" w:hAnsi="Arial"/>
          <w:b w:val="0"/>
          <w:sz w:val="22"/>
        </w:rPr>
      </w:pPr>
    </w:p>
    <w:p w14:paraId="23234F69" w14:textId="77777777" w:rsidR="00681980" w:rsidRDefault="00681980">
      <w:pPr>
        <w:pStyle w:val="Heading1"/>
        <w:rPr>
          <w:rFonts w:ascii="Arial" w:hAnsi="Arial"/>
          <w:b w:val="0"/>
          <w:sz w:val="22"/>
        </w:rPr>
      </w:pPr>
    </w:p>
    <w:p w14:paraId="1CAA277E" w14:textId="77777777" w:rsidR="00681980" w:rsidRDefault="00681980">
      <w:pPr>
        <w:pStyle w:val="Heading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1FA3B0B6" w14:textId="77777777" w:rsidR="006741AD" w:rsidRDefault="006741AD">
      <w:pPr>
        <w:pStyle w:val="Heading1"/>
        <w:rPr>
          <w:rFonts w:ascii="Arial" w:hAnsi="Arial"/>
          <w:b w:val="0"/>
          <w:sz w:val="22"/>
        </w:rPr>
      </w:pPr>
    </w:p>
    <w:p w14:paraId="414ADBD5" w14:textId="77777777" w:rsidR="00FB4280" w:rsidRDefault="00FB4280" w:rsidP="00FB4280"/>
    <w:p w14:paraId="730F2FEE" w14:textId="77777777" w:rsidR="00442CB5" w:rsidRPr="00FB4280" w:rsidRDefault="00442CB5" w:rsidP="00FB4280"/>
    <w:p w14:paraId="62FF8C85"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biological heterogeneity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9E0CD95"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w:t>
      </w:r>
      <w:r w:rsidRPr="00442CB5">
        <w:rPr>
          <w:rFonts w:eastAsia="Times New Roman"/>
          <w:lang w:eastAsia="it-IT"/>
        </w:rPr>
        <w:t xml:space="preserve"> across mortality,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24A2DF4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was performed using data from the </w:t>
      </w:r>
      <w:proofErr w:type="spellStart"/>
      <w:r w:rsidRPr="004F0EB4">
        <w:rPr>
          <w:rFonts w:eastAsia="Times New Roman"/>
          <w:lang w:eastAsia="it-IT"/>
        </w:rPr>
        <w:t>COPDGene</w:t>
      </w:r>
      <w:proofErr w:type="spellEnd"/>
      <w:r w:rsidRPr="004F0EB4">
        <w:rPr>
          <w:rFonts w:eastAsia="Times New Roman"/>
          <w:lang w:eastAsia="it-IT"/>
        </w:rPr>
        <w:t xml:space="preserve"> study (NCT00608764), a multicenter observational cohort of current and former smokers aged 45–80 years with a smoking history of at least 10 pack-years. Baseline evaluation included standardized pre- and post-bronchodilator spirometry, chest CT imaging, symptom assessment, and longitudinal clinical follow-up. Participants with complete data required to construct both CT-based and ESI-based classifications were included. </w:t>
      </w:r>
      <w:r w:rsidR="00322E46">
        <w:rPr>
          <w:rFonts w:eastAsia="Times New Roman"/>
          <w:lang w:eastAsia="it-IT"/>
        </w:rPr>
        <w:t xml:space="preserve">Individuals with pre-existing diagnosed interstitial lung disease or bronchiectasis were not analyzed. </w:t>
      </w:r>
      <w:r w:rsidRPr="004F0EB4">
        <w:rPr>
          <w:rFonts w:eastAsia="Times New Roman"/>
          <w:lang w:eastAsia="it-IT"/>
        </w:rPr>
        <w:t xml:space="preserve">Details of </w:t>
      </w:r>
      <w:proofErr w:type="spellStart"/>
      <w:r w:rsidRPr="004F0EB4">
        <w:rPr>
          <w:rFonts w:eastAsia="Times New Roman"/>
          <w:lang w:eastAsia="it-IT"/>
        </w:rPr>
        <w:t>COPDGene</w:t>
      </w:r>
      <w:proofErr w:type="spellEnd"/>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w:t>
      </w:r>
      <w:r w:rsidR="000D4E6C">
        <w:rPr>
          <w:rFonts w:eastAsia="Times New Roman"/>
          <w:lang w:eastAsia="it-IT"/>
        </w:rPr>
        <w:t xml:space="preserve"> 1 </w:t>
      </w:r>
      <w:proofErr w:type="gramStart"/>
      <w:r w:rsidR="000D4E6C">
        <w:rPr>
          <w:rFonts w:eastAsia="Times New Roman"/>
          <w:lang w:eastAsia="it-IT"/>
        </w:rPr>
        <w:t xml:space="preserve">= </w:t>
      </w:r>
      <w:r w:rsidRPr="004F0EB4">
        <w:rPr>
          <w:rFonts w:eastAsia="Times New Roman"/>
          <w:lang w:eastAsia="it-IT"/>
        </w:rPr>
        <w:t xml:space="preserve"> Mild</w:t>
      </w:r>
      <w:proofErr w:type="gramEnd"/>
      <w:r w:rsidRPr="004F0EB4">
        <w:rPr>
          <w:rFonts w:eastAsia="Times New Roman"/>
          <w:lang w:eastAsia="it-IT"/>
        </w:rPr>
        <w:t xml:space="preserve"> emphysema). Visually assessed airway wall thickening was deemed to be present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(Fleischner assessment definite)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COPD-major; participants meeting at least three of five minor criteria without the major criterion are classified as COPD-minor;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population. To preserve the original diagnostic architecture, in which the structural domain </w:t>
      </w:r>
      <w:r w:rsidRPr="004F0EB4">
        <w:rPr>
          <w:rFonts w:eastAsia="Times New Roman"/>
          <w:lang w:eastAsia="it-IT"/>
        </w:rPr>
        <w:lastRenderedPageBreak/>
        <w:t xml:space="preserve">contributes up to two of five minor criteria, the ESI-based representation was implemented as a two-threshold scoring rule: ESI values below the lower threshold (ESI &lt; 1) contribute zero minor criteria; values from the lower threshold up to but not including the upper threshold (1 ≤ ESI &lt; 2.5) contribute one; values at or above the upper threshold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(FEV1 % predicted &gt;80% and FEV1/FVC&gt;0.7) were referred to as GOLD 0 subjects</w:t>
      </w:r>
      <w:r w:rsidRPr="004F0EB4">
        <w:rPr>
          <w:rFonts w:eastAsia="Times New Roman"/>
          <w:lang w:eastAsia="it-IT"/>
        </w:rPr>
        <w:t>.</w:t>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OPDGene_VitalStatus_SM_NS_Sep23.csv)</w:t>
      </w:r>
      <w:r w:rsidRPr="004F0EB4">
        <w:rPr>
          <w:rFonts w:eastAsia="Times New Roman"/>
          <w:lang w:eastAsia="it-IT"/>
        </w:rPr>
        <w:t>.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OPDGene_Mort_COD_Adj.csv)</w:t>
      </w:r>
      <w:r w:rsidRPr="004F0EB4">
        <w:rPr>
          <w:rFonts w:eastAsia="Times New Roman"/>
          <w:lang w:eastAsia="it-IT"/>
        </w:rPr>
        <w:t>.</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w:t>
      </w:r>
      <w:proofErr w:type="spellStart"/>
      <w:r w:rsidR="00F754D5">
        <w:rPr>
          <w:rFonts w:eastAsia="Times New Roman"/>
          <w:lang w:eastAsia="it-IT"/>
        </w:rPr>
        <w:t>COPDGene</w:t>
      </w:r>
      <w:proofErr w:type="spellEnd"/>
      <w:r w:rsidR="00F754D5">
        <w:rPr>
          <w:rFonts w:eastAsia="Times New Roman"/>
          <w:lang w:eastAsia="it-IT"/>
        </w:rPr>
        <w:t xml:space="preserve"> dataset: </w:t>
      </w:r>
      <w:r w:rsidR="00F754D5" w:rsidRPr="00F754D5">
        <w:rPr>
          <w:rFonts w:eastAsia="Times New Roman"/>
          <w:lang w:eastAsia="it-IT"/>
        </w:rPr>
        <w:t>LFU_SidLevel_Comorbid_SM_30SEP21</w:t>
      </w:r>
      <w:r w:rsidR="00F754D5">
        <w:rPr>
          <w:rFonts w:eastAsia="Times New Roman"/>
          <w:lang w:eastAsia="it-IT"/>
        </w:rPr>
        <w:t xml:space="preserve">.txt). Longitudinal FEV1 decline was </w:t>
      </w:r>
      <w:r w:rsidR="00011522">
        <w:rPr>
          <w:rFonts w:eastAsia="Times New Roman"/>
          <w:lang w:eastAsia="it-IT"/>
        </w:rPr>
        <w:t>obtained from the main COPD phenotype file containing data from the first three study visits spanning a ~15-year follow-up period</w:t>
      </w:r>
      <w:r w:rsidR="00B94C1C">
        <w:rPr>
          <w:rFonts w:eastAsia="Times New Roman"/>
          <w:lang w:eastAsia="it-IT"/>
        </w:rPr>
        <w:t xml:space="preserve"> </w:t>
      </w:r>
      <w:r w:rsidR="00011522">
        <w:rPr>
          <w:rFonts w:eastAsia="Times New Roman"/>
          <w:lang w:eastAsia="it-IT"/>
        </w:rPr>
        <w:t>(</w:t>
      </w:r>
      <w:r w:rsidR="00011522">
        <w:t>COPDGene_P1P2P3_SM_NS_Long_Sep24.csv)</w:t>
      </w:r>
      <w:r w:rsidR="00011522">
        <w:rPr>
          <w:rFonts w:eastAsia="Times New Roman"/>
          <w:lang w:eastAsia="it-IT"/>
        </w:rPr>
        <w:t xml:space="preserve">. </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Classification agreement between CT-based and ESI-based frameworks was assessed using sensitivity, specificity, overall agreement, and Cohen’s </w:t>
      </w:r>
      <w:r w:rsidRPr="004F0EB4">
        <w:rPr>
          <w:rFonts w:eastAsia="Times New Roman"/>
          <w:lang w:val="it-IT" w:eastAsia="it-IT"/>
        </w:rPr>
        <w:t>κ</w:t>
      </w:r>
      <w:r w:rsidRPr="004F0EB4">
        <w:rPr>
          <w:rFonts w:eastAsia="Times New Roman"/>
          <w:lang w:eastAsia="it-IT"/>
        </w:rPr>
        <w:t xml:space="preserve"> coefficient.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4F0EB4" w:rsidRDefault="004F0EB4" w:rsidP="004F0EB4">
      <w:pPr>
        <w:spacing w:before="100" w:beforeAutospacing="1" w:after="100" w:afterAutospacing="1"/>
        <w:rPr>
          <w:rFonts w:eastAsia="Times New Roman"/>
          <w:lang w:val="it-IT"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exclusion of participants with ESI = 10, (ii) an alternative four-criterion framework replacing only the emphysema criterion, and (iii) restriction to severe exacerbations.</w:t>
      </w:r>
      <w:r w:rsidRPr="004F0EB4">
        <w:rPr>
          <w:rFonts w:eastAsia="Times New Roman"/>
          <w:lang w:eastAsia="it-IT"/>
        </w:rPr>
        <w:t xml:space="preserve"> </w:t>
      </w:r>
      <w:r w:rsidRPr="004F0EB4">
        <w:rPr>
          <w:rFonts w:eastAsia="Times New Roman"/>
          <w:lang w:val="it-IT" w:eastAsia="it-IT"/>
        </w:rPr>
        <w:t xml:space="preserve">All </w:t>
      </w:r>
      <w:proofErr w:type="spellStart"/>
      <w:r w:rsidRPr="004F0EB4">
        <w:rPr>
          <w:rFonts w:eastAsia="Times New Roman"/>
          <w:lang w:val="it-IT" w:eastAsia="it-IT"/>
        </w:rPr>
        <w:t>analyses</w:t>
      </w:r>
      <w:proofErr w:type="spellEnd"/>
      <w:r w:rsidRPr="004F0EB4">
        <w:rPr>
          <w:rFonts w:eastAsia="Times New Roman"/>
          <w:lang w:val="it-IT" w:eastAsia="it-IT"/>
        </w:rPr>
        <w:t xml:space="preserve"> </w:t>
      </w:r>
      <w:proofErr w:type="spellStart"/>
      <w:r w:rsidRPr="004F0EB4">
        <w:rPr>
          <w:rFonts w:eastAsia="Times New Roman"/>
          <w:lang w:val="it-IT" w:eastAsia="it-IT"/>
        </w:rPr>
        <w:t>were</w:t>
      </w:r>
      <w:proofErr w:type="spellEnd"/>
      <w:r w:rsidRPr="004F0EB4">
        <w:rPr>
          <w:rFonts w:eastAsia="Times New Roman"/>
          <w:lang w:val="it-IT" w:eastAsia="it-IT"/>
        </w:rPr>
        <w:t xml:space="preserve"> </w:t>
      </w:r>
      <w:proofErr w:type="spellStart"/>
      <w:r w:rsidRPr="004F0EB4">
        <w:rPr>
          <w:rFonts w:eastAsia="Times New Roman"/>
          <w:lang w:val="it-IT" w:eastAsia="it-IT"/>
        </w:rPr>
        <w:t>performed</w:t>
      </w:r>
      <w:proofErr w:type="spellEnd"/>
      <w:r w:rsidRPr="004F0EB4">
        <w:rPr>
          <w:rFonts w:eastAsia="Times New Roman"/>
          <w:lang w:val="it-IT" w:eastAsia="it-IT"/>
        </w:rPr>
        <w:t xml:space="preserve"> in R (</w:t>
      </w:r>
      <w:proofErr w:type="spellStart"/>
      <w:r w:rsidRPr="004F0EB4">
        <w:rPr>
          <w:rFonts w:eastAsia="Times New Roman"/>
          <w:lang w:val="it-IT" w:eastAsia="it-IT"/>
        </w:rPr>
        <w:t>version</w:t>
      </w:r>
      <w:proofErr w:type="spellEnd"/>
      <w:r w:rsidRPr="004F0EB4">
        <w:rPr>
          <w:rFonts w:eastAsia="Times New Roman"/>
          <w:lang w:val="it-IT" w:eastAsia="it-IT"/>
        </w:rPr>
        <w:t xml:space="preserve"> 4.5.2).</w:t>
      </w:r>
    </w:p>
    <w:p w14:paraId="4D58684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 offset for exacerbations) under both frameworks.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442CB5" w:rsidRDefault="004F0EB4" w:rsidP="00442CB5">
      <w:pPr>
        <w:spacing w:before="100" w:beforeAutospacing="1" w:after="100" w:afterAutospacing="1"/>
        <w:rPr>
          <w:rFonts w:eastAsia="Times New Roman"/>
          <w:lang w:val="it-IT"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4F0EB4">
        <w:rPr>
          <w:rFonts w:eastAsia="Times New Roman"/>
          <w:lang w:val="it-IT" w:eastAsia="it-IT"/>
        </w:rPr>
        <w:t xml:space="preserve">Full </w:t>
      </w:r>
      <w:proofErr w:type="spellStart"/>
      <w:r w:rsidRPr="004F0EB4">
        <w:rPr>
          <w:rFonts w:eastAsia="Times New Roman"/>
          <w:lang w:val="it-IT" w:eastAsia="it-IT"/>
        </w:rPr>
        <w:t>contrast</w:t>
      </w:r>
      <w:proofErr w:type="spellEnd"/>
      <w:r w:rsidRPr="004F0EB4">
        <w:rPr>
          <w:rFonts w:eastAsia="Times New Roman"/>
          <w:lang w:val="it-IT" w:eastAsia="it-IT"/>
        </w:rPr>
        <w:t xml:space="preserve"> </w:t>
      </w:r>
      <w:proofErr w:type="spellStart"/>
      <w:r w:rsidRPr="004F0EB4">
        <w:rPr>
          <w:rFonts w:eastAsia="Times New Roman"/>
          <w:lang w:val="it-IT" w:eastAsia="it-IT"/>
        </w:rPr>
        <w:t>estimates</w:t>
      </w:r>
      <w:proofErr w:type="spellEnd"/>
      <w:r w:rsidRPr="004F0EB4">
        <w:rPr>
          <w:rFonts w:eastAsia="Times New Roman"/>
          <w:lang w:val="it-IT" w:eastAsia="it-IT"/>
        </w:rPr>
        <w:t xml:space="preserve"> are </w:t>
      </w:r>
      <w:proofErr w:type="spellStart"/>
      <w:r w:rsidRPr="004F0EB4">
        <w:rPr>
          <w:rFonts w:eastAsia="Times New Roman"/>
          <w:lang w:val="it-IT" w:eastAsia="it-IT"/>
        </w:rPr>
        <w:t>reported</w:t>
      </w:r>
      <w:proofErr w:type="spellEnd"/>
      <w:r w:rsidRPr="004F0EB4">
        <w:rPr>
          <w:rFonts w:eastAsia="Times New Roman"/>
          <w:lang w:val="it-IT" w:eastAsia="it-IT"/>
        </w:rPr>
        <w:t xml:space="preserve"> in </w:t>
      </w:r>
      <w:proofErr w:type="spellStart"/>
      <w:r w:rsidRPr="004F0EB4">
        <w:rPr>
          <w:rFonts w:eastAsia="Times New Roman"/>
          <w:lang w:val="it-IT" w:eastAsia="it-IT"/>
        </w:rPr>
        <w:t>Supplemental</w:t>
      </w:r>
      <w:proofErr w:type="spellEnd"/>
      <w:r w:rsidRPr="004F0EB4">
        <w:rPr>
          <w:rFonts w:eastAsia="Times New Roman"/>
          <w:lang w:val="it-IT" w:eastAsia="it-IT"/>
        </w:rPr>
        <w:t xml:space="preserve">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(COPD-minor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w:t>
      </w:r>
      <w:r w:rsidRPr="00442CB5">
        <w:rPr>
          <w:rFonts w:eastAsia="Times New Roman"/>
          <w:lang w:eastAsia="it-IT"/>
        </w:rPr>
        <w:lastRenderedPageBreak/>
        <w:t>participants showed higher ESI values. Interestingly, while the ESI-only group had no visual emphysema,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COPD-minor and COPD-major categories were similar between the two frameworks, although for the COPD-major group the CT-based classification did have a significantly higher HR for all-cause mortality and higher IRR for exacerbations. There was no significant difference between the two classifications for the COPD-minor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10F68F3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COPD-minor and COPD-major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w:t>
      </w:r>
      <w:r w:rsidRPr="00442CB5">
        <w:rPr>
          <w:rFonts w:eastAsia="Times New Roman"/>
          <w:lang w:eastAsia="it-IT"/>
        </w:rPr>
        <w:lastRenderedPageBreak/>
        <w:t>increases in ESI over follow-up (Supplemental Table 16). ESI was essentially unaffected by acute bronchodilator response,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w:t>
      </w:r>
      <w:r w:rsidRPr="00442CB5">
        <w:rPr>
          <w:rFonts w:eastAsia="Times New Roman"/>
          <w:lang w:eastAsia="it-IT"/>
        </w:rPr>
        <w:lastRenderedPageBreak/>
        <w:t xml:space="preserve">the ability of visual CT assessment to identify </w:t>
      </w:r>
      <w:proofErr w:type="gramStart"/>
      <w:r w:rsidRPr="00442CB5">
        <w:rPr>
          <w:rFonts w:eastAsia="Times New Roman"/>
          <w:lang w:eastAsia="it-IT"/>
        </w:rPr>
        <w:t>early</w:t>
      </w:r>
      <w:proofErr w:type="gramEnd"/>
      <w:r w:rsidRPr="00442CB5">
        <w:rPr>
          <w:rFonts w:eastAsia="Times New Roman"/>
          <w:lang w:eastAsia="it-IT"/>
        </w:rPr>
        <w:t xml:space="preserve"> or mild morphological abnormalities not captured by quantitative emphysema burden. Because the original framework assigns a structural criterion for even mild visually identified emphysema (11), quantitatively normal 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Beyond preserving the diagnostic and prognostic performance of the CT-based framework, the present findings have important practical implications. Because spirometry is inexpensive and more widely available than chest CT, ESI-based multidimensional COPD assessment can be more readily applied in routine clinical practice, primary care, epidemiological studies, and clinical trials. 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 xml:space="preserve">descriptor can be expected to capture every aspect of CT-defined structural abnormalities.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Heading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w:t>
      </w:r>
      <w:proofErr w:type="gramStart"/>
      <w:r>
        <w:t>1966;1:830</w:t>
      </w:r>
      <w:proofErr w:type="gramEnd"/>
      <w:r>
        <w:t>–835.</w:t>
      </w:r>
    </w:p>
    <w:p w14:paraId="0CB3F4D8" w14:textId="77777777" w:rsidR="001E3D95" w:rsidRDefault="001E3D95" w:rsidP="001E3D95">
      <w:pPr>
        <w:ind w:left="576" w:hanging="576"/>
      </w:pPr>
      <w:r>
        <w:t xml:space="preserve">2. Snider GL. Chronic obstructive pulmonary disease: a definition and implications of structural determinants of airflow obstruction for epidemiology. </w:t>
      </w:r>
      <w:proofErr w:type="gramStart"/>
      <w:r>
        <w:t>Am</w:t>
      </w:r>
      <w:proofErr w:type="gramEnd"/>
      <w:r>
        <w:t xml:space="preserve"> Rev Respir Dis 1989;</w:t>
      </w:r>
      <w:proofErr w:type="gramStart"/>
      <w:r>
        <w:t>140:S</w:t>
      </w:r>
      <w:proofErr w:type="gramEnd"/>
      <w:r>
        <w:t>3–S8.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77777777" w:rsidR="001E3D95" w:rsidRDefault="001E3D95" w:rsidP="001E3D95">
      <w:pPr>
        <w:ind w:left="576" w:hanging="576"/>
      </w:pPr>
      <w:r w:rsidRPr="00960EEA">
        <w:rPr>
          <w:lang w:val="it-IT"/>
        </w:rPr>
        <w:t xml:space="preserve">4. Camiciottoli G, Bigazzi F, Paoletti P, et al. </w:t>
      </w:r>
      <w:r>
        <w:t xml:space="preserve">Pulmonary function and sputum characteristics predict computed tomography phenotype and severity of COPD. </w:t>
      </w:r>
      <w:proofErr w:type="spellStart"/>
      <w:r>
        <w:t>Eur</w:t>
      </w:r>
      <w:proofErr w:type="spellEnd"/>
      <w:r>
        <w:t xml:space="preserve"> Respir J </w:t>
      </w:r>
      <w:proofErr w:type="gramStart"/>
      <w:r>
        <w:t>2013;42:626</w:t>
      </w:r>
      <w:proofErr w:type="gramEnd"/>
      <w:r>
        <w:t>–635.</w:t>
      </w:r>
    </w:p>
    <w:p w14:paraId="3774F178" w14:textId="77777777" w:rsidR="001E3D95" w:rsidRDefault="001E3D95" w:rsidP="001E3D95">
      <w:pPr>
        <w:ind w:left="576" w:hanging="576"/>
      </w:pPr>
      <w:r>
        <w:t xml:space="preserve">5. Castaldi PJ, Xu Z, Young K, et al. Heterogeneity and progression of chronic obstructive pulmonary disease: emphysema-predominant and non-emphysema-predominant disease. Am J Epidemiol </w:t>
      </w:r>
      <w:proofErr w:type="gramStart"/>
      <w:r>
        <w:t>2023;192:1647</w:t>
      </w:r>
      <w:proofErr w:type="gramEnd"/>
      <w:r>
        <w:t>–1658.</w:t>
      </w:r>
    </w:p>
    <w:p w14:paraId="1C604B48" w14:textId="77777777" w:rsidR="001E3D95" w:rsidRDefault="001E3D95" w:rsidP="001E3D95">
      <w:pPr>
        <w:ind w:left="576" w:hanging="576"/>
      </w:pPr>
      <w:r>
        <w:t xml:space="preserve">6. Bhatt SP, Silverman EK, Crapo JD. Beyond spirometry in COPD: expanding the diagnostic paradigm. ERJ Open Res </w:t>
      </w:r>
      <w:proofErr w:type="gramStart"/>
      <w:r>
        <w:t>2026;12:00045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 xml:space="preserve">7. Celli BR, Cote CG, Marin JM, et al. The body-mass index, airflow obstruction, dyspnea, and exercise capacity index in chronic obstructive pulmonary disease. N Engl J Med </w:t>
      </w:r>
      <w:proofErr w:type="gramStart"/>
      <w:r>
        <w:t>2004;350:1005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r w:rsidRPr="00960EEA">
        <w:rPr>
          <w:lang w:val="de-DE"/>
        </w:rPr>
        <w:t xml:space="preserve">Chronic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w:t>
      </w:r>
      <w:proofErr w:type="gramStart"/>
      <w:r w:rsidRPr="00960EEA">
        <w:rPr>
          <w:lang w:val="de-DE"/>
        </w:rPr>
        <w:t>2019;6:384</w:t>
      </w:r>
      <w:proofErr w:type="gramEnd"/>
      <w:r w:rsidRPr="00960EEA">
        <w:rPr>
          <w:lang w:val="de-DE"/>
        </w:rPr>
        <w:t>-399.</w:t>
      </w:r>
    </w:p>
    <w:p w14:paraId="0B56111E" w14:textId="77777777" w:rsidR="001E3D95" w:rsidRDefault="001E3D95" w:rsidP="001E3D95">
      <w:pPr>
        <w:ind w:left="576" w:hanging="576"/>
      </w:pPr>
      <w:r w:rsidRPr="00960EEA">
        <w:rPr>
          <w:lang w:val="de-DE"/>
        </w:rPr>
        <w:t xml:space="preserve">9. Stolz D, </w:t>
      </w:r>
      <w:proofErr w:type="spellStart"/>
      <w:r w:rsidRPr="00960EEA">
        <w:rPr>
          <w:lang w:val="de-DE"/>
        </w:rPr>
        <w:t>Mkorombindo</w:t>
      </w:r>
      <w:proofErr w:type="spellEnd"/>
      <w:r w:rsidRPr="00960EEA">
        <w:rPr>
          <w:lang w:val="de-DE"/>
        </w:rPr>
        <w:t xml:space="preserve"> T, Schumann DM, et al. </w:t>
      </w:r>
      <w:r>
        <w:t xml:space="preserve">Towards the elimination of chronic obstructive pulmonary disease: a Lancet Commission. Lancet </w:t>
      </w:r>
      <w:proofErr w:type="gramStart"/>
      <w:r>
        <w:t>2022;400:921</w:t>
      </w:r>
      <w:proofErr w:type="gramEnd"/>
      <w:r>
        <w:t>-972.</w:t>
      </w:r>
    </w:p>
    <w:p w14:paraId="7FDB5F4C" w14:textId="77777777" w:rsidR="001E3D95" w:rsidRPr="00960EEA" w:rsidRDefault="001E3D95" w:rsidP="001E3D95">
      <w:pPr>
        <w:ind w:left="576" w:hanging="576"/>
        <w:rPr>
          <w:lang w:val="it-IT"/>
        </w:rPr>
      </w:pPr>
      <w:r>
        <w:lastRenderedPageBreak/>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 xml:space="preserve">A multidimensional diagnostic approach for chronic obstructive pulmonary disease. JAMA </w:t>
      </w:r>
      <w:proofErr w:type="gramStart"/>
      <w:r>
        <w:t>2025;333:2164</w:t>
      </w:r>
      <w:proofErr w:type="gramEnd"/>
      <w:r>
        <w:t>-2175.</w:t>
      </w:r>
    </w:p>
    <w:p w14:paraId="48D5E56F" w14:textId="77777777" w:rsidR="001E3D95" w:rsidRDefault="001E3D95" w:rsidP="001E3D95">
      <w:pPr>
        <w:ind w:left="576" w:hanging="576"/>
      </w:pPr>
      <w:r>
        <w:t xml:space="preserve">12. Wu F, Huang S, Zhou K, et al. Clinical validation of a multidimensional diagnostic approach for COPD in Chinese individuals. Chest </w:t>
      </w:r>
      <w:proofErr w:type="gramStart"/>
      <w:r>
        <w:t>2026;169:371</w:t>
      </w:r>
      <w:proofErr w:type="gramEnd"/>
      <w:r>
        <w:t>-384.</w:t>
      </w:r>
    </w:p>
    <w:p w14:paraId="50CFA824" w14:textId="77777777" w:rsidR="001E3D95" w:rsidRPr="00960EEA" w:rsidRDefault="001E3D95" w:rsidP="001E3D95">
      <w:pPr>
        <w:ind w:left="576" w:hanging="576"/>
        <w:rPr>
          <w:lang w:val="it-IT"/>
        </w:rPr>
      </w:pPr>
      <w:r>
        <w:t xml:space="preserve">13. Occhipinti M, Paoletti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Luoto J, </w:t>
      </w:r>
      <w:proofErr w:type="spellStart"/>
      <w:r w:rsidRPr="00960EEA">
        <w:rPr>
          <w:lang w:val="it-IT"/>
        </w:rPr>
        <w:t>Pihlsgård</w:t>
      </w:r>
      <w:proofErr w:type="spellEnd"/>
      <w:r w:rsidRPr="00960EEA">
        <w:rPr>
          <w:lang w:val="it-IT"/>
        </w:rPr>
        <w:t xml:space="preserve"> M, Pistolesi M, et al. </w:t>
      </w:r>
      <w:r>
        <w:t xml:space="preserve">Emphysema severity index (ESI) associated with respiratory death in a large Swedish general population. Respir Med </w:t>
      </w:r>
      <w:proofErr w:type="gramStart"/>
      <w:r>
        <w:t>2022;200:106899</w:t>
      </w:r>
      <w:proofErr w:type="gramEnd"/>
      <w:r>
        <w:t>.</w:t>
      </w:r>
    </w:p>
    <w:p w14:paraId="7E296FD5" w14:textId="77777777" w:rsidR="001E3D95" w:rsidRDefault="001E3D95" w:rsidP="001E3D95">
      <w:pPr>
        <w:ind w:left="576" w:hanging="576"/>
      </w:pPr>
      <w:r>
        <w:t xml:space="preserve">16. Maio S, </w:t>
      </w:r>
      <w:proofErr w:type="spellStart"/>
      <w:r>
        <w:t>Viegi</w:t>
      </w:r>
      <w:proofErr w:type="spellEnd"/>
      <w:r>
        <w:t xml:space="preserve"> G, Carrozzi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xml:space="preserve">) study design. COPD </w:t>
      </w:r>
      <w:proofErr w:type="gramStart"/>
      <w:r>
        <w:t>2010;7:32</w:t>
      </w:r>
      <w:proofErr w:type="gramEnd"/>
      <w:r>
        <w:t>–43.</w:t>
      </w:r>
    </w:p>
    <w:p w14:paraId="1A929A29" w14:textId="77777777" w:rsidR="001E3D95" w:rsidRDefault="001E3D95" w:rsidP="001E3D95">
      <w:pPr>
        <w:ind w:left="576" w:hanging="576"/>
      </w:pPr>
      <w:r w:rsidRPr="007B5F8B">
        <w:t xml:space="preserve">18. Lynch DA, Austin JH, Hogg JC, et al. </w:t>
      </w:r>
      <w:r>
        <w:t xml:space="preserve">CT-definable subtypes of chronic obstructive pulmonary disease: a statement of the Fleischner Society. Radiology </w:t>
      </w:r>
      <w:proofErr w:type="gramStart"/>
      <w:r>
        <w:t>2015;277:192</w:t>
      </w:r>
      <w:proofErr w:type="gramEnd"/>
      <w:r>
        <w:t>–205.</w:t>
      </w:r>
    </w:p>
    <w:p w14:paraId="0530C701" w14:textId="77777777" w:rsidR="001E3D95" w:rsidRPr="00B63197" w:rsidRDefault="001E3D95" w:rsidP="001E3D95">
      <w:pPr>
        <w:pStyle w:val="Heading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Strong"/>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Strong"/>
          <w:rFonts w:ascii="Arial" w:hAnsi="Arial" w:cs="Arial"/>
          <w:color w:val="000000" w:themeColor="text1"/>
          <w:sz w:val="22"/>
          <w:szCs w:val="22"/>
        </w:rPr>
        <w:t xml:space="preserve">Radiology </w:t>
      </w:r>
      <w:proofErr w:type="gramStart"/>
      <w:r w:rsidRPr="00B63197">
        <w:rPr>
          <w:rStyle w:val="Strong"/>
          <w:rFonts w:ascii="Arial" w:hAnsi="Arial" w:cs="Arial"/>
          <w:color w:val="000000" w:themeColor="text1"/>
          <w:sz w:val="22"/>
          <w:szCs w:val="22"/>
        </w:rPr>
        <w:t>2018;288:859</w:t>
      </w:r>
      <w:proofErr w:type="gramEnd"/>
      <w:r w:rsidRPr="00B63197">
        <w:rPr>
          <w:rStyle w:val="Strong"/>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Heading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r w:rsidRPr="007B5F8B">
        <w:rPr>
          <w:rFonts w:ascii="Arial" w:hAnsi="Arial" w:cs="Arial"/>
          <w:b w:val="0"/>
          <w:color w:val="000000" w:themeColor="text1"/>
          <w:sz w:val="22"/>
          <w:szCs w:val="22"/>
          <w:lang w:val="de-DE"/>
        </w:rPr>
        <w:t xml:space="preserve">Chronic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w:t>
      </w:r>
      <w:proofErr w:type="gramStart"/>
      <w:r w:rsidRPr="007B5F8B">
        <w:rPr>
          <w:rFonts w:ascii="Arial" w:hAnsi="Arial" w:cs="Arial"/>
          <w:b w:val="0"/>
          <w:color w:val="000000" w:themeColor="text1"/>
          <w:sz w:val="22"/>
          <w:szCs w:val="22"/>
          <w:lang w:val="de-DE"/>
        </w:rPr>
        <w:t>2019;6:400</w:t>
      </w:r>
      <w:proofErr w:type="gramEnd"/>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w:t>
      </w:r>
      <w:proofErr w:type="gramEnd"/>
      <w:r w:rsidRPr="00B63197">
        <w:rPr>
          <w:color w:val="000000" w:themeColor="text1"/>
        </w:rPr>
        <w:t>460–W470.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w:t>
      </w:r>
      <w:proofErr w:type="gramStart"/>
      <w:r w:rsidRPr="00B63197">
        <w:rPr>
          <w:color w:val="000000" w:themeColor="text1"/>
        </w:rPr>
        <w:t>2012;18:1711</w:t>
      </w:r>
      <w:proofErr w:type="gramEnd"/>
      <w:r w:rsidRPr="00B63197">
        <w:rPr>
          <w:color w:val="000000" w:themeColor="text1"/>
        </w:rPr>
        <w:t>–1715.</w:t>
      </w:r>
    </w:p>
    <w:p w14:paraId="37AFE3A7" w14:textId="77777777" w:rsidR="001E3D95" w:rsidRPr="00B63197" w:rsidRDefault="001E3D95" w:rsidP="001E3D95">
      <w:pPr>
        <w:pStyle w:val="CommentText"/>
        <w:rPr>
          <w:color w:val="000000" w:themeColor="text1"/>
          <w:sz w:val="22"/>
          <w:szCs w:val="22"/>
        </w:rPr>
      </w:pPr>
      <w:r w:rsidRPr="007B5F8B">
        <w:rPr>
          <w:color w:val="000000" w:themeColor="text1"/>
          <w:sz w:val="22"/>
          <w:szCs w:val="22"/>
        </w:rPr>
        <w:t xml:space="preserve">23. </w:t>
      </w:r>
      <w:r w:rsidRPr="007B5F8B">
        <w:rPr>
          <w:rStyle w:val="Strong"/>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mphasis"/>
          <w:i w:val="0"/>
          <w:color w:val="000000" w:themeColor="text1"/>
          <w:sz w:val="22"/>
          <w:szCs w:val="22"/>
        </w:rPr>
        <w:t xml:space="preserve">Stat </w:t>
      </w:r>
      <w:r w:rsidRPr="00B63197">
        <w:rPr>
          <w:rStyle w:val="Emphasis"/>
          <w:i w:val="0"/>
          <w:color w:val="000000" w:themeColor="text1"/>
          <w:sz w:val="22"/>
          <w:szCs w:val="22"/>
        </w:rPr>
        <w:tab/>
        <w:t>Med</w:t>
      </w:r>
      <w:r w:rsidRPr="00B63197">
        <w:rPr>
          <w:color w:val="000000" w:themeColor="text1"/>
          <w:sz w:val="22"/>
          <w:szCs w:val="22"/>
        </w:rPr>
        <w:t xml:space="preserve"> </w:t>
      </w:r>
      <w:proofErr w:type="gramStart"/>
      <w:r w:rsidRPr="00B63197">
        <w:rPr>
          <w:color w:val="000000" w:themeColor="text1"/>
          <w:sz w:val="22"/>
          <w:szCs w:val="22"/>
        </w:rPr>
        <w:t>1996;15:361</w:t>
      </w:r>
      <w:proofErr w:type="gramEnd"/>
      <w:r w:rsidRPr="00B63197">
        <w:rPr>
          <w:color w:val="000000" w:themeColor="text1"/>
          <w:sz w:val="22"/>
          <w:szCs w:val="22"/>
        </w:rPr>
        <w:t>-387.</w:t>
      </w:r>
    </w:p>
    <w:p w14:paraId="71BD5029" w14:textId="77777777" w:rsidR="001E3D95" w:rsidRPr="00B63197" w:rsidRDefault="001E3D95" w:rsidP="001E3D95">
      <w:pPr>
        <w:pStyle w:val="CommentText"/>
        <w:rPr>
          <w:color w:val="000000" w:themeColor="text1"/>
          <w:sz w:val="22"/>
          <w:szCs w:val="22"/>
        </w:rPr>
      </w:pPr>
      <w:r w:rsidRPr="00B63197">
        <w:rPr>
          <w:color w:val="000000" w:themeColor="text1"/>
          <w:sz w:val="22"/>
          <w:szCs w:val="22"/>
        </w:rPr>
        <w:t xml:space="preserve">24. </w:t>
      </w:r>
      <w:proofErr w:type="spellStart"/>
      <w:r w:rsidRPr="00B63197">
        <w:rPr>
          <w:rStyle w:val="Strong"/>
          <w:b w:val="0"/>
          <w:color w:val="000000" w:themeColor="text1"/>
          <w:sz w:val="22"/>
          <w:szCs w:val="22"/>
        </w:rPr>
        <w:t>Schuirmann</w:t>
      </w:r>
      <w:proofErr w:type="spellEnd"/>
      <w:r w:rsidRPr="00B63197">
        <w:rPr>
          <w:rStyle w:val="Strong"/>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mphasis"/>
          <w:color w:val="000000" w:themeColor="text1"/>
          <w:sz w:val="22"/>
          <w:szCs w:val="22"/>
        </w:rPr>
        <w:t xml:space="preserve">J </w:t>
      </w:r>
      <w:proofErr w:type="spellStart"/>
      <w:r w:rsidRPr="00B63197">
        <w:rPr>
          <w:rStyle w:val="Emphasis"/>
          <w:color w:val="000000" w:themeColor="text1"/>
          <w:sz w:val="22"/>
          <w:szCs w:val="22"/>
        </w:rPr>
        <w:t>Pharmacokinet</w:t>
      </w:r>
      <w:proofErr w:type="spellEnd"/>
      <w:r w:rsidRPr="00B63197">
        <w:rPr>
          <w:rStyle w:val="Emphasis"/>
          <w:color w:val="000000" w:themeColor="text1"/>
          <w:sz w:val="22"/>
          <w:szCs w:val="22"/>
        </w:rPr>
        <w:t xml:space="preserve"> </w:t>
      </w:r>
      <w:r w:rsidRPr="00B63197">
        <w:rPr>
          <w:rStyle w:val="Emphasis"/>
          <w:color w:val="000000" w:themeColor="text1"/>
          <w:sz w:val="22"/>
          <w:szCs w:val="22"/>
        </w:rPr>
        <w:tab/>
      </w:r>
      <w:proofErr w:type="spellStart"/>
      <w:r w:rsidRPr="00B63197">
        <w:rPr>
          <w:rStyle w:val="Emphasis"/>
          <w:color w:val="000000" w:themeColor="text1"/>
          <w:sz w:val="22"/>
          <w:szCs w:val="22"/>
        </w:rPr>
        <w:t>Biopharm</w:t>
      </w:r>
      <w:proofErr w:type="spellEnd"/>
      <w:r w:rsidRPr="00B63197">
        <w:rPr>
          <w:rStyle w:val="Emphasis"/>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t xml:space="preserve">25. Macklem PT, Mead J. Resistance of central and peripheral airways measured by a retrograde catheter.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1967;22:395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lastRenderedPageBreak/>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w:t>
      </w:r>
      <w:proofErr w:type="gramStart"/>
      <w:r w:rsidRPr="00B63197">
        <w:rPr>
          <w:color w:val="000000" w:themeColor="text1"/>
        </w:rPr>
        <w:t>1976;69:51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2015;118:796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Povero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Respir Med </w:t>
      </w:r>
      <w:proofErr w:type="gramStart"/>
      <w:r w:rsidRPr="00B63197">
        <w:rPr>
          <w:color w:val="000000" w:themeColor="text1"/>
        </w:rPr>
        <w:t>2024;14:01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 xml:space="preserve">29. Albert P, Agusti A, Edwards L, et al. Bronchodilator responsiveness as a phenotypic characteristic of established chronic obstructive pulmonary disease. Thorax </w:t>
      </w:r>
      <w:proofErr w:type="gramStart"/>
      <w:r w:rsidRPr="00B63197">
        <w:rPr>
          <w:color w:val="000000" w:themeColor="text1"/>
        </w:rPr>
        <w:t>2012;67:701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Soc </w:t>
      </w:r>
      <w:proofErr w:type="gramStart"/>
      <w:r w:rsidRPr="00B63197">
        <w:rPr>
          <w:color w:val="000000" w:themeColor="text1"/>
        </w:rPr>
        <w:t>2014;11:898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 xml:space="preserve">JAMA Intern Med </w:t>
      </w:r>
      <w:proofErr w:type="gramStart"/>
      <w:r w:rsidRPr="00B63197">
        <w:rPr>
          <w:color w:val="000000" w:themeColor="text1"/>
          <w:lang w:val="de-DE"/>
        </w:rPr>
        <w:t>2015;175:1539</w:t>
      </w:r>
      <w:proofErr w:type="gramEnd"/>
      <w:r w:rsidRPr="00B63197">
        <w:rPr>
          <w:color w:val="000000" w:themeColor="text1"/>
          <w:lang w:val="de-DE"/>
        </w:rPr>
        <w:t>-1549.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 xml:space="preserve">Clinical significance of symptoms in smokers with preserved pulmonary function. N Engl J Med </w:t>
      </w:r>
      <w:proofErr w:type="gramStart"/>
      <w:r w:rsidRPr="00B63197">
        <w:rPr>
          <w:color w:val="000000" w:themeColor="text1"/>
        </w:rPr>
        <w:t>2016;374:1811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 xml:space="preserve">33. Fortis S, Strand M, Bhatt SP, et al. Respiratory exacerbations and lung function decline in people with smoking history and normal spirometry. Am J Respir Crit Care Med </w:t>
      </w:r>
      <w:proofErr w:type="gramStart"/>
      <w:r w:rsidRPr="00B63197">
        <w:rPr>
          <w:color w:val="000000" w:themeColor="text1"/>
        </w:rPr>
        <w:t>2025;211:957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Abdo M, Reck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Respir J </w:t>
      </w:r>
      <w:proofErr w:type="gramStart"/>
      <w:r w:rsidRPr="00B63197">
        <w:rPr>
          <w:color w:val="000000" w:themeColor="text1"/>
        </w:rPr>
        <w:t>2026;67:2900306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Heading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Heading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(COPD-minor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TableGrid"/>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0.848</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0.702</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0.293</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0.796</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0" w:name="tbl_1"/>
      <w:bookmarkEnd w:id="0"/>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TableGrid"/>
        <w:tblW w:w="0" w:type="auto"/>
        <w:jc w:val="center"/>
        <w:tblLook w:val="04A0" w:firstRow="1" w:lastRow="0" w:firstColumn="1" w:lastColumn="0" w:noHBand="0" w:noVBand="1"/>
      </w:tblPr>
      <w:tblGrid>
        <w:gridCol w:w="2448"/>
        <w:gridCol w:w="2304"/>
        <w:gridCol w:w="2304"/>
        <w:gridCol w:w="2304"/>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w:t>
            </w:r>
            <w:proofErr w:type="gramStart"/>
            <w:r>
              <w:rPr>
                <w:sz w:val="20"/>
              </w:rPr>
              <w:t>88)ᵃ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w:t>
            </w:r>
            <w:proofErr w:type="gramStart"/>
            <w:r>
              <w:rPr>
                <w:sz w:val="20"/>
              </w:rPr>
              <w:t>28)ᵃ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w:t>
            </w:r>
            <w:proofErr w:type="gramStart"/>
            <w:r>
              <w:rPr>
                <w:sz w:val="20"/>
              </w:rPr>
              <w:t>51)ᵃ</w:t>
            </w:r>
            <w:proofErr w:type="gramEnd"/>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w:t>
            </w:r>
            <w:proofErr w:type="gramStart"/>
            <w:r>
              <w:rPr>
                <w:sz w:val="20"/>
              </w:rPr>
              <w:t>07)ᵃ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w:t>
            </w:r>
            <w:proofErr w:type="gramStart"/>
            <w:r>
              <w:rPr>
                <w:sz w:val="20"/>
              </w:rPr>
              <w:t>02)ᵃ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w:t>
            </w:r>
            <w:proofErr w:type="gramStart"/>
            <w:r>
              <w:rPr>
                <w:sz w:val="20"/>
              </w:rPr>
              <w:t>68)ᵃ</w:t>
            </w:r>
            <w:proofErr w:type="gramEnd"/>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w:t>
            </w:r>
            <w:proofErr w:type="gramStart"/>
            <w:r>
              <w:rPr>
                <w:sz w:val="20"/>
              </w:rPr>
              <w:t>46)ᵃ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w:t>
            </w:r>
            <w:proofErr w:type="gramStart"/>
            <w:r>
              <w:rPr>
                <w:sz w:val="20"/>
              </w:rPr>
              <w:t>96)ᵃ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w:t>
            </w:r>
            <w:proofErr w:type="gramStart"/>
            <w:r>
              <w:rPr>
                <w:sz w:val="20"/>
              </w:rPr>
              <w:t>93)ᵇ</w:t>
            </w:r>
            <w:proofErr w:type="gramEnd"/>
          </w:p>
        </w:tc>
      </w:tr>
    </w:tbl>
    <w:p w14:paraId="403A0647" w14:textId="355392C6" w:rsidR="00DD5950" w:rsidRDefault="00960EEA">
      <w:bookmarkStart w:id="1" w:name="tbl_2"/>
      <w:bookmarkEnd w:id="1"/>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(COPD-minor pathway) subgroup, as in Figure 2.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Full pairwise contrast estimates are reported in Supplemental Table 3. Abbreviations: CT, computed tomography; ESI, Emphysema 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632452">
    <w:abstractNumId w:val="8"/>
  </w:num>
  <w:num w:numId="2" w16cid:durableId="992175827">
    <w:abstractNumId w:val="6"/>
  </w:num>
  <w:num w:numId="3" w16cid:durableId="447431893">
    <w:abstractNumId w:val="5"/>
  </w:num>
  <w:num w:numId="4" w16cid:durableId="145243453">
    <w:abstractNumId w:val="4"/>
  </w:num>
  <w:num w:numId="5" w16cid:durableId="11878638">
    <w:abstractNumId w:val="7"/>
  </w:num>
  <w:num w:numId="6" w16cid:durableId="550532636">
    <w:abstractNumId w:val="3"/>
  </w:num>
  <w:num w:numId="7" w16cid:durableId="626860562">
    <w:abstractNumId w:val="2"/>
  </w:num>
  <w:num w:numId="8" w16cid:durableId="1805662262">
    <w:abstractNumId w:val="1"/>
  </w:num>
  <w:num w:numId="9" w16cid:durableId="1960214046">
    <w:abstractNumId w:val="0"/>
  </w:num>
  <w:num w:numId="10" w16cid:durableId="634137225">
    <w:abstractNumId w:val="9"/>
  </w:num>
  <w:num w:numId="11" w16cid:durableId="339625645">
    <w:abstractNumId w:val="10"/>
  </w:num>
  <w:num w:numId="12" w16cid:durableId="1879929117">
    <w:abstractNumId w:val="12"/>
  </w:num>
  <w:num w:numId="13" w16cid:durableId="164508870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B15C1"/>
    <w:rsid w:val="001B68B2"/>
    <w:rsid w:val="001E0D9C"/>
    <w:rsid w:val="001E3D95"/>
    <w:rsid w:val="001E7586"/>
    <w:rsid w:val="0023386F"/>
    <w:rsid w:val="00266B86"/>
    <w:rsid w:val="0029639D"/>
    <w:rsid w:val="002C025D"/>
    <w:rsid w:val="002C0E25"/>
    <w:rsid w:val="002C4E69"/>
    <w:rsid w:val="0030669B"/>
    <w:rsid w:val="00320EE6"/>
    <w:rsid w:val="00322E46"/>
    <w:rsid w:val="00326F90"/>
    <w:rsid w:val="003B1B47"/>
    <w:rsid w:val="003B36AF"/>
    <w:rsid w:val="003C5044"/>
    <w:rsid w:val="003C7DB1"/>
    <w:rsid w:val="003D2FA1"/>
    <w:rsid w:val="0041242A"/>
    <w:rsid w:val="00425918"/>
    <w:rsid w:val="00442CB5"/>
    <w:rsid w:val="004A5C24"/>
    <w:rsid w:val="004D1101"/>
    <w:rsid w:val="004F0EB4"/>
    <w:rsid w:val="004F2343"/>
    <w:rsid w:val="005523CD"/>
    <w:rsid w:val="005E2195"/>
    <w:rsid w:val="006173BC"/>
    <w:rsid w:val="00647D1D"/>
    <w:rsid w:val="00650ACA"/>
    <w:rsid w:val="00664E36"/>
    <w:rsid w:val="006741AD"/>
    <w:rsid w:val="00681980"/>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A0758"/>
    <w:rsid w:val="009F79AB"/>
    <w:rsid w:val="00A0450F"/>
    <w:rsid w:val="00A1602E"/>
    <w:rsid w:val="00A33406"/>
    <w:rsid w:val="00A5391B"/>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51C0B"/>
    <w:rsid w:val="00D62EC3"/>
    <w:rsid w:val="00D656BD"/>
    <w:rsid w:val="00D91155"/>
    <w:rsid w:val="00DD5950"/>
    <w:rsid w:val="00E01A5B"/>
    <w:rsid w:val="00E12DAA"/>
    <w:rsid w:val="00E757CA"/>
    <w:rsid w:val="00E80648"/>
    <w:rsid w:val="00EB0857"/>
    <w:rsid w:val="00EF441A"/>
    <w:rsid w:val="00EF6B4B"/>
    <w:rsid w:val="00F3151B"/>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20EE6"/>
    <w:rPr>
      <w:sz w:val="16"/>
      <w:szCs w:val="16"/>
    </w:rPr>
  </w:style>
  <w:style w:type="paragraph" w:styleId="CommentText">
    <w:name w:val="annotation text"/>
    <w:basedOn w:val="Normal"/>
    <w:link w:val="CommentTextChar"/>
    <w:uiPriority w:val="99"/>
    <w:unhideWhenUsed/>
    <w:rsid w:val="00320EE6"/>
    <w:rPr>
      <w:sz w:val="20"/>
      <w:szCs w:val="20"/>
    </w:rPr>
  </w:style>
  <w:style w:type="character" w:customStyle="1" w:styleId="CommentTextChar">
    <w:name w:val="Comment Text Char"/>
    <w:basedOn w:val="DefaultParagraphFont"/>
    <w:link w:val="CommentText"/>
    <w:uiPriority w:val="99"/>
    <w:rsid w:val="00320EE6"/>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320EE6"/>
    <w:rPr>
      <w:b/>
      <w:bCs/>
    </w:rPr>
  </w:style>
  <w:style w:type="character" w:customStyle="1" w:styleId="CommentSubjectChar">
    <w:name w:val="Comment Subject Char"/>
    <w:basedOn w:val="CommentTextChar"/>
    <w:link w:val="CommentSubject"/>
    <w:uiPriority w:val="99"/>
    <w:semiHidden/>
    <w:rsid w:val="00320EE6"/>
    <w:rPr>
      <w:rFonts w:ascii="Arial" w:hAnsi="Arial" w:cs="Arial"/>
      <w:b/>
      <w:bCs/>
      <w:sz w:val="20"/>
      <w:szCs w:val="20"/>
    </w:rPr>
  </w:style>
  <w:style w:type="character" w:styleId="Hyperlink">
    <w:name w:val="Hyperlink"/>
    <w:basedOn w:val="DefaultParagraphFont"/>
    <w:uiPriority w:val="99"/>
    <w:semiHidden/>
    <w:unhideWhenUsed/>
    <w:rsid w:val="008F1B26"/>
    <w:rPr>
      <w:color w:val="0000FF"/>
      <w:u w:val="single"/>
    </w:rPr>
  </w:style>
  <w:style w:type="paragraph" w:styleId="BalloonText">
    <w:name w:val="Balloon Text"/>
    <w:basedOn w:val="Normal"/>
    <w:link w:val="BalloonTextChar"/>
    <w:uiPriority w:val="99"/>
    <w:semiHidden/>
    <w:unhideWhenUsed/>
    <w:rsid w:val="0000649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497"/>
    <w:rPr>
      <w:rFonts w:ascii="Segoe UI" w:hAnsi="Segoe UI" w:cs="Segoe UI"/>
      <w:sz w:val="18"/>
      <w:szCs w:val="18"/>
    </w:rPr>
  </w:style>
  <w:style w:type="character" w:customStyle="1" w:styleId="period">
    <w:name w:val="period"/>
    <w:basedOn w:val="DefaultParagraphFont"/>
    <w:rsid w:val="00A1602E"/>
  </w:style>
  <w:style w:type="character" w:customStyle="1" w:styleId="cit">
    <w:name w:val="cit"/>
    <w:basedOn w:val="DefaultParagraphFont"/>
    <w:rsid w:val="00A1602E"/>
  </w:style>
  <w:style w:type="character" w:customStyle="1" w:styleId="citation-doi">
    <w:name w:val="citation-doi"/>
    <w:basedOn w:val="DefaultParagraphFont"/>
    <w:rsid w:val="00A1602E"/>
  </w:style>
  <w:style w:type="character" w:customStyle="1" w:styleId="authors-list-item">
    <w:name w:val="authors-list-item"/>
    <w:basedOn w:val="DefaultParagraphFont"/>
    <w:rsid w:val="00A1602E"/>
  </w:style>
  <w:style w:type="character" w:customStyle="1" w:styleId="author-sup-separator">
    <w:name w:val="author-sup-separator"/>
    <w:basedOn w:val="DefaultParagraphFont"/>
    <w:rsid w:val="00A1602E"/>
  </w:style>
  <w:style w:type="character" w:customStyle="1" w:styleId="comma">
    <w:name w:val="comma"/>
    <w:basedOn w:val="DefaultParagraphFont"/>
    <w:rsid w:val="00A1602E"/>
  </w:style>
  <w:style w:type="paragraph" w:customStyle="1" w:styleId="pdq2pgselectionanchorcontainer">
    <w:name w:val="pdq2pg_selectionanchorcontainer"/>
    <w:basedOn w:val="Normal"/>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9EDD9-FFF0-41F0-A46D-2BD8DACC58F7}">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27</TotalTime>
  <Pages>16</Pages>
  <Words>6130</Words>
  <Characters>34943</Characters>
  <Application>Microsoft Office Word</Application>
  <DocSecurity>0</DocSecurity>
  <Lines>291</Lines>
  <Paragraphs>81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40992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11</cp:revision>
  <dcterms:created xsi:type="dcterms:W3CDTF">2026-08-24T22:29:00Z</dcterms:created>
  <dcterms:modified xsi:type="dcterms:W3CDTF">2026-08-25T20:40:00Z</dcterms:modified>
  <cp:category/>
</cp:coreProperties>
</file>