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C72756B"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Matteo Paoletti³; Mariaelena Occhipinti⁴; Alessandra Sorano³; Federico Lavorini³; Enrico Maiorino¹; Craig P. Hersh</w:t>
      </w:r>
      <w:proofErr w:type="gramStart"/>
      <w:r w:rsidRPr="00960EEA">
        <w:rPr>
          <w:lang w:val="it-IT"/>
        </w:rPr>
        <w:t>¹,⁵</w:t>
      </w:r>
      <w:proofErr w:type="gramEnd"/>
      <w:r w:rsidRPr="00960EEA">
        <w:rPr>
          <w:lang w:val="it-IT"/>
        </w:rPr>
        <w:t xml:space="preserve">; Edwin K. Silverman¹,⁵; </w:t>
      </w:r>
      <w:r w:rsidR="00A70800">
        <w:rPr>
          <w:lang w:val="it-IT"/>
        </w:rPr>
        <w:t>James Crapo</w:t>
      </w:r>
      <w:r w:rsidR="00A70800" w:rsidRPr="00A70800">
        <w:rPr>
          <w:b/>
          <w:bCs/>
          <w:lang w:val="it-IT"/>
        </w:rPr>
        <w:t>⁶</w:t>
      </w:r>
      <w:r w:rsidR="00A70800">
        <w:rPr>
          <w:lang w:val="it-IT"/>
        </w:rPr>
        <w:t xml:space="preserve">; </w:t>
      </w:r>
      <w:r w:rsidR="00F370B1">
        <w:rPr>
          <w:lang w:val="it-IT"/>
        </w:rPr>
        <w:t>Surya Bhatt</w:t>
      </w:r>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⁶</w:t>
      </w:r>
      <w:r>
        <w:rPr>
          <w:b/>
          <w:bCs/>
        </w:rPr>
        <w:t xml:space="preserve">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77777777" w:rsidR="00E757CA" w:rsidRDefault="00960EEA">
      <w:r w:rsidRPr="00C04622">
        <w:rPr>
          <w:b/>
        </w:rPr>
        <w:t>Key words:</w:t>
      </w:r>
      <w:r>
        <w:t xml:space="preserve"> Chronic Obstructive Pulmonary Disease; Spirometry; Pulmonary Emphysema; Computed Tomography; Respiratory Function Tests</w:t>
      </w:r>
    </w:p>
    <w:p w14:paraId="387842DE" w14:textId="77777777" w:rsidR="00842167" w:rsidRDefault="00842167">
      <w:pPr>
        <w:pStyle w:val="Heading1"/>
        <w:rPr>
          <w:rFonts w:ascii="Arial" w:hAnsi="Arial"/>
          <w:b w:val="0"/>
          <w:sz w:val="22"/>
        </w:rPr>
      </w:pPr>
    </w:p>
    <w:p w14:paraId="78AA15B6" w14:textId="77777777" w:rsidR="00842167" w:rsidRDefault="00842167">
      <w:pPr>
        <w:pStyle w:val="Heading1"/>
        <w:rPr>
          <w:rFonts w:ascii="Arial" w:hAnsi="Arial"/>
          <w:b w:val="0"/>
          <w:sz w:val="22"/>
        </w:rPr>
      </w:pPr>
    </w:p>
    <w:p w14:paraId="300FE9DE" w14:textId="77777777" w:rsidR="00842167" w:rsidRDefault="00842167">
      <w:pPr>
        <w:pStyle w:val="Heading1"/>
        <w:rPr>
          <w:rFonts w:ascii="Arial" w:hAnsi="Arial"/>
          <w:b w:val="0"/>
          <w:sz w:val="22"/>
        </w:rPr>
      </w:pPr>
    </w:p>
    <w:p w14:paraId="6D8BC223" w14:textId="77777777" w:rsidR="00842167" w:rsidRDefault="00842167">
      <w:pPr>
        <w:pStyle w:val="Heading1"/>
        <w:rPr>
          <w:rFonts w:ascii="Arial" w:hAnsi="Arial"/>
          <w:b w:val="0"/>
          <w:sz w:val="22"/>
        </w:rPr>
      </w:pPr>
    </w:p>
    <w:p w14:paraId="25A3A669" w14:textId="77777777" w:rsidR="00842167" w:rsidRDefault="00842167">
      <w:pPr>
        <w:pStyle w:val="Heading1"/>
        <w:rPr>
          <w:rFonts w:ascii="Arial" w:hAnsi="Arial"/>
          <w:b w:val="0"/>
          <w:sz w:val="22"/>
        </w:rPr>
      </w:pPr>
    </w:p>
    <w:p w14:paraId="1233E0FD" w14:textId="77777777" w:rsidR="00842167" w:rsidRDefault="00842167">
      <w:pPr>
        <w:pStyle w:val="Heading1"/>
        <w:rPr>
          <w:rFonts w:ascii="Arial" w:hAnsi="Arial"/>
          <w:b w:val="0"/>
          <w:sz w:val="22"/>
        </w:rPr>
      </w:pPr>
    </w:p>
    <w:p w14:paraId="6B4B1164" w14:textId="77777777" w:rsidR="00842167" w:rsidRDefault="00842167">
      <w:pPr>
        <w:pStyle w:val="Heading1"/>
        <w:rPr>
          <w:rFonts w:ascii="Arial" w:hAnsi="Arial"/>
          <w:b w:val="0"/>
          <w:sz w:val="22"/>
        </w:rPr>
      </w:pPr>
    </w:p>
    <w:p w14:paraId="39E70E1B" w14:textId="77777777" w:rsidR="00842167" w:rsidRDefault="00842167">
      <w:pPr>
        <w:pStyle w:val="Heading1"/>
        <w:rPr>
          <w:rFonts w:ascii="Arial" w:hAnsi="Arial"/>
          <w:b w:val="0"/>
          <w:sz w:val="22"/>
        </w:rPr>
      </w:pPr>
    </w:p>
    <w:p w14:paraId="7015077C" w14:textId="77777777" w:rsidR="00842167" w:rsidRDefault="00842167">
      <w:pPr>
        <w:pStyle w:val="Heading1"/>
        <w:rPr>
          <w:rFonts w:ascii="Arial" w:hAnsi="Arial"/>
          <w:b w:val="0"/>
          <w:sz w:val="22"/>
        </w:rPr>
      </w:pPr>
    </w:p>
    <w:p w14:paraId="2987927C" w14:textId="77777777" w:rsidR="00C04622" w:rsidRDefault="00C04622" w:rsidP="00C04622">
      <w:pPr>
        <w:pStyle w:val="Heading1"/>
        <w:rPr>
          <w:rFonts w:ascii="Arial" w:hAnsi="Arial"/>
          <w:bCs w:val="0"/>
          <w:sz w:val="22"/>
        </w:rPr>
      </w:pPr>
    </w:p>
    <w:p w14:paraId="510B6D6C" w14:textId="77777777" w:rsidR="00C04622" w:rsidRDefault="00C04622" w:rsidP="00C04622">
      <w:pPr>
        <w:pStyle w:val="Heading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Heading1"/>
        <w:rPr>
          <w:rFonts w:ascii="Arial" w:hAnsi="Arial"/>
          <w:b w:val="0"/>
          <w:sz w:val="22"/>
        </w:rPr>
      </w:pPr>
    </w:p>
    <w:p w14:paraId="5ADE745F" w14:textId="77777777" w:rsidR="00681980" w:rsidRDefault="00681980">
      <w:pPr>
        <w:pStyle w:val="Heading1"/>
        <w:rPr>
          <w:rFonts w:ascii="Arial" w:hAnsi="Arial"/>
          <w:b w:val="0"/>
          <w:sz w:val="22"/>
        </w:rPr>
      </w:pPr>
    </w:p>
    <w:p w14:paraId="23234F69" w14:textId="77777777" w:rsidR="00681980" w:rsidRDefault="00681980">
      <w:pPr>
        <w:pStyle w:val="Heading1"/>
        <w:rPr>
          <w:rFonts w:ascii="Arial" w:hAnsi="Arial"/>
          <w:b w:val="0"/>
          <w:sz w:val="22"/>
        </w:rPr>
      </w:pPr>
    </w:p>
    <w:p w14:paraId="1CAA277E" w14:textId="77777777" w:rsidR="00681980" w:rsidRDefault="00681980">
      <w:pPr>
        <w:pStyle w:val="Heading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biological heterogeneity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9E0CD95"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w:t>
      </w:r>
      <w:r w:rsidRPr="00442CB5">
        <w:rPr>
          <w:rFonts w:eastAsia="Times New Roman"/>
          <w:lang w:eastAsia="it-IT"/>
        </w:rPr>
        <w:t xml:space="preserve"> across mortality,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6D5900E3"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The analysis was performed using data from the COPDGene study (NCT00608764), a multicenter observational cohort of current and former smokers aged 45–80 years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COPDGene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to be present for a visual score of 2, corresponding to Definite wall thickening.</w:t>
      </w:r>
      <w:proofErr w:type="spellStart"/>
      <w:r w:rsidRPr="004F0EB4">
        <w:rPr>
          <w:rFonts w:eastAsia="Times New Roman"/>
          <w:lang w:eastAsia="it-IT"/>
        </w:rPr>
      </w:r>
      <w:proofErr w:type="spellEnd"/>
      <w:r w:rsidRPr="004F0EB4">
        <w:rPr>
          <w:rFonts w:eastAsia="Times New Roman"/>
          <w:lang w:eastAsia="it-IT"/>
        </w:rPr>
      </w:r>
      <w:r w:rsidR="009962CD">
        <w:rPr>
          <w:rFonts w:eastAsia="Times New Roman"/>
          <w:lang w:eastAsia="it-IT"/>
        </w:rPr>
      </w:r>
      <w:r w:rsidRPr="004F0EB4">
        <w:rPr>
          <w:rFonts w:eastAsia="Times New Roman"/>
          <w:lang w:eastAsia="it-IT"/>
        </w:rPr>
      </w:r>
      <w:r w:rsidR="00322E46">
        <w:rPr>
          <w:rFonts w:eastAsia="Times New Roman"/>
          <w:lang w:eastAsia="it-IT"/>
        </w:rPr>
      </w:r>
      <w:r w:rsidRPr="004F0EB4">
        <w:rPr>
          <w:rFonts w:eastAsia="Times New Roman"/>
          <w:lang w:eastAsia="it-IT"/>
        </w:rPr>
      </w:r>
      <w:proofErr w:type="spellStart"/>
      <w:r w:rsidRPr="004F0EB4">
        <w:rPr>
          <w:rFonts w:eastAsia="Times New Roman"/>
          <w:lang w:eastAsia="it-IT"/>
        </w:rPr>
      </w:r>
      <w:proofErr w:type="spellEnd"/>
      <w:r w:rsidRPr="004F0EB4">
        <w:rPr>
          <w:rFonts w:eastAsia="Times New Roman"/>
          <w:lang w:eastAsia="it-IT"/>
        </w:rPr>
      </w:r>
      <w:r w:rsidR="000D4E6C">
        <w:rPr>
          <w:rFonts w:eastAsia="Times New Roman"/>
          <w:lang w:eastAsia="it-IT"/>
        </w:rPr>
      </w:r>
      <w:proofErr w:type="gramStart"/>
      <w:r w:rsidR="000D4E6C">
        <w:rPr>
          <w:rFonts w:eastAsia="Times New Roman"/>
          <w:lang w:eastAsia="it-IT"/>
        </w:rPr>
      </w:r>
      <w:r w:rsidRPr="004F0EB4">
        <w:rPr>
          <w:rFonts w:eastAsia="Times New Roman"/>
          <w:lang w:eastAsia="it-IT"/>
        </w:rPr>
      </w:r>
      <w:proofErr w:type="gramEnd"/>
      <w:r w:rsidRPr="004F0EB4">
        <w:rPr>
          <w:rFonts w:eastAsia="Times New Roman"/>
          <w:lang w:eastAsia="it-IT"/>
        </w:rPr>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(Fleischner assessment definite)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COPD-major; participants meeting at least three of five minor criteria without the major criterion are classified as COPD-minor;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population. To preserve the original diagnostic architecture, in which the structural domain </w:t>
      </w:r>
      <w:r w:rsidRPr="004F0EB4">
        <w:rPr>
          <w:rFonts w:eastAsia="Times New Roman"/>
          <w:lang w:eastAsia="it-IT"/>
        </w:rPr>
        <w:lastRenderedPageBreak/>
        <w:t xml:space="preserve">contributes up to two of five minor criteria, the ESI-based representation was implemented as a two-threshold scoring rule: ESI values below the lower threshold (ESI &lt; 1) contribute zero minor criteria; values from the lower threshold up to but not including the upper threshold (1 ≤ ESI &lt; 2.5) contribute one; values at or above the upper threshold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(FEV1 % predicted &gt;80% and FEV1/FVC&gt;0.7) were referred to as GOLD 0 subjects</w:t>
      </w:r>
      <w:r w:rsidRPr="004F0EB4">
        <w:rPr>
          <w:rFonts w:eastAsia="Times New Roman"/>
          <w:lang w:eastAsia="it-IT"/>
        </w:rPr>
        <w:t>.</w:t>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OPDGene_VitalStatus_SM_NS_Sep23.csv)</w:t>
      </w:r>
      <w:r w:rsidRPr="004F0EB4">
        <w:rPr>
          <w:rFonts w:eastAsia="Times New Roman"/>
          <w:lang w:eastAsia="it-IT"/>
        </w:rPr>
        <w:t>.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OPDGene_Mort_COD_Adj.csv)</w:t>
      </w:r>
      <w:r w:rsidRPr="004F0EB4">
        <w:rPr>
          <w:rFonts w:eastAsia="Times New Roman"/>
          <w:lang w:eastAsia="it-IT"/>
        </w:rPr>
        <w:t>.</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w:t>
      </w:r>
      <w:proofErr w:type="spellStart"/>
      <w:r w:rsidR="00F754D5">
        <w:rPr>
          <w:rFonts w:eastAsia="Times New Roman"/>
          <w:lang w:eastAsia="it-IT"/>
        </w:rPr>
        <w:t>COPDGene</w:t>
      </w:r>
      <w:proofErr w:type="spellEnd"/>
      <w:r w:rsidR="00F754D5">
        <w:rPr>
          <w:rFonts w:eastAsia="Times New Roman"/>
          <w:lang w:eastAsia="it-IT"/>
        </w:rPr>
        <w:t xml:space="preserve"> dataset: </w:t>
      </w:r>
      <w:r w:rsidR="00F754D5" w:rsidRPr="00F754D5">
        <w:rPr>
          <w:rFonts w:eastAsia="Times New Roman"/>
          <w:lang w:eastAsia="it-IT"/>
        </w:rPr>
        <w:t>LFU_SidLevel_Comorbid_SM_30SEP21</w:t>
      </w:r>
      <w:r w:rsidR="00F754D5">
        <w:rPr>
          <w:rFonts w:eastAsia="Times New Roman"/>
          <w:lang w:eastAsia="it-IT"/>
        </w:rPr>
        <w:t xml:space="preserve">.txt). Longitudinal FEV1 decline was </w:t>
      </w:r>
      <w:r w:rsidR="00011522">
        <w:rPr>
          <w:rFonts w:eastAsia="Times New Roman"/>
          <w:lang w:eastAsia="it-IT"/>
        </w:rPr>
        <w:t>obtained from the main COPD phenotype file containing data from the first three study visits spanning a ~15-year follow-up period</w:t>
      </w:r>
      <w:r w:rsidR="00B94C1C">
        <w:rPr>
          <w:rFonts w:eastAsia="Times New Roman"/>
          <w:lang w:eastAsia="it-IT"/>
        </w:rPr>
        <w:t xml:space="preserve"> </w:t>
      </w:r>
      <w:r w:rsidR="00011522">
        <w:rPr>
          <w:rFonts w:eastAsia="Times New Roman"/>
          <w:lang w:eastAsia="it-IT"/>
        </w:rPr>
        <w:t>(</w:t>
      </w:r>
      <w:r w:rsidR="00011522">
        <w:t>COPDGene_P1P2P3_SM_NS_Long_Sep24.csv)</w:t>
      </w:r>
      <w:r w:rsidR="00011522">
        <w:rPr>
          <w:rFonts w:eastAsia="Times New Roman"/>
          <w:lang w:eastAsia="it-IT"/>
        </w:rPr>
        <w:t xml:space="preserve">. </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Classification agreement between CT-based and ESI-based frameworks was assessed using sensitivity, specificity, overall agreement, and Cohen’s </w:t>
      </w:r>
      <w:r w:rsidRPr="004F0EB4">
        <w:rPr>
          <w:rFonts w:eastAsia="Times New Roman"/>
          <w:lang w:val="it-IT" w:eastAsia="it-IT"/>
        </w:rPr>
        <w:t>κ</w:t>
      </w:r>
      <w:r w:rsidRPr="004F0EB4">
        <w:rPr>
          <w:rFonts w:eastAsia="Times New Roman"/>
          <w:lang w:eastAsia="it-IT"/>
        </w:rPr>
        <w:t xml:space="preserve"> coefficient.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4F0EB4" w:rsidRDefault="004F0EB4" w:rsidP="004F0EB4">
      <w:pPr>
        <w:spacing w:before="100" w:beforeAutospacing="1" w:after="100" w:afterAutospacing="1"/>
        <w:rPr>
          <w:rFonts w:eastAsia="Times New Roman"/>
          <w:lang w:val="it-IT"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Three adjustment sets were used. For mortality and exacerbation models, covariates were age, sex, race, current smoking status, pack-years, and body mass index (BMI).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4F0EB4">
        <w:rPr>
          <w:rFonts w:eastAsia="Times New Roman"/>
          <w:lang w:val="it-IT" w:eastAsia="it-IT"/>
        </w:rPr>
        <w:t xml:space="preserve">All </w:t>
      </w:r>
      <w:proofErr w:type="spellStart"/>
      <w:r w:rsidRPr="004F0EB4">
        <w:rPr>
          <w:rFonts w:eastAsia="Times New Roman"/>
          <w:lang w:val="it-IT" w:eastAsia="it-IT"/>
        </w:rPr>
        <w:t>analyses</w:t>
      </w:r>
      <w:proofErr w:type="spellEnd"/>
      <w:r w:rsidRPr="004F0EB4">
        <w:rPr>
          <w:rFonts w:eastAsia="Times New Roman"/>
          <w:lang w:val="it-IT" w:eastAsia="it-IT"/>
        </w:rPr>
        <w:t xml:space="preserve"> </w:t>
      </w:r>
      <w:proofErr w:type="spellStart"/>
      <w:r w:rsidRPr="004F0EB4">
        <w:rPr>
          <w:rFonts w:eastAsia="Times New Roman"/>
          <w:lang w:val="it-IT" w:eastAsia="it-IT"/>
        </w:rPr>
        <w:t>were</w:t>
      </w:r>
      <w:proofErr w:type="spellEnd"/>
      <w:r w:rsidRPr="004F0EB4">
        <w:rPr>
          <w:rFonts w:eastAsia="Times New Roman"/>
          <w:lang w:val="it-IT" w:eastAsia="it-IT"/>
        </w:rPr>
        <w:t xml:space="preserve"> </w:t>
      </w:r>
      <w:proofErr w:type="spellStart"/>
      <w:r w:rsidRPr="004F0EB4">
        <w:rPr>
          <w:rFonts w:eastAsia="Times New Roman"/>
          <w:lang w:val="it-IT" w:eastAsia="it-IT"/>
        </w:rPr>
        <w:t>performed</w:t>
      </w:r>
      <w:proofErr w:type="spellEnd"/>
      <w:r w:rsidRPr="004F0EB4">
        <w:rPr>
          <w:rFonts w:eastAsia="Times New Roman"/>
          <w:lang w:val="it-IT" w:eastAsia="it-IT"/>
        </w:rPr>
        <w:t xml:space="preserve"> in R (</w:t>
      </w:r>
      <w:proofErr w:type="spellStart"/>
      <w:r w:rsidRPr="004F0EB4">
        <w:rPr>
          <w:rFonts w:eastAsia="Times New Roman"/>
          <w:lang w:val="it-IT" w:eastAsia="it-IT"/>
        </w:rPr>
        <w:t>version</w:t>
      </w:r>
      <w:proofErr w:type="spellEnd"/>
      <w:r w:rsidRPr="004F0EB4">
        <w:rPr>
          <w:rFonts w:eastAsia="Times New Roman"/>
          <w:lang w:val="it-IT" w:eastAsia="it-IT"/>
        </w:rPr>
        <w:t xml:space="preserve"> 4.5.2).</w:t>
      </w:r>
    </w:p>
    <w:p w14:paraId="4D58684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lastRenderedPageBreak/>
        <w:t xml:space="preserve">We tested equivalence between the CT-based and ESI-based frameworks at two complementary levels. At the discrimination level, we compared the C-index between 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 offset for exacerbations) under both frameworks.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442CB5" w:rsidRDefault="004F0EB4" w:rsidP="00442CB5">
      <w:pPr>
        <w:spacing w:before="100" w:beforeAutospacing="1" w:after="100" w:afterAutospacing="1"/>
        <w:rPr>
          <w:rFonts w:eastAsia="Times New Roman"/>
          <w:lang w:val="it-IT" w:eastAsia="it-IT"/>
        </w:rPr>
      </w:pPr>
      <w:r w:rsidRPr="004F0EB4">
        <w:rPr>
          <w:rFonts w:eastAsia="Times New Roman"/>
          <w:lang w:eastAsia="it-IT"/>
        </w:rPr>
        <w:t xml:space="preserve">For pairwise between-subgroup comparisons in Table 2,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4F0EB4">
        <w:rPr>
          <w:rFonts w:eastAsia="Times New Roman"/>
          <w:lang w:val="it-IT" w:eastAsia="it-IT"/>
        </w:rPr>
        <w:t xml:space="preserve">Full </w:t>
      </w:r>
      <w:proofErr w:type="spellStart"/>
      <w:r w:rsidRPr="004F0EB4">
        <w:rPr>
          <w:rFonts w:eastAsia="Times New Roman"/>
          <w:lang w:val="it-IT" w:eastAsia="it-IT"/>
        </w:rPr>
        <w:t>contrast</w:t>
      </w:r>
      <w:proofErr w:type="spellEnd"/>
      <w:r w:rsidRPr="004F0EB4">
        <w:rPr>
          <w:rFonts w:eastAsia="Times New Roman"/>
          <w:lang w:val="it-IT" w:eastAsia="it-IT"/>
        </w:rPr>
        <w:t xml:space="preserve"> </w:t>
      </w:r>
      <w:proofErr w:type="spellStart"/>
      <w:r w:rsidRPr="004F0EB4">
        <w:rPr>
          <w:rFonts w:eastAsia="Times New Roman"/>
          <w:lang w:val="it-IT" w:eastAsia="it-IT"/>
        </w:rPr>
        <w:t>estimates</w:t>
      </w:r>
      <w:proofErr w:type="spellEnd"/>
      <w:r w:rsidRPr="004F0EB4">
        <w:rPr>
          <w:rFonts w:eastAsia="Times New Roman"/>
          <w:lang w:val="it-IT" w:eastAsia="it-IT"/>
        </w:rPr>
        <w:t xml:space="preserve"> are </w:t>
      </w:r>
      <w:proofErr w:type="spellStart"/>
      <w:r w:rsidRPr="004F0EB4">
        <w:rPr>
          <w:rFonts w:eastAsia="Times New Roman"/>
          <w:lang w:val="it-IT" w:eastAsia="it-IT"/>
        </w:rPr>
        <w:t>reported</w:t>
      </w:r>
      <w:proofErr w:type="spellEnd"/>
      <w:r w:rsidRPr="004F0EB4">
        <w:rPr>
          <w:rFonts w:eastAsia="Times New Roman"/>
          <w:lang w:val="it-IT" w:eastAsia="it-IT"/>
        </w:rPr>
        <w:t xml:space="preserve"> in </w:t>
      </w:r>
      <w:proofErr w:type="spellStart"/>
      <w:r w:rsidRPr="004F0EB4">
        <w:rPr>
          <w:rFonts w:eastAsia="Times New Roman"/>
          <w:lang w:val="it-IT" w:eastAsia="it-IT"/>
        </w:rPr>
        <w:t>Supplemental</w:t>
      </w:r>
      <w:proofErr w:type="spellEnd"/>
      <w:r w:rsidRPr="004F0EB4">
        <w:rPr>
          <w:rFonts w:eastAsia="Times New Roman"/>
          <w:lang w:val="it-IT" w:eastAsia="it-IT"/>
        </w:rPr>
        <w:t xml:space="preserve"> Table 3.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(COPD-minor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w:t>
      </w:r>
      <w:r w:rsidRPr="00442CB5">
        <w:rPr>
          <w:rFonts w:eastAsia="Times New Roman"/>
          <w:lang w:eastAsia="it-IT"/>
        </w:rPr>
        <w:lastRenderedPageBreak/>
        <w:t>participants showed higher ESI values. Interestingly, while the ESI-only group had no visual emphysema,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COPD-minor and COPD-major categories were similar between the two frameworks, although for the COPD-major group the CT-based classification did have a significantly higher HR for all-cause mortality and higher IRR for exacerbations. There was no significant difference between the two classifications for the COPD-minor groups. Under both frameworks, the AFL-only-</w:t>
      </w:r>
      <w:proofErr w:type="spellStart"/>
      <w:r w:rsidRPr="00442CB5">
        <w:rPr>
          <w:rFonts w:eastAsia="Times New Roman"/>
          <w:lang w:eastAsia="it-IT"/>
        </w:rPr>
        <w:t>noCOPD</w:t>
      </w:r>
      <w:proofErr w:type="spellEnd"/>
      <w:r w:rsidRPr="00442CB5">
        <w:rPr>
          <w:rFonts w:eastAsia="Times New Roman"/>
          <w:lang w:eastAsia="it-IT"/>
        </w:rPr>
        <w:t xml:space="preserve"> category was not significantly associated with increased risk across evaluated outcomes, consistent with its classification outside the multidimensional COPD categories.</w:t>
      </w:r>
    </w:p>
    <w:p w14:paraId="34938E88" w14:textId="10F68F3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COPD-minor and COPD-major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clinical outcomes among participants classified according to agreement or disagreement between the CT-based and ESI-based frameworks (Table 2).</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Compared with participants classified as </w:t>
      </w:r>
      <w:proofErr w:type="spellStart"/>
      <w:r w:rsidRPr="00442CB5">
        <w:rPr>
          <w:rFonts w:eastAsia="Times New Roman"/>
          <w:lang w:eastAsia="it-IT"/>
        </w:rPr>
        <w:t>noCOPD</w:t>
      </w:r>
      <w:proofErr w:type="spellEnd"/>
      <w:r w:rsidRPr="00442CB5">
        <w:rPr>
          <w:rFonts w:eastAsia="Times New Roman"/>
          <w:lang w:eastAsia="it-IT"/>
        </w:rPr>
        <w:t xml:space="preserve"> by both frameworks, Both-COPD participants showed increased all-cause mortality, respiratory mortality, and exacerbation risk. Discordantly classified groups showed intermediate clinical risk profiles: CT-only-COPD participants showed increased mortality and exacerbation risk, whereas ESI-only-COPD participants showed higher point estimates for respiratory mortality and exacerbations, although estimates were less precise because of the smaller sample size.</w:t>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w:t>
      </w:r>
      <w:r w:rsidRPr="00442CB5">
        <w:rPr>
          <w:rFonts w:eastAsia="Times New Roman"/>
          <w:lang w:eastAsia="it-IT"/>
        </w:rPr>
        <w:lastRenderedPageBreak/>
        <w:t>increases in ESI over follow-up (Supplemental Table 16). ESI was essentially unaffected by acute bronchodilator response,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w:t>
      </w:r>
      <w:r w:rsidRPr="00442CB5">
        <w:rPr>
          <w:rFonts w:eastAsia="Times New Roman"/>
          <w:lang w:eastAsia="it-IT"/>
        </w:rPr>
        <w:lastRenderedPageBreak/>
        <w:t xml:space="preserve">despite quantitative CT emphysema values within the normal range (30). This pattern reflects the ability of visual CT assessment to identify </w:t>
      </w:r>
      <w:proofErr w:type="gramStart"/>
      <w:r w:rsidRPr="00442CB5">
        <w:rPr>
          <w:rFonts w:eastAsia="Times New Roman"/>
          <w:lang w:eastAsia="it-IT"/>
        </w:rPr>
        <w:t>early</w:t>
      </w:r>
      <w:proofErr w:type="gramEnd"/>
      <w:r w:rsidRPr="00442CB5">
        <w:rPr>
          <w:rFonts w:eastAsia="Times New Roman"/>
          <w:lang w:eastAsia="it-IT"/>
        </w:rPr>
        <w:t xml:space="preserve"> or mild morphological abnormalities not captured by quantitative emphysema burden. Because the original framework assigns a structural criterion for even mild visually identified emphysema (11), quantitatively normal 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Cross-classification analyses demonstrated that discordance between frameworks was associated with clinically relevant information. Participants classified as COPD by both approaches carried the greatest risk, whereas discordant groups displayed intermediate risk profiles. These findings suggest that agreement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representations identifies individuals with the strongest disease expression, while discordance may identify different manifestations within the COPD spectrum.</w:t>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w:t>
      </w:r>
      <w:proofErr w:type="spellStart"/>
      <w:r w:rsidRPr="00442CB5">
        <w:rPr>
          <w:rFonts w:eastAsia="Times New Roman"/>
          <w:lang w:eastAsia="it-IT"/>
        </w:rPr>
        <w:t>noCOPD</w:t>
      </w:r>
      <w:proofErr w:type="spellEnd"/>
      <w:r w:rsidRPr="00442CB5">
        <w:rPr>
          <w:rFonts w:eastAsia="Times New Roman"/>
          <w:lang w:eastAsia="it-IT"/>
        </w:rPr>
        <w:t xml:space="preserve"> did not demonstrate significantly increased risk of mortality or exacerbations under either the CT-based or ESI-based framework.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Beyond preserving the diagnostic and prognostic performance of the CT-based framework, the present findings have important practical implications. Because spirometry is inexpensive and more widely available than chest CT, ESI-based multidimensional COPD assessment can be more readily applied in routine clinical practice, primary care, epidemiological studies, and clinical trials. 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lastRenderedPageBreak/>
        <w:t xml:space="preserve">This study has several limitations. Although the ESI-based framework preserved the diagnostic and prognostic performance of the multidimensional classification, no single physiological descriptor can be expected to capture every aspect of CT-defined structural abnormalities.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Heading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w:t>
      </w:r>
      <w:proofErr w:type="gramStart"/>
      <w:r>
        <w:t>1966;1:830</w:t>
      </w:r>
      <w:proofErr w:type="gramEnd"/>
      <w:r>
        <w:t>–835.</w:t>
      </w:r>
    </w:p>
    <w:p w14:paraId="0CB3F4D8" w14:textId="77777777" w:rsidR="001E3D95" w:rsidRDefault="001E3D95" w:rsidP="001E3D95">
      <w:pPr>
        <w:ind w:left="576" w:hanging="576"/>
      </w:pPr>
      <w:r>
        <w:t xml:space="preserve">2. Snider GL. Chronic obstructive pulmonary disease: a definition and implications of structural determinants of airflow obstruction for epidemiology. </w:t>
      </w:r>
      <w:proofErr w:type="gramStart"/>
      <w:r>
        <w:t>Am</w:t>
      </w:r>
      <w:proofErr w:type="gramEnd"/>
      <w:r>
        <w:t xml:space="preserve"> Rev Respir Dis 1989;</w:t>
      </w:r>
      <w:proofErr w:type="gramStart"/>
      <w:r>
        <w:t>140:S</w:t>
      </w:r>
      <w:proofErr w:type="gramEnd"/>
      <w:r>
        <w:t>3–S8.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77777777" w:rsidR="001E3D95" w:rsidRDefault="001E3D95" w:rsidP="001E3D95">
      <w:pPr>
        <w:ind w:left="576" w:hanging="576"/>
      </w:pPr>
      <w:r w:rsidRPr="00960EEA">
        <w:rPr>
          <w:lang w:val="it-IT"/>
        </w:rPr>
        <w:t xml:space="preserve">4. Camiciottoli G, Bigazzi F, Paoletti P, et al. </w:t>
      </w:r>
      <w:r>
        <w:t xml:space="preserve">Pulmonary function and sputum characteristics predict computed tomography phenotype and severity of COPD. </w:t>
      </w:r>
      <w:proofErr w:type="spellStart"/>
      <w:r>
        <w:t>Eur</w:t>
      </w:r>
      <w:proofErr w:type="spellEnd"/>
      <w:r>
        <w:t xml:space="preserve"> Respir J </w:t>
      </w:r>
      <w:proofErr w:type="gramStart"/>
      <w:r>
        <w:t>2013;42:626</w:t>
      </w:r>
      <w:proofErr w:type="gramEnd"/>
      <w:r>
        <w:t>–635.</w:t>
      </w:r>
    </w:p>
    <w:p w14:paraId="3774F178" w14:textId="77777777" w:rsidR="001E3D95" w:rsidRDefault="001E3D95" w:rsidP="001E3D95">
      <w:pPr>
        <w:ind w:left="576" w:hanging="576"/>
      </w:pPr>
      <w:r>
        <w:t xml:space="preserve">5. Castaldi PJ, Xu Z, Young K, et al. Heterogeneity and progression of chronic obstructive pulmonary disease: emphysema-predominant and non-emphysema-predominant disease. Am J Epidemiol </w:t>
      </w:r>
      <w:proofErr w:type="gramStart"/>
      <w:r>
        <w:t>2023;192:1647</w:t>
      </w:r>
      <w:proofErr w:type="gramEnd"/>
      <w:r>
        <w:t>–1658.</w:t>
      </w:r>
    </w:p>
    <w:p w14:paraId="1C604B48" w14:textId="77777777" w:rsidR="001E3D95" w:rsidRDefault="001E3D95" w:rsidP="001E3D95">
      <w:pPr>
        <w:ind w:left="576" w:hanging="576"/>
      </w:pPr>
      <w:r>
        <w:t xml:space="preserve">6. Bhatt SP, Silverman EK, Crapo JD. Beyond spirometry in COPD: expanding the diagnostic paradigm. ERJ Open Res </w:t>
      </w:r>
      <w:proofErr w:type="gramStart"/>
      <w:r>
        <w:t>2026;12:00045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 xml:space="preserve">7. Celli BR, Cote CG, Marin JM, et al. The body-mass index, airflow obstruction, dyspnea, and exercise capacity index in chronic obstructive pulmonary disease. N Engl J Med </w:t>
      </w:r>
      <w:proofErr w:type="gramStart"/>
      <w:r>
        <w:t>2004;350:1005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r w:rsidRPr="00960EEA">
        <w:rPr>
          <w:lang w:val="de-DE"/>
        </w:rPr>
        <w:t xml:space="preserve">Chronic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w:t>
      </w:r>
      <w:proofErr w:type="gramStart"/>
      <w:r w:rsidRPr="00960EEA">
        <w:rPr>
          <w:lang w:val="de-DE"/>
        </w:rPr>
        <w:t>2019;6:384</w:t>
      </w:r>
      <w:proofErr w:type="gramEnd"/>
      <w:r w:rsidRPr="00960EEA">
        <w:rPr>
          <w:lang w:val="de-DE"/>
        </w:rPr>
        <w:t>-399.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 xml:space="preserve">Towards the elimination of chronic obstructive pulmonary disease: a Lancet Commission. Lancet </w:t>
      </w:r>
      <w:proofErr w:type="gramStart"/>
      <w:r>
        <w:t>2022;400:921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 xml:space="preserve">A multidimensional diagnostic approach for chronic obstructive pulmonary disease. JAMA </w:t>
      </w:r>
      <w:proofErr w:type="gramStart"/>
      <w:r>
        <w:t>2025;333:2164</w:t>
      </w:r>
      <w:proofErr w:type="gramEnd"/>
      <w:r>
        <w:t>-2175.</w:t>
      </w:r>
    </w:p>
    <w:p w14:paraId="48D5E56F" w14:textId="77777777" w:rsidR="001E3D95" w:rsidRDefault="001E3D95" w:rsidP="001E3D95">
      <w:pPr>
        <w:ind w:left="576" w:hanging="576"/>
      </w:pPr>
      <w:r>
        <w:t xml:space="preserve">12. Wu F, Huang S, Zhou K, et al. Clinical validation of a multidimensional diagnostic approach for COPD in Chinese individuals. Chest </w:t>
      </w:r>
      <w:proofErr w:type="gramStart"/>
      <w:r>
        <w:t>2026;169:371</w:t>
      </w:r>
      <w:proofErr w:type="gramEnd"/>
      <w:r>
        <w:t>-384.</w:t>
      </w:r>
    </w:p>
    <w:p w14:paraId="50CFA824" w14:textId="77777777" w:rsidR="001E3D95" w:rsidRPr="00960EEA" w:rsidRDefault="001E3D95" w:rsidP="001E3D95">
      <w:pPr>
        <w:ind w:left="576" w:hanging="576"/>
        <w:rPr>
          <w:lang w:val="it-IT"/>
        </w:rPr>
      </w:pPr>
      <w:r>
        <w:t xml:space="preserve">13. Occhipinti M, Paoletti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Luoto J, </w:t>
      </w:r>
      <w:proofErr w:type="spellStart"/>
      <w:r w:rsidRPr="00960EEA">
        <w:rPr>
          <w:lang w:val="it-IT"/>
        </w:rPr>
        <w:t>Pihlsgård</w:t>
      </w:r>
      <w:proofErr w:type="spellEnd"/>
      <w:r w:rsidRPr="00960EEA">
        <w:rPr>
          <w:lang w:val="it-IT"/>
        </w:rPr>
        <w:t xml:space="preserve"> M, Pistolesi M, et al. </w:t>
      </w:r>
      <w:r>
        <w:t xml:space="preserve">Emphysema severity index (ESI) associated with respiratory death in a large Swedish general population. Respir Med </w:t>
      </w:r>
      <w:proofErr w:type="gramStart"/>
      <w:r>
        <w:t>2022;200:106899</w:t>
      </w:r>
      <w:proofErr w:type="gramEnd"/>
      <w:r>
        <w:t>.</w:t>
      </w:r>
    </w:p>
    <w:p w14:paraId="7E296FD5" w14:textId="77777777" w:rsidR="001E3D95" w:rsidRDefault="001E3D95" w:rsidP="001E3D95">
      <w:pPr>
        <w:ind w:left="576" w:hanging="576"/>
      </w:pPr>
      <w:r>
        <w:t xml:space="preserve">16. Maio S, </w:t>
      </w:r>
      <w:proofErr w:type="spellStart"/>
      <w:r>
        <w:t>Viegi</w:t>
      </w:r>
      <w:proofErr w:type="spellEnd"/>
      <w:r>
        <w:t xml:space="preserve"> G, Carrozzi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xml:space="preserve">) study design. COPD </w:t>
      </w:r>
      <w:proofErr w:type="gramStart"/>
      <w:r>
        <w:t>2010;7:32</w:t>
      </w:r>
      <w:proofErr w:type="gramEnd"/>
      <w:r>
        <w:t>–43.</w:t>
      </w:r>
    </w:p>
    <w:p w14:paraId="1A929A29" w14:textId="77777777" w:rsidR="001E3D95" w:rsidRDefault="001E3D95" w:rsidP="001E3D95">
      <w:pPr>
        <w:ind w:left="576" w:hanging="576"/>
      </w:pPr>
      <w:r w:rsidRPr="007B5F8B">
        <w:t xml:space="preserve">18. Lynch DA, Austin JH, Hogg JC, et al. </w:t>
      </w:r>
      <w:r>
        <w:t xml:space="preserve">CT-definable subtypes of chronic obstructive pulmonary disease: a statement of the Fleischner Society. Radiology </w:t>
      </w:r>
      <w:proofErr w:type="gramStart"/>
      <w:r>
        <w:t>2015;277:192</w:t>
      </w:r>
      <w:proofErr w:type="gramEnd"/>
      <w:r>
        <w:t>–205.</w:t>
      </w:r>
    </w:p>
    <w:p w14:paraId="0530C701" w14:textId="77777777" w:rsidR="001E3D95" w:rsidRPr="00B63197" w:rsidRDefault="001E3D95" w:rsidP="001E3D95">
      <w:pPr>
        <w:pStyle w:val="Heading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Strong"/>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Strong"/>
          <w:rFonts w:ascii="Arial" w:hAnsi="Arial" w:cs="Arial"/>
          <w:color w:val="000000" w:themeColor="text1"/>
          <w:sz w:val="22"/>
          <w:szCs w:val="22"/>
        </w:rPr>
        <w:t xml:space="preserve">Radiology </w:t>
      </w:r>
      <w:proofErr w:type="gramStart"/>
      <w:r w:rsidRPr="00B63197">
        <w:rPr>
          <w:rStyle w:val="Strong"/>
          <w:rFonts w:ascii="Arial" w:hAnsi="Arial" w:cs="Arial"/>
          <w:color w:val="000000" w:themeColor="text1"/>
          <w:sz w:val="22"/>
          <w:szCs w:val="22"/>
        </w:rPr>
        <w:t>2018;288:859</w:t>
      </w:r>
      <w:proofErr w:type="gramEnd"/>
      <w:r w:rsidRPr="00B63197">
        <w:rPr>
          <w:rStyle w:val="Strong"/>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Heading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r w:rsidRPr="007B5F8B">
        <w:rPr>
          <w:rFonts w:ascii="Arial" w:hAnsi="Arial" w:cs="Arial"/>
          <w:b w:val="0"/>
          <w:color w:val="000000" w:themeColor="text1"/>
          <w:sz w:val="22"/>
          <w:szCs w:val="22"/>
          <w:lang w:val="de-DE"/>
        </w:rPr>
        <w:t xml:space="preserve">Chronic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w:t>
      </w:r>
      <w:proofErr w:type="gramStart"/>
      <w:r w:rsidRPr="007B5F8B">
        <w:rPr>
          <w:rFonts w:ascii="Arial" w:hAnsi="Arial" w:cs="Arial"/>
          <w:b w:val="0"/>
          <w:color w:val="000000" w:themeColor="text1"/>
          <w:sz w:val="22"/>
          <w:szCs w:val="22"/>
          <w:lang w:val="de-DE"/>
        </w:rPr>
        <w:t>2019;6:400</w:t>
      </w:r>
      <w:proofErr w:type="gramEnd"/>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w:t>
      </w:r>
      <w:proofErr w:type="gramEnd"/>
      <w:r w:rsidRPr="00B63197">
        <w:rPr>
          <w:color w:val="000000" w:themeColor="text1"/>
        </w:rPr>
        <w:t>460–W470.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w:t>
      </w:r>
      <w:proofErr w:type="gramStart"/>
      <w:r w:rsidRPr="00B63197">
        <w:rPr>
          <w:color w:val="000000" w:themeColor="text1"/>
        </w:rPr>
        <w:t>2012;18:1711</w:t>
      </w:r>
      <w:proofErr w:type="gramEnd"/>
      <w:r w:rsidRPr="00B63197">
        <w:rPr>
          <w:color w:val="000000" w:themeColor="text1"/>
        </w:rPr>
        <w:t>–1715.</w:t>
      </w:r>
    </w:p>
    <w:p w14:paraId="37AFE3A7" w14:textId="77777777" w:rsidR="001E3D95" w:rsidRPr="00B63197" w:rsidRDefault="001E3D95" w:rsidP="001E3D95">
      <w:pPr>
        <w:pStyle w:val="CommentText"/>
        <w:rPr>
          <w:color w:val="000000" w:themeColor="text1"/>
          <w:sz w:val="22"/>
          <w:szCs w:val="22"/>
        </w:rPr>
      </w:pPr>
      <w:r w:rsidRPr="007B5F8B">
        <w:rPr>
          <w:color w:val="000000" w:themeColor="text1"/>
          <w:sz w:val="22"/>
          <w:szCs w:val="22"/>
        </w:rPr>
        <w:t xml:space="preserve">23. </w:t>
      </w:r>
      <w:r w:rsidRPr="007B5F8B">
        <w:rPr>
          <w:rStyle w:val="Strong"/>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mphasis"/>
          <w:i w:val="0"/>
          <w:color w:val="000000" w:themeColor="text1"/>
          <w:sz w:val="22"/>
          <w:szCs w:val="22"/>
        </w:rPr>
        <w:t xml:space="preserve">Stat </w:t>
      </w:r>
      <w:r w:rsidRPr="00B63197">
        <w:rPr>
          <w:rStyle w:val="Emphasis"/>
          <w:i w:val="0"/>
          <w:color w:val="000000" w:themeColor="text1"/>
          <w:sz w:val="22"/>
          <w:szCs w:val="22"/>
        </w:rPr>
        <w:tab/>
        <w:t>Med</w:t>
      </w:r>
      <w:r w:rsidRPr="00B63197">
        <w:rPr>
          <w:color w:val="000000" w:themeColor="text1"/>
          <w:sz w:val="22"/>
          <w:szCs w:val="22"/>
        </w:rPr>
        <w:t xml:space="preserve"> </w:t>
      </w:r>
      <w:proofErr w:type="gramStart"/>
      <w:r w:rsidRPr="00B63197">
        <w:rPr>
          <w:color w:val="000000" w:themeColor="text1"/>
          <w:sz w:val="22"/>
          <w:szCs w:val="22"/>
        </w:rPr>
        <w:t>1996;15:361</w:t>
      </w:r>
      <w:proofErr w:type="gramEnd"/>
      <w:r w:rsidRPr="00B63197">
        <w:rPr>
          <w:color w:val="000000" w:themeColor="text1"/>
          <w:sz w:val="22"/>
          <w:szCs w:val="22"/>
        </w:rPr>
        <w:t>-387.</w:t>
      </w:r>
    </w:p>
    <w:p w14:paraId="71BD5029" w14:textId="77777777" w:rsidR="001E3D95" w:rsidRPr="00B63197" w:rsidRDefault="001E3D95" w:rsidP="001E3D95">
      <w:pPr>
        <w:pStyle w:val="CommentText"/>
        <w:rPr>
          <w:color w:val="000000" w:themeColor="text1"/>
          <w:sz w:val="22"/>
          <w:szCs w:val="22"/>
        </w:rPr>
      </w:pPr>
      <w:r w:rsidRPr="00B63197">
        <w:rPr>
          <w:color w:val="000000" w:themeColor="text1"/>
          <w:sz w:val="22"/>
          <w:szCs w:val="22"/>
        </w:rPr>
        <w:t xml:space="preserve">24. </w:t>
      </w:r>
      <w:proofErr w:type="spellStart"/>
      <w:r w:rsidRPr="00B63197">
        <w:rPr>
          <w:rStyle w:val="Strong"/>
          <w:b w:val="0"/>
          <w:color w:val="000000" w:themeColor="text1"/>
          <w:sz w:val="22"/>
          <w:szCs w:val="22"/>
        </w:rPr>
        <w:t>Schuirmann</w:t>
      </w:r>
      <w:proofErr w:type="spellEnd"/>
      <w:r w:rsidRPr="00B63197">
        <w:rPr>
          <w:rStyle w:val="Strong"/>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mphasis"/>
          <w:color w:val="000000" w:themeColor="text1"/>
          <w:sz w:val="22"/>
          <w:szCs w:val="22"/>
        </w:rPr>
        <w:t xml:space="preserve">J </w:t>
      </w:r>
      <w:proofErr w:type="spellStart"/>
      <w:r w:rsidRPr="00B63197">
        <w:rPr>
          <w:rStyle w:val="Emphasis"/>
          <w:color w:val="000000" w:themeColor="text1"/>
          <w:sz w:val="22"/>
          <w:szCs w:val="22"/>
        </w:rPr>
        <w:t>Pharmacokinet</w:t>
      </w:r>
      <w:proofErr w:type="spellEnd"/>
      <w:r w:rsidRPr="00B63197">
        <w:rPr>
          <w:rStyle w:val="Emphasis"/>
          <w:color w:val="000000" w:themeColor="text1"/>
          <w:sz w:val="22"/>
          <w:szCs w:val="22"/>
        </w:rPr>
        <w:t xml:space="preserve"> </w:t>
      </w:r>
      <w:r w:rsidRPr="00B63197">
        <w:rPr>
          <w:rStyle w:val="Emphasis"/>
          <w:color w:val="000000" w:themeColor="text1"/>
          <w:sz w:val="22"/>
          <w:szCs w:val="22"/>
        </w:rPr>
        <w:tab/>
      </w:r>
      <w:proofErr w:type="spellStart"/>
      <w:r w:rsidRPr="00B63197">
        <w:rPr>
          <w:rStyle w:val="Emphasis"/>
          <w:color w:val="000000" w:themeColor="text1"/>
          <w:sz w:val="22"/>
          <w:szCs w:val="22"/>
        </w:rPr>
        <w:t>Biopharm</w:t>
      </w:r>
      <w:proofErr w:type="spellEnd"/>
      <w:r w:rsidRPr="00B63197">
        <w:rPr>
          <w:rStyle w:val="Emphasis"/>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1967;22:395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w:t>
      </w:r>
      <w:proofErr w:type="gramStart"/>
      <w:r w:rsidRPr="00B63197">
        <w:rPr>
          <w:color w:val="000000" w:themeColor="text1"/>
        </w:rPr>
        <w:t>1976;69:51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2015;118:796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Povero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Respir Med </w:t>
      </w:r>
      <w:proofErr w:type="gramStart"/>
      <w:r w:rsidRPr="00B63197">
        <w:rPr>
          <w:color w:val="000000" w:themeColor="text1"/>
        </w:rPr>
        <w:t>2024;14:01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 xml:space="preserve">29. Albert P, Agusti A, Edwards L, et al. Bronchodilator responsiveness as a phenotypic characteristic of established chronic obstructive pulmonary disease. Thorax </w:t>
      </w:r>
      <w:proofErr w:type="gramStart"/>
      <w:r w:rsidRPr="00B63197">
        <w:rPr>
          <w:color w:val="000000" w:themeColor="text1"/>
        </w:rPr>
        <w:t>2012;67:701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Soc </w:t>
      </w:r>
      <w:proofErr w:type="gramStart"/>
      <w:r w:rsidRPr="00B63197">
        <w:rPr>
          <w:color w:val="000000" w:themeColor="text1"/>
        </w:rPr>
        <w:t>2014;11:898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 xml:space="preserve">JAMA Intern Med </w:t>
      </w:r>
      <w:proofErr w:type="gramStart"/>
      <w:r w:rsidRPr="00B63197">
        <w:rPr>
          <w:color w:val="000000" w:themeColor="text1"/>
          <w:lang w:val="de-DE"/>
        </w:rPr>
        <w:t>2015;175:1539</w:t>
      </w:r>
      <w:proofErr w:type="gramEnd"/>
      <w:r w:rsidRPr="00B63197">
        <w:rPr>
          <w:color w:val="000000" w:themeColor="text1"/>
          <w:lang w:val="de-DE"/>
        </w:rPr>
        <w:t>-1549.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 xml:space="preserve">Clinical significance of symptoms in smokers with preserved pulmonary function. N Engl J Med </w:t>
      </w:r>
      <w:proofErr w:type="gramStart"/>
      <w:r w:rsidRPr="00B63197">
        <w:rPr>
          <w:color w:val="000000" w:themeColor="text1"/>
        </w:rPr>
        <w:t>2016;374:1811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 xml:space="preserve">33. Fortis S, Strand M, Bhatt SP, et al. Respiratory exacerbations and lung function decline in people with smoking history and normal spirometry. Am J Respir Crit Care Med </w:t>
      </w:r>
      <w:proofErr w:type="gramStart"/>
      <w:r w:rsidRPr="00B63197">
        <w:rPr>
          <w:color w:val="000000" w:themeColor="text1"/>
        </w:rPr>
        <w:t>2025;211:957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Abdo M, Reck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Respir J </w:t>
      </w:r>
      <w:proofErr w:type="gramStart"/>
      <w:r w:rsidRPr="00B63197">
        <w:rPr>
          <w:color w:val="000000" w:themeColor="text1"/>
        </w:rPr>
        <w:t>2026;67:2900306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Heading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Heading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(COPD-minor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TableGrid"/>
        <w:tblW w:w="0" w:type="auto"/>
        <w:jc w:val="center"/>
        <w:tblLook w:val="04A0" w:firstRow="1" w:lastRow="0" w:firstColumn="1" w:lastColumn="0" w:noHBand="0" w:noVBand="1"/>
      </w:tblPr>
      <w:tblGrid>
        <w:gridCol w:w="2086"/>
        <w:gridCol w:w="1582"/>
        <w:gridCol w:w="2227"/>
        <w:gridCol w:w="2227"/>
        <w:gridCol w:w="1222"/>
      </w:tblGrid>
      <w:tr w:rsidR="00266B86" w14:paraId="525E2EA7" w14:textId="77777777">
        <w:trP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7598E6B7" w14:textId="77777777" w:rsidR="00266B86" w:rsidRDefault="00960EEA">
            <w:r>
              <w:rPr>
                <w:b/>
              </w:rPr>
              <w:t>Outcome (metric)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05D7F90A" w14:textId="77777777" w:rsidR="00266B86" w:rsidRDefault="00960EEA">
            <w:r>
              <w:rPr>
                <w:b/>
              </w:rPr>
              <w:t>Category</w:t>
            </w:r>
          </w:p>
        </w:tc>
        <w:tc>
          <w:tcPr>
            <w:tcW w:w="2232" w:type="dxa"/>
            <w:tcBorders>
              <w:top w:val="single" w:sz="6" w:space="0" w:color="000000"/>
              <w:left w:val="single" w:sz="6" w:space="0" w:color="000000"/>
              <w:bottom w:val="single" w:sz="6" w:space="0" w:color="000000"/>
              <w:right w:val="single" w:sz="6" w:space="0" w:color="000000"/>
            </w:tcBorders>
            <w:vAlign w:val="center"/>
          </w:tcPr>
          <w:p w14:paraId="4979A02A" w14:textId="77777777" w:rsidR="00266B86" w:rsidRDefault="00960EEA">
            <w:r>
              <w:rPr>
                <w:b/>
              </w:rPr>
              <w:t>CT-based (95% CI)</w:t>
            </w:r>
          </w:p>
        </w:tc>
        <w:tc>
          <w:tcPr>
            <w:tcW w:w="2232" w:type="dxa"/>
            <w:tcBorders>
              <w:top w:val="single" w:sz="6" w:space="0" w:color="000000"/>
              <w:left w:val="single" w:sz="6" w:space="0" w:color="000000"/>
              <w:bottom w:val="single" w:sz="6" w:space="0" w:color="000000"/>
              <w:right w:val="single" w:sz="6" w:space="0" w:color="000000"/>
            </w:tcBorders>
            <w:vAlign w:val="center"/>
          </w:tcPr>
          <w:p w14:paraId="5A02598D" w14:textId="77777777" w:rsidR="00266B86" w:rsidRDefault="00960EEA">
            <w:r>
              <w:rPr>
                <w:b/>
              </w:rPr>
              <w:t>ESI-based (95% CI)</w:t>
            </w:r>
          </w:p>
        </w:tc>
        <w:tc>
          <w:tcPr>
            <w:tcW w:w="1224" w:type="dxa"/>
            <w:tcBorders>
              <w:top w:val="single" w:sz="6" w:space="0" w:color="000000"/>
              <w:left w:val="single" w:sz="6" w:space="0" w:color="000000"/>
              <w:bottom w:val="single" w:sz="6" w:space="0" w:color="000000"/>
              <w:right w:val="single" w:sz="6" w:space="0" w:color="000000"/>
            </w:tcBorders>
            <w:vAlign w:val="center"/>
          </w:tcPr>
          <w:p w14:paraId="27325E73" w14:textId="77777777" w:rsidR="00266B86" w:rsidRDefault="00960EEA">
            <w:r>
              <w:rPr>
                <w:b/>
              </w:rPr>
              <w:t>CT vs ESI (p)</w:t>
            </w:r>
          </w:p>
        </w:tc>
      </w:tr>
      <w:tr w:rsidR="00266B86" w14:paraId="39F85C63"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230A473" w14:textId="77777777" w:rsidR="00266B86" w:rsidRDefault="00960EEA">
            <w:r>
              <w:rPr>
                <w:sz w:val="20"/>
              </w:rPr>
              <w:t>All-cause mortality (HR)</w:t>
            </w:r>
          </w:p>
        </w:tc>
        <w:tc>
          <w:tcPr>
            <w:tcW w:w="1584" w:type="dxa"/>
            <w:tcBorders>
              <w:top w:val="single" w:sz="6" w:space="0" w:color="000000"/>
              <w:left w:val="single" w:sz="6" w:space="0" w:color="000000"/>
              <w:bottom w:val="single" w:sz="6" w:space="0" w:color="000000"/>
              <w:right w:val="single" w:sz="6" w:space="0" w:color="000000"/>
            </w:tcBorders>
          </w:tcPr>
          <w:p w14:paraId="1F2172D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613FA29C" w14:textId="77777777" w:rsidR="00266B86" w:rsidRDefault="00960EEA">
            <w:r>
              <w:rPr>
                <w:sz w:val="20"/>
              </w:rPr>
              <w:t>1.91 (1.64–2.22)</w:t>
            </w:r>
          </w:p>
        </w:tc>
        <w:tc>
          <w:tcPr>
            <w:tcW w:w="2232" w:type="dxa"/>
            <w:tcBorders>
              <w:top w:val="single" w:sz="6" w:space="0" w:color="000000"/>
              <w:left w:val="single" w:sz="6" w:space="0" w:color="000000"/>
              <w:bottom w:val="single" w:sz="6" w:space="0" w:color="000000"/>
              <w:right w:val="single" w:sz="6" w:space="0" w:color="000000"/>
            </w:tcBorders>
          </w:tcPr>
          <w:p w14:paraId="614E18DB" w14:textId="77777777" w:rsidR="00266B86" w:rsidRDefault="00960EEA">
            <w:r>
              <w:rPr>
                <w:sz w:val="20"/>
              </w:rPr>
              <w:t>1.94 (1.63–2.32)</w:t>
            </w:r>
          </w:p>
        </w:tc>
        <w:tc>
          <w:tcPr>
            <w:tcW w:w="1224" w:type="dxa"/>
            <w:tcBorders>
              <w:top w:val="single" w:sz="6" w:space="0" w:color="000000"/>
              <w:left w:val="single" w:sz="6" w:space="0" w:color="000000"/>
              <w:bottom w:val="single" w:sz="6" w:space="0" w:color="000000"/>
              <w:right w:val="single" w:sz="6" w:space="0" w:color="000000"/>
            </w:tcBorders>
          </w:tcPr>
          <w:p w14:paraId="0C1C6FC4" w14:textId="77777777" w:rsidR="00266B86" w:rsidRDefault="00960EEA">
            <w:r>
              <w:rPr>
                <w:sz w:val="20"/>
              </w:rPr>
              <w:t>0.85</w:t>
            </w:r>
          </w:p>
        </w:tc>
      </w:tr>
      <w:tr w:rsidR="00266B86" w14:paraId="050B4317" w14:textId="77777777">
        <w:trPr>
          <w:jc w:val="center"/>
        </w:trPr>
        <w:tc>
          <w:tcPr>
            <w:tcW w:w="2088" w:type="dxa"/>
            <w:vMerge/>
            <w:tcBorders>
              <w:top w:val="nil"/>
              <w:left w:val="single" w:sz="6" w:space="0" w:color="000000"/>
              <w:bottom w:val="single" w:sz="6" w:space="0" w:color="000000"/>
              <w:right w:val="single" w:sz="6" w:space="0" w:color="000000"/>
            </w:tcBorders>
          </w:tcPr>
          <w:p w14:paraId="07FD25E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15A48E0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4EA4EDB" w14:textId="77777777" w:rsidR="00266B86" w:rsidRDefault="00960EEA">
            <w:r>
              <w:rPr>
                <w:sz w:val="20"/>
              </w:rPr>
              <w:t>2.59 (2.35–2.86)</w:t>
            </w:r>
          </w:p>
        </w:tc>
        <w:tc>
          <w:tcPr>
            <w:tcW w:w="2232" w:type="dxa"/>
            <w:tcBorders>
              <w:top w:val="single" w:sz="6" w:space="0" w:color="000000"/>
              <w:left w:val="single" w:sz="6" w:space="0" w:color="000000"/>
              <w:bottom w:val="single" w:sz="6" w:space="0" w:color="000000"/>
              <w:right w:val="single" w:sz="6" w:space="0" w:color="000000"/>
            </w:tcBorders>
          </w:tcPr>
          <w:p w14:paraId="0BE00200" w14:textId="77777777" w:rsidR="00266B86" w:rsidRDefault="00960EEA">
            <w:r>
              <w:rPr>
                <w:sz w:val="20"/>
              </w:rPr>
              <w:t>2.39 (2.18–2.63)</w:t>
            </w:r>
          </w:p>
        </w:tc>
        <w:tc>
          <w:tcPr>
            <w:tcW w:w="1224" w:type="dxa"/>
            <w:tcBorders>
              <w:top w:val="single" w:sz="6" w:space="0" w:color="000000"/>
              <w:left w:val="single" w:sz="6" w:space="0" w:color="000000"/>
              <w:bottom w:val="single" w:sz="6" w:space="0" w:color="000000"/>
              <w:right w:val="single" w:sz="6" w:space="0" w:color="000000"/>
            </w:tcBorders>
          </w:tcPr>
          <w:p w14:paraId="2BB976B2" w14:textId="77777777" w:rsidR="00266B86" w:rsidRDefault="00960EEA">
            <w:r>
              <w:rPr>
                <w:sz w:val="20"/>
              </w:rPr>
              <w:t>&lt;0.002</w:t>
            </w:r>
          </w:p>
        </w:tc>
      </w:tr>
      <w:tr w:rsidR="00266B86" w14:paraId="0079C3D5"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1C197438" w14:textId="77777777" w:rsidR="00266B86" w:rsidRDefault="00960EEA">
            <w:r>
              <w:rPr>
                <w:sz w:val="20"/>
              </w:rPr>
              <w:t>Respiratory mortality (HR)</w:t>
            </w:r>
          </w:p>
        </w:tc>
        <w:tc>
          <w:tcPr>
            <w:tcW w:w="1584" w:type="dxa"/>
            <w:tcBorders>
              <w:top w:val="single" w:sz="6" w:space="0" w:color="000000"/>
              <w:left w:val="single" w:sz="6" w:space="0" w:color="000000"/>
              <w:bottom w:val="single" w:sz="6" w:space="0" w:color="000000"/>
              <w:right w:val="single" w:sz="6" w:space="0" w:color="000000"/>
            </w:tcBorders>
          </w:tcPr>
          <w:p w14:paraId="178C37ED"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794A3FAF" w14:textId="77777777" w:rsidR="00266B86" w:rsidRDefault="00960EEA">
            <w:r>
              <w:rPr>
                <w:sz w:val="20"/>
              </w:rPr>
              <w:t>4.80 (2.14–10.76)</w:t>
            </w:r>
          </w:p>
        </w:tc>
        <w:tc>
          <w:tcPr>
            <w:tcW w:w="2232" w:type="dxa"/>
            <w:tcBorders>
              <w:top w:val="single" w:sz="6" w:space="0" w:color="000000"/>
              <w:left w:val="single" w:sz="6" w:space="0" w:color="000000"/>
              <w:bottom w:val="single" w:sz="6" w:space="0" w:color="000000"/>
              <w:right w:val="single" w:sz="6" w:space="0" w:color="000000"/>
            </w:tcBorders>
          </w:tcPr>
          <w:p w14:paraId="307A0C72" w14:textId="77777777" w:rsidR="00266B86" w:rsidRDefault="00960EEA">
            <w:r>
              <w:rPr>
                <w:sz w:val="20"/>
              </w:rPr>
              <w:t>5.68 (2.43–13.32)</w:t>
            </w:r>
          </w:p>
        </w:tc>
        <w:tc>
          <w:tcPr>
            <w:tcW w:w="1224" w:type="dxa"/>
            <w:tcBorders>
              <w:top w:val="single" w:sz="6" w:space="0" w:color="000000"/>
              <w:left w:val="single" w:sz="6" w:space="0" w:color="000000"/>
              <w:bottom w:val="single" w:sz="6" w:space="0" w:color="000000"/>
              <w:right w:val="single" w:sz="6" w:space="0" w:color="000000"/>
            </w:tcBorders>
          </w:tcPr>
          <w:p w14:paraId="553C2C3B" w14:textId="77777777" w:rsidR="00266B86" w:rsidRDefault="00960EEA">
            <w:r>
              <w:rPr>
                <w:sz w:val="20"/>
              </w:rPr>
              <w:t>0.70</w:t>
            </w:r>
          </w:p>
        </w:tc>
      </w:tr>
      <w:tr w:rsidR="00266B86" w14:paraId="11DDB199" w14:textId="77777777">
        <w:trPr>
          <w:jc w:val="center"/>
        </w:trPr>
        <w:tc>
          <w:tcPr>
            <w:tcW w:w="2088" w:type="dxa"/>
            <w:vMerge/>
            <w:tcBorders>
              <w:top w:val="nil"/>
              <w:left w:val="single" w:sz="6" w:space="0" w:color="000000"/>
              <w:bottom w:val="single" w:sz="6" w:space="0" w:color="000000"/>
              <w:right w:val="single" w:sz="6" w:space="0" w:color="000000"/>
            </w:tcBorders>
          </w:tcPr>
          <w:p w14:paraId="5A5A612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584EC7E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158A676" w14:textId="77777777" w:rsidR="00266B86" w:rsidRDefault="00960EEA">
            <w:r>
              <w:rPr>
                <w:sz w:val="20"/>
              </w:rPr>
              <w:t>36.27 (20.85–63.07)</w:t>
            </w:r>
          </w:p>
        </w:tc>
        <w:tc>
          <w:tcPr>
            <w:tcW w:w="2232" w:type="dxa"/>
            <w:tcBorders>
              <w:top w:val="single" w:sz="6" w:space="0" w:color="000000"/>
              <w:left w:val="single" w:sz="6" w:space="0" w:color="000000"/>
              <w:bottom w:val="single" w:sz="6" w:space="0" w:color="000000"/>
              <w:right w:val="single" w:sz="6" w:space="0" w:color="000000"/>
            </w:tcBorders>
          </w:tcPr>
          <w:p w14:paraId="20F6F521" w14:textId="77777777" w:rsidR="00266B86" w:rsidRDefault="00960EEA">
            <w:r>
              <w:rPr>
                <w:sz w:val="20"/>
              </w:rPr>
              <w:t>30.95 (18.76–51.06)</w:t>
            </w:r>
          </w:p>
        </w:tc>
        <w:tc>
          <w:tcPr>
            <w:tcW w:w="1224" w:type="dxa"/>
            <w:tcBorders>
              <w:top w:val="single" w:sz="6" w:space="0" w:color="000000"/>
              <w:left w:val="single" w:sz="6" w:space="0" w:color="000000"/>
              <w:bottom w:val="single" w:sz="6" w:space="0" w:color="000000"/>
              <w:right w:val="single" w:sz="6" w:space="0" w:color="000000"/>
            </w:tcBorders>
          </w:tcPr>
          <w:p w14:paraId="3D26BAEC" w14:textId="77777777" w:rsidR="00266B86" w:rsidRDefault="00960EEA">
            <w:r>
              <w:rPr>
                <w:sz w:val="20"/>
              </w:rPr>
              <w:t>0.29</w:t>
            </w:r>
          </w:p>
        </w:tc>
      </w:tr>
      <w:tr w:rsidR="00266B86" w14:paraId="40EBE454"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0F30776" w14:textId="77777777" w:rsidR="00266B86" w:rsidRDefault="00960EEA">
            <w:r>
              <w:rPr>
                <w:sz w:val="20"/>
              </w:rPr>
              <w:t>Exacerbations (IRR)</w:t>
            </w:r>
          </w:p>
        </w:tc>
        <w:tc>
          <w:tcPr>
            <w:tcW w:w="1584" w:type="dxa"/>
            <w:tcBorders>
              <w:top w:val="single" w:sz="6" w:space="0" w:color="000000"/>
              <w:left w:val="single" w:sz="6" w:space="0" w:color="000000"/>
              <w:bottom w:val="single" w:sz="6" w:space="0" w:color="000000"/>
              <w:right w:val="single" w:sz="6" w:space="0" w:color="000000"/>
            </w:tcBorders>
          </w:tcPr>
          <w:p w14:paraId="0671FB4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5DC1C296" w14:textId="77777777" w:rsidR="00266B86" w:rsidRDefault="00960EEA">
            <w:r>
              <w:rPr>
                <w:sz w:val="20"/>
              </w:rPr>
              <w:t>2.72 (2.36–3.14)</w:t>
            </w:r>
          </w:p>
        </w:tc>
        <w:tc>
          <w:tcPr>
            <w:tcW w:w="2232" w:type="dxa"/>
            <w:tcBorders>
              <w:top w:val="single" w:sz="6" w:space="0" w:color="000000"/>
              <w:left w:val="single" w:sz="6" w:space="0" w:color="000000"/>
              <w:bottom w:val="single" w:sz="6" w:space="0" w:color="000000"/>
              <w:right w:val="single" w:sz="6" w:space="0" w:color="000000"/>
            </w:tcBorders>
          </w:tcPr>
          <w:p w14:paraId="6D52DA21" w14:textId="77777777" w:rsidR="00266B86" w:rsidRDefault="00960EEA">
            <w:r>
              <w:rPr>
                <w:sz w:val="20"/>
              </w:rPr>
              <w:t>2.77 (2.33–3.30)</w:t>
            </w:r>
          </w:p>
        </w:tc>
        <w:tc>
          <w:tcPr>
            <w:tcW w:w="1224" w:type="dxa"/>
            <w:tcBorders>
              <w:top w:val="single" w:sz="6" w:space="0" w:color="000000"/>
              <w:left w:val="single" w:sz="6" w:space="0" w:color="000000"/>
              <w:bottom w:val="single" w:sz="6" w:space="0" w:color="000000"/>
              <w:right w:val="single" w:sz="6" w:space="0" w:color="000000"/>
            </w:tcBorders>
          </w:tcPr>
          <w:p w14:paraId="1E872039" w14:textId="77777777" w:rsidR="00266B86" w:rsidRDefault="00960EEA">
            <w:r>
              <w:rPr>
                <w:sz w:val="20"/>
              </w:rPr>
              <w:t>0.80</w:t>
            </w:r>
          </w:p>
        </w:tc>
      </w:tr>
      <w:tr w:rsidR="00266B86" w14:paraId="7672777F" w14:textId="77777777">
        <w:trPr>
          <w:jc w:val="center"/>
        </w:trPr>
        <w:tc>
          <w:tcPr>
            <w:tcW w:w="2088" w:type="dxa"/>
            <w:vMerge/>
            <w:tcBorders>
              <w:top w:val="nil"/>
              <w:left w:val="single" w:sz="6" w:space="0" w:color="000000"/>
              <w:bottom w:val="single" w:sz="6" w:space="0" w:color="000000"/>
              <w:right w:val="single" w:sz="6" w:space="0" w:color="000000"/>
            </w:tcBorders>
          </w:tcPr>
          <w:p w14:paraId="34A33824"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74AD9DCF"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438BFB25" w14:textId="77777777" w:rsidR="00266B86" w:rsidRDefault="00960EEA">
            <w:r>
              <w:rPr>
                <w:sz w:val="20"/>
              </w:rPr>
              <w:t>5.05 (4.59–5.56)</w:t>
            </w:r>
          </w:p>
        </w:tc>
        <w:tc>
          <w:tcPr>
            <w:tcW w:w="2232" w:type="dxa"/>
            <w:tcBorders>
              <w:top w:val="single" w:sz="6" w:space="0" w:color="000000"/>
              <w:left w:val="single" w:sz="6" w:space="0" w:color="000000"/>
              <w:bottom w:val="single" w:sz="6" w:space="0" w:color="000000"/>
              <w:right w:val="single" w:sz="6" w:space="0" w:color="000000"/>
            </w:tcBorders>
          </w:tcPr>
          <w:p w14:paraId="6C2E9853" w14:textId="77777777" w:rsidR="00266B86" w:rsidRDefault="00960EEA">
            <w:r>
              <w:rPr>
                <w:sz w:val="20"/>
              </w:rPr>
              <w:t>4.47 (4.07–4.90)</w:t>
            </w:r>
          </w:p>
        </w:tc>
        <w:tc>
          <w:tcPr>
            <w:tcW w:w="1224" w:type="dxa"/>
            <w:tcBorders>
              <w:top w:val="single" w:sz="6" w:space="0" w:color="000000"/>
              <w:left w:val="single" w:sz="6" w:space="0" w:color="000000"/>
              <w:bottom w:val="single" w:sz="6" w:space="0" w:color="000000"/>
              <w:right w:val="single" w:sz="6" w:space="0" w:color="000000"/>
            </w:tcBorders>
          </w:tcPr>
          <w:p w14:paraId="529698D8" w14:textId="77777777" w:rsidR="00266B86" w:rsidRDefault="00960EEA">
            <w:r>
              <w:rPr>
                <w:sz w:val="20"/>
              </w:rPr>
              <w:t>&lt;0.002</w:t>
            </w:r>
          </w:p>
        </w:tc>
      </w:tr>
    </w:tbl>
    <w:p w14:paraId="205F4BF5" w14:textId="089642C5" w:rsidR="00266B86" w:rsidRPr="006741AD" w:rsidRDefault="00960EEA">
      <w:pPr>
        <w:rPr>
          <w:bCs/>
        </w:rPr>
      </w:pPr>
      <w:bookmarkStart w:id="0" w:name="tbl_1"/>
      <w:bookmarkEnd w:id="0"/>
      <w:r>
        <w:rPr>
          <w:b/>
          <w:sz w:val="20"/>
        </w:rPr>
        <w:t xml:space="preserve">Table 1. Associations of MD-COPD diagnostic categories with mortality and exacerbation outcomes under the CT-based and ESI-based frameworks. </w:t>
      </w:r>
      <w:r w:rsidRPr="006741AD">
        <w:rPr>
          <w:bCs/>
          <w:sz w:val="20"/>
        </w:rPr>
        <w:t xml:space="preserve">Cox proportional hazards (mortality) and negative binomial (exacerbations) models estimate the hazard ratio (HR) or incidence-rate ratio (IRR) for each MD-COPD category relative to the </w:t>
      </w:r>
      <w:proofErr w:type="spellStart"/>
      <w:r w:rsidRPr="006741AD">
        <w:rPr>
          <w:bCs/>
          <w:sz w:val="20"/>
        </w:rPr>
        <w:t>noCOPD</w:t>
      </w:r>
      <w:proofErr w:type="spellEnd"/>
      <w:r w:rsidRPr="006741AD">
        <w:rPr>
          <w:bCs/>
          <w:sz w:val="20"/>
        </w:rPr>
        <w:t xml:space="preserve"> reference. Adjustment covariates are age, sex, race, current smoking status, pack-years, and body mass index; 95% confidence intervals are shown. The CT vs ESI column reports a </w:t>
      </w:r>
      <w:r w:rsidR="00D02B1C" w:rsidRPr="006741AD">
        <w:rPr>
          <w:bCs/>
          <w:sz w:val="20"/>
        </w:rPr>
        <w:t>two-sided</w:t>
      </w:r>
      <w:r w:rsidRPr="006741AD">
        <w:rPr>
          <w:bCs/>
          <w:sz w:val="20"/>
        </w:rPr>
        <w:t xml:space="preserve"> p-value for the difference in effect estimate between the CT-based and ESI-based framework fits for the same category (see Methods). Per category effect difference details are reported in Supplemental Table 2. The AFL-only-</w:t>
      </w:r>
      <w:proofErr w:type="spellStart"/>
      <w:r w:rsidRPr="006741AD">
        <w:rPr>
          <w:bCs/>
          <w:sz w:val="20"/>
        </w:rPr>
        <w:t>noCOPD</w:t>
      </w:r>
      <w:proofErr w:type="spellEnd"/>
      <w:r w:rsidRPr="006741AD">
        <w:rPr>
          <w:bCs/>
          <w:sz w:val="20"/>
        </w:rPr>
        <w:t xml:space="preserve"> category was omitted from this display because it was not significantly associated with any of the three outcomes. Abbreviations: CT, computed tomography; ESI, Emphysema Severity Index; HR, hazard ratio; IRR, incidence-rate ratio; CI, confidence interval; BMI, body mass index; AFL, airflow limitation; COPD, chronic obstructive pulmonary disease.</w:t>
      </w:r>
    </w:p>
    <w:p w14:paraId="1AD3202A" w14:textId="35C244B8" w:rsidR="00E757CA" w:rsidRDefault="00E757CA"/>
    <w:tbl>
      <w:tblPr>
        <w:tblStyle w:val="TableGrid"/>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085B729" w14:textId="77777777" w:rsidR="00DD5950" w:rsidRDefault="00960EEA">
            <w:r>
              <w:rPr>
                <w:b/>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14:paraId="1CDDD2D8" w14:textId="77777777" w:rsidR="00DD5950" w:rsidRDefault="00960EEA">
            <w:r>
              <w:rPr>
                <w:b/>
              </w:rPr>
              <w:t>All-cause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04EE5761" w14:textId="77777777" w:rsidR="00DD5950" w:rsidRDefault="00960EEA">
            <w:r>
              <w:rPr>
                <w:b/>
              </w:rPr>
              <w:t>Respiratory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469ACC7A" w14:textId="77777777" w:rsidR="00DD5950" w:rsidRDefault="00960EEA">
            <w:r>
              <w:rPr>
                <w:b/>
              </w:rPr>
              <w:t>Exacerbation IRR (95% CI)</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7DF0FAF4" w14:textId="77777777" w:rsidR="00DD5950" w:rsidRDefault="00960EEA">
            <w:r>
              <w:rPr>
                <w:sz w:val="20"/>
              </w:rPr>
              <w:t>Both-</w:t>
            </w:r>
            <w:proofErr w:type="spellStart"/>
            <w:r>
              <w:rPr>
                <w:sz w:val="20"/>
              </w:rPr>
              <w:t>noCOPD</w:t>
            </w:r>
            <w:proofErr w:type="spellEnd"/>
          </w:p>
        </w:tc>
        <w:tc>
          <w:tcPr>
            <w:tcW w:w="2304" w:type="dxa"/>
            <w:tcBorders>
              <w:top w:val="single" w:sz="6" w:space="0" w:color="000000"/>
              <w:left w:val="single" w:sz="6" w:space="0" w:color="000000"/>
              <w:bottom w:val="single" w:sz="6" w:space="0" w:color="000000"/>
              <w:right w:val="single" w:sz="6" w:space="0" w:color="000000"/>
            </w:tcBorders>
          </w:tcPr>
          <w:p w14:paraId="29AADAC1"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1A96D976"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282131F3" w14:textId="77777777" w:rsidR="00DD5950" w:rsidRDefault="00960EEA">
            <w:r>
              <w:rPr>
                <w:sz w:val="20"/>
              </w:rPr>
              <w:t>Reference</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9F30D7" w14:textId="77777777" w:rsidR="00DD5950" w:rsidRDefault="00960EEA">
            <w:r>
              <w:rPr>
                <w:sz w:val="20"/>
              </w:rPr>
              <w:t>CT-only-COPD</w:t>
            </w:r>
          </w:p>
        </w:tc>
        <w:tc>
          <w:tcPr>
            <w:tcW w:w="2304" w:type="dxa"/>
            <w:tcBorders>
              <w:top w:val="single" w:sz="6" w:space="0" w:color="000000"/>
              <w:left w:val="single" w:sz="6" w:space="0" w:color="000000"/>
              <w:bottom w:val="single" w:sz="6" w:space="0" w:color="000000"/>
              <w:right w:val="single" w:sz="6" w:space="0" w:color="000000"/>
            </w:tcBorders>
          </w:tcPr>
          <w:p w14:paraId="3A7A52F9" w14:textId="77777777" w:rsidR="00DD5950" w:rsidRDefault="00960EEA">
            <w:r>
              <w:rPr>
                <w:sz w:val="20"/>
              </w:rPr>
              <w:t>1.53 (1.25–1.</w:t>
            </w:r>
            <w:proofErr w:type="gramStart"/>
            <w:r>
              <w:rPr>
                <w:sz w:val="20"/>
              </w:rPr>
              <w:t>88)ᵃ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01CE0037" w14:textId="77777777" w:rsidR="00DD5950" w:rsidRDefault="00960EEA">
            <w:r>
              <w:rPr>
                <w:sz w:val="20"/>
              </w:rPr>
              <w:t>2.90 (0.91–9.</w:t>
            </w:r>
            <w:proofErr w:type="gramStart"/>
            <w:r>
              <w:rPr>
                <w:sz w:val="20"/>
              </w:rPr>
              <w:t>28)ᵃ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56EAE4B8" w14:textId="77777777" w:rsidR="00DD5950" w:rsidRDefault="00960EEA">
            <w:r>
              <w:rPr>
                <w:sz w:val="20"/>
              </w:rPr>
              <w:t>2.00 (1.60–2.</w:t>
            </w:r>
            <w:proofErr w:type="gramStart"/>
            <w:r>
              <w:rPr>
                <w:sz w:val="20"/>
              </w:rPr>
              <w:t>51)ᵃ</w:t>
            </w:r>
            <w:proofErr w:type="gramEnd"/>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3D184854" w14:textId="77777777" w:rsidR="00DD5950" w:rsidRDefault="00960EEA">
            <w:r>
              <w:rPr>
                <w:sz w:val="20"/>
              </w:rPr>
              <w:t>ESI-only-COPD</w:t>
            </w:r>
          </w:p>
        </w:tc>
        <w:tc>
          <w:tcPr>
            <w:tcW w:w="2304" w:type="dxa"/>
            <w:tcBorders>
              <w:top w:val="single" w:sz="6" w:space="0" w:color="000000"/>
              <w:left w:val="single" w:sz="6" w:space="0" w:color="000000"/>
              <w:bottom w:val="single" w:sz="6" w:space="0" w:color="000000"/>
              <w:right w:val="single" w:sz="6" w:space="0" w:color="000000"/>
            </w:tcBorders>
          </w:tcPr>
          <w:p w14:paraId="560B79EC" w14:textId="77777777" w:rsidR="00DD5950" w:rsidRDefault="00960EEA">
            <w:r>
              <w:rPr>
                <w:sz w:val="20"/>
              </w:rPr>
              <w:t>1.26 (0.76–2.</w:t>
            </w:r>
            <w:proofErr w:type="gramStart"/>
            <w:r>
              <w:rPr>
                <w:sz w:val="20"/>
              </w:rPr>
              <w:t>07)ᵃ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1512A7B" w14:textId="77777777" w:rsidR="00DD5950" w:rsidRDefault="00960EEA">
            <w:r>
              <w:rPr>
                <w:sz w:val="20"/>
              </w:rPr>
              <w:t>4.86 (0.62–38.</w:t>
            </w:r>
            <w:proofErr w:type="gramStart"/>
            <w:r>
              <w:rPr>
                <w:sz w:val="20"/>
              </w:rPr>
              <w:t>02)ᵃ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1D758B1" w14:textId="77777777" w:rsidR="00DD5950" w:rsidRDefault="00960EEA">
            <w:r>
              <w:rPr>
                <w:sz w:val="20"/>
              </w:rPr>
              <w:t>1.62 (0.97–2.</w:t>
            </w:r>
            <w:proofErr w:type="gramStart"/>
            <w:r>
              <w:rPr>
                <w:sz w:val="20"/>
              </w:rPr>
              <w:t>68)ᵃ</w:t>
            </w:r>
            <w:proofErr w:type="gramEnd"/>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662CDE" w14:textId="77777777" w:rsidR="00DD5950" w:rsidRDefault="00960EEA">
            <w:r>
              <w:rPr>
                <w:sz w:val="20"/>
              </w:rPr>
              <w:t>Both-COPD</w:t>
            </w:r>
          </w:p>
        </w:tc>
        <w:tc>
          <w:tcPr>
            <w:tcW w:w="2304" w:type="dxa"/>
            <w:tcBorders>
              <w:top w:val="single" w:sz="6" w:space="0" w:color="000000"/>
              <w:left w:val="single" w:sz="6" w:space="0" w:color="000000"/>
              <w:bottom w:val="single" w:sz="6" w:space="0" w:color="000000"/>
              <w:right w:val="single" w:sz="6" w:space="0" w:color="000000"/>
            </w:tcBorders>
          </w:tcPr>
          <w:p w14:paraId="2442257A" w14:textId="77777777" w:rsidR="00DD5950" w:rsidRDefault="00960EEA">
            <w:r>
              <w:rPr>
                <w:sz w:val="20"/>
              </w:rPr>
              <w:t>2.02 (1.66–2.</w:t>
            </w:r>
            <w:proofErr w:type="gramStart"/>
            <w:r>
              <w:rPr>
                <w:sz w:val="20"/>
              </w:rPr>
              <w:t>46)ᵃ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8A4885F" w14:textId="77777777" w:rsidR="00DD5950" w:rsidRDefault="00960EEA">
            <w:r>
              <w:rPr>
                <w:sz w:val="20"/>
              </w:rPr>
              <w:t>6.10 (2.19–16.</w:t>
            </w:r>
            <w:proofErr w:type="gramStart"/>
            <w:r>
              <w:rPr>
                <w:sz w:val="20"/>
              </w:rPr>
              <w:t>96)ᵃ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B107030" w14:textId="77777777" w:rsidR="00DD5950" w:rsidRDefault="00960EEA">
            <w:r>
              <w:rPr>
                <w:sz w:val="20"/>
              </w:rPr>
              <w:t>3.15 (2.52–3.</w:t>
            </w:r>
            <w:proofErr w:type="gramStart"/>
            <w:r>
              <w:rPr>
                <w:sz w:val="20"/>
              </w:rPr>
              <w:t>93)ᵇ</w:t>
            </w:r>
            <w:proofErr w:type="gramEnd"/>
          </w:p>
        </w:tc>
      </w:tr>
    </w:tbl>
    <w:p w14:paraId="403A0647" w14:textId="355392C6" w:rsidR="00DD5950" w:rsidRDefault="00960EEA">
      <w:bookmarkStart w:id="1" w:name="tbl_2"/>
      <w:bookmarkEnd w:id="1"/>
      <w:r>
        <w:rPr>
          <w:b/>
          <w:sz w:val="20"/>
        </w:rPr>
        <w:t xml:space="preserve">Table 2. Mortality and exacerbation outcomes across the four cross-classification groups defined by CT-based and ESI-based COPD status. </w:t>
      </w:r>
      <w:r w:rsidRPr="00703A1C">
        <w:rPr>
          <w:bCs/>
          <w:sz w:val="20"/>
        </w:rPr>
        <w:t>Analyses are restricted to the preserved-spirometry (COPD-minor pathway) subgroup, as in Figure 2. Within that subgroup, participants are cross-classified by whether they meet the COPD definition under each framework, yielding four mutually exclusive groups: Both-</w:t>
      </w:r>
      <w:proofErr w:type="spellStart"/>
      <w:r w:rsidRPr="00703A1C">
        <w:rPr>
          <w:bCs/>
          <w:sz w:val="20"/>
        </w:rPr>
        <w:t>noCOPD</w:t>
      </w:r>
      <w:proofErr w:type="spellEnd"/>
      <w:r w:rsidRPr="00703A1C">
        <w:rPr>
          <w:bCs/>
          <w:sz w:val="20"/>
        </w:rPr>
        <w:t xml:space="preserve"> (reference), CT-only-COPD (CT-based only), ESI-only-COPD (ESI-based only), and Both-COPD. Cox proportional hazards models estimate the hazard ratio (HR) for all-cause and respiratory mortality; a negative binomial model estimates the incidence-rate ratio (IRR) for exacerbations. Adjustment covariates are age, sex, race, current smoking status, pack-years, and body mass index. The mortality models were fit on 5,289 participants and the exacerbation model on 4,635. Superscript letters after each estimate encode pairwise significance among the three COPD positive subgroups within each outcome column: within an outcome, groups sharing a letter did not differ significantly (single step adjusted Wald contrasts, </w:t>
      </w:r>
      <w:proofErr w:type="spellStart"/>
      <w:r w:rsidRPr="00703A1C">
        <w:rPr>
          <w:bCs/>
          <w:sz w:val="20"/>
        </w:rPr>
        <w:t>multcomp</w:t>
      </w:r>
      <w:proofErr w:type="spellEnd"/>
      <w:r w:rsidRPr="00703A1C">
        <w:rPr>
          <w:bCs/>
          <w:sz w:val="20"/>
        </w:rPr>
        <w:t xml:space="preserve">; α = 0.05); groups not sharing any letter differed significantly. </w:t>
      </w:r>
      <w:r w:rsidR="00703A1C">
        <w:rPr>
          <w:bCs/>
          <w:sz w:val="20"/>
        </w:rPr>
        <w:t xml:space="preserve">Thus, the only significant difference was the Both-COPD group’s exacerbation IRR, which was significantly higher than both the CT-only (p=0.005) and ESI-only groups (p=0.037). </w:t>
      </w:r>
      <w:r w:rsidRPr="00703A1C">
        <w:rPr>
          <w:bCs/>
          <w:sz w:val="20"/>
        </w:rPr>
        <w:t xml:space="preserve">Full pairwise contrast estimates are reported in Supplemental Table 3. Abbreviations: CT, computed tomography; ESI, Emphysema </w:t>
      </w:r>
      <w:r w:rsidRPr="00703A1C">
        <w:rPr>
          <w:bCs/>
          <w:sz w:val="20"/>
        </w:rPr>
        <w:lastRenderedPageBreak/>
        <w:t>Severity Index; COPD, chronic obstructive pulmonary disease; HR, hazard ratio; IRR, incidence-rate ratio; CI, confidence interval; BMI, body mass index.</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632452">
    <w:abstractNumId w:val="8"/>
  </w:num>
  <w:num w:numId="2" w16cid:durableId="992175827">
    <w:abstractNumId w:val="6"/>
  </w:num>
  <w:num w:numId="3" w16cid:durableId="447431893">
    <w:abstractNumId w:val="5"/>
  </w:num>
  <w:num w:numId="4" w16cid:durableId="145243453">
    <w:abstractNumId w:val="4"/>
  </w:num>
  <w:num w:numId="5" w16cid:durableId="11878638">
    <w:abstractNumId w:val="7"/>
  </w:num>
  <w:num w:numId="6" w16cid:durableId="550532636">
    <w:abstractNumId w:val="3"/>
  </w:num>
  <w:num w:numId="7" w16cid:durableId="626860562">
    <w:abstractNumId w:val="2"/>
  </w:num>
  <w:num w:numId="8" w16cid:durableId="1805662262">
    <w:abstractNumId w:val="1"/>
  </w:num>
  <w:num w:numId="9" w16cid:durableId="1960214046">
    <w:abstractNumId w:val="0"/>
  </w:num>
  <w:num w:numId="10" w16cid:durableId="634137225">
    <w:abstractNumId w:val="9"/>
  </w:num>
  <w:num w:numId="11" w16cid:durableId="339625645">
    <w:abstractNumId w:val="10"/>
  </w:num>
  <w:num w:numId="12" w16cid:durableId="1879929117">
    <w:abstractNumId w:val="12"/>
  </w:num>
  <w:num w:numId="13" w16cid:durableId="1645088704">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B15C1"/>
    <w:rsid w:val="001B68B2"/>
    <w:rsid w:val="001E0D9C"/>
    <w:rsid w:val="001E3D95"/>
    <w:rsid w:val="001E7586"/>
    <w:rsid w:val="0023386F"/>
    <w:rsid w:val="00266B86"/>
    <w:rsid w:val="0029639D"/>
    <w:rsid w:val="002C025D"/>
    <w:rsid w:val="002C0E25"/>
    <w:rsid w:val="002C4E69"/>
    <w:rsid w:val="0030669B"/>
    <w:rsid w:val="00320EE6"/>
    <w:rsid w:val="00322E46"/>
    <w:rsid w:val="00326F90"/>
    <w:rsid w:val="003B1B47"/>
    <w:rsid w:val="003B36AF"/>
    <w:rsid w:val="003B6AB2"/>
    <w:rsid w:val="003C5044"/>
    <w:rsid w:val="003C7DB1"/>
    <w:rsid w:val="003D2FA1"/>
    <w:rsid w:val="0041242A"/>
    <w:rsid w:val="00425918"/>
    <w:rsid w:val="00442CB5"/>
    <w:rsid w:val="004A5C24"/>
    <w:rsid w:val="004D1101"/>
    <w:rsid w:val="004F0EB4"/>
    <w:rsid w:val="004F2343"/>
    <w:rsid w:val="005523CD"/>
    <w:rsid w:val="005E2195"/>
    <w:rsid w:val="006173BC"/>
    <w:rsid w:val="00647D1D"/>
    <w:rsid w:val="00650ACA"/>
    <w:rsid w:val="00664E36"/>
    <w:rsid w:val="006741AD"/>
    <w:rsid w:val="00681980"/>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51C0B"/>
    <w:rsid w:val="00D62EC3"/>
    <w:rsid w:val="00D656BD"/>
    <w:rsid w:val="00D91155"/>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Arial" w:hAnsi="Arial" w:cs="Arial"/>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20EE6"/>
    <w:rPr>
      <w:sz w:val="16"/>
      <w:szCs w:val="16"/>
    </w:rPr>
  </w:style>
  <w:style w:type="paragraph" w:styleId="CommentText">
    <w:name w:val="annotation text"/>
    <w:basedOn w:val="Normal"/>
    <w:link w:val="CommentTextChar"/>
    <w:uiPriority w:val="99"/>
    <w:unhideWhenUsed/>
    <w:rsid w:val="00320EE6"/>
    <w:rPr>
      <w:sz w:val="20"/>
      <w:szCs w:val="20"/>
    </w:rPr>
  </w:style>
  <w:style w:type="character" w:customStyle="1" w:styleId="CommentTextChar">
    <w:name w:val="Comment Text Char"/>
    <w:basedOn w:val="DefaultParagraphFont"/>
    <w:link w:val="CommentText"/>
    <w:uiPriority w:val="99"/>
    <w:rsid w:val="00320EE6"/>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320EE6"/>
    <w:rPr>
      <w:b/>
      <w:bCs/>
    </w:rPr>
  </w:style>
  <w:style w:type="character" w:customStyle="1" w:styleId="CommentSubjectChar">
    <w:name w:val="Comment Subject Char"/>
    <w:basedOn w:val="CommentTextChar"/>
    <w:link w:val="CommentSubject"/>
    <w:uiPriority w:val="99"/>
    <w:semiHidden/>
    <w:rsid w:val="00320EE6"/>
    <w:rPr>
      <w:rFonts w:ascii="Arial" w:hAnsi="Arial" w:cs="Arial"/>
      <w:b/>
      <w:bCs/>
      <w:sz w:val="20"/>
      <w:szCs w:val="20"/>
    </w:rPr>
  </w:style>
  <w:style w:type="character" w:styleId="Hyperlink">
    <w:name w:val="Hyperlink"/>
    <w:basedOn w:val="DefaultParagraphFont"/>
    <w:uiPriority w:val="99"/>
    <w:semiHidden/>
    <w:unhideWhenUsed/>
    <w:rsid w:val="008F1B26"/>
    <w:rPr>
      <w:color w:val="0000FF"/>
      <w:u w:val="single"/>
    </w:rPr>
  </w:style>
  <w:style w:type="paragraph" w:styleId="BalloonText">
    <w:name w:val="Balloon Text"/>
    <w:basedOn w:val="Normal"/>
    <w:link w:val="BalloonTextChar"/>
    <w:uiPriority w:val="99"/>
    <w:semiHidden/>
    <w:unhideWhenUsed/>
    <w:rsid w:val="0000649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6497"/>
    <w:rPr>
      <w:rFonts w:ascii="Segoe UI" w:hAnsi="Segoe UI" w:cs="Segoe UI"/>
      <w:sz w:val="18"/>
      <w:szCs w:val="18"/>
    </w:rPr>
  </w:style>
  <w:style w:type="character" w:customStyle="1" w:styleId="period">
    <w:name w:val="period"/>
    <w:basedOn w:val="DefaultParagraphFont"/>
    <w:rsid w:val="00A1602E"/>
  </w:style>
  <w:style w:type="character" w:customStyle="1" w:styleId="cit">
    <w:name w:val="cit"/>
    <w:basedOn w:val="DefaultParagraphFont"/>
    <w:rsid w:val="00A1602E"/>
  </w:style>
  <w:style w:type="character" w:customStyle="1" w:styleId="citation-doi">
    <w:name w:val="citation-doi"/>
    <w:basedOn w:val="DefaultParagraphFont"/>
    <w:rsid w:val="00A1602E"/>
  </w:style>
  <w:style w:type="character" w:customStyle="1" w:styleId="authors-list-item">
    <w:name w:val="authors-list-item"/>
    <w:basedOn w:val="DefaultParagraphFont"/>
    <w:rsid w:val="00A1602E"/>
  </w:style>
  <w:style w:type="character" w:customStyle="1" w:styleId="author-sup-separator">
    <w:name w:val="author-sup-separator"/>
    <w:basedOn w:val="DefaultParagraphFont"/>
    <w:rsid w:val="00A1602E"/>
  </w:style>
  <w:style w:type="character" w:customStyle="1" w:styleId="comma">
    <w:name w:val="comma"/>
    <w:basedOn w:val="DefaultParagraphFont"/>
    <w:rsid w:val="00A1602E"/>
  </w:style>
  <w:style w:type="paragraph" w:customStyle="1" w:styleId="pdq2pgselectionanchorcontainer">
    <w:name w:val="pdq2pg_selectionanchorcontainer"/>
    <w:basedOn w:val="Normal"/>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9EDD9-FFF0-41F0-A46D-2BD8DACC58F7}">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35</TotalTime>
  <Pages>16</Pages>
  <Words>6200</Words>
  <Characters>35340</Characters>
  <Application>Microsoft Office Word</Application>
  <DocSecurity>0</DocSecurity>
  <Lines>294</Lines>
  <Paragraphs>82</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41458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Castaldi, Peter</cp:lastModifiedBy>
  <cp:revision>15</cp:revision>
  <dcterms:created xsi:type="dcterms:W3CDTF">2026-08-24T22:29:00Z</dcterms:created>
  <dcterms:modified xsi:type="dcterms:W3CDTF">2026-08-26T12:51:00Z</dcterms:modified>
  <cp:category/>
</cp:coreProperties>
</file>