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0.5, ESI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1.0, ESI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1.5, ESI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2.0, ESI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"COPD-minor" designation. Sensitivity, specificity, and Cohen's κ are reported for each definition against the CT-based MD-COPD label. The training-derived variant (5 criteria, ESI cutoff low = 1.0, ESI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COPD-minor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-0.06</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-0.020</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(-0.167, 0.117)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5.05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4.47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0.123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(0.080, 0.166)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0.453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0.005</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0.667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0.037</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0.214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0.707</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 text Table 2 are the compact-letter display of these contrasts (α = 0.05).</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COPD-minor n = 1,086, COPD-major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(0.95–1.76)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2.69 (2.33–3.11)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(4.35–5.29)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0.97 (0.63–1.50)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2.75 (2.31–3.28)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4.25 (3.86–4.67)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1.28 (0.94–1.75)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2.72 (2.36–3.14)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5.05 (4.59–5.56)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0.99 (0.82–1.19)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2.84 (2.29–3.51)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4.78 (4.35–5.24)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1.29 (0.85–1.96)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3.49 (2.91–4.17)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6.52 (5.76–7.38)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1.27 (0.73–2.22)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0.40</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COPD-minor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3.19 (2.56–3.97)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COPD-major</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5.45 (4.84–6.15)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