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strictly-non-NMD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(all of Subset 2, gene-matched reference AUG-traceable).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10b6f0a456e429305433f5b076bcd27374994ab2.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2026-07-12T00:03:13.619Z</dcterms:created>
  <dcterms:modified xsi:type="dcterms:W3CDTF">2026-07-12T00:03:13.624Z</dcterms:modified>
</cp:coreProperties>
</file>

<file path=docProps/custom.xml><?xml version="1.0" encoding="utf-8"?>
<Properties xmlns="http://schemas.openxmlformats.org/officeDocument/2006/custom-properties" xmlns:vt="http://schemas.openxmlformats.org/officeDocument/2006/docPropsVTypes"/>
</file>