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strictly-non-NMD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 </w:t>
      </w:r>
      <w:r>
        <w:rPr>
          <w:b/>
          <w:bCs/>
        </w:rPr>
        <w:t xml:space="preserve"/>
      </w:r>
      <w:r>
        <w:t xml:space="preserve">p &lt; 10⁻¹⁰, </w:t>
      </w:r>
      <w:r>
        <w:rPr>
          <w:b/>
          <w:bCs/>
        </w:rPr>
        <w:t xml:space="preserve">*p &lt; 10⁻⁴, </w:t>
      </w:r>
      <w:r>
        <w:t xml:space="preserve">p &lt; 10⁻³, </w:t>
      </w:r>
      <w:r>
        <w:t xml:space="preserve">*p &lt; 0.05;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(all of Subset 2, gene-matched reference AUG-traceable).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drawn from the same Subset 2 population as SF30.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w:t>
      </w:r>
      <w:r>
        <w:t xml:space="preserve">*</w:t>
      </w:r>
      <w:r>
        <w:t xml:space="preserve">*</w:t>
      </w:r>
      <w:r>
        <w:t xml:space="preserve">p &lt; 10⁻¹⁰, </w:t>
      </w:r>
      <w:r>
        <w:t xml:space="preserve">*</w:t>
      </w:r>
      <w:r>
        <w:t xml:space="preserve">*</w:t>
      </w:r>
      <w:r>
        <w:t xml:space="preserve">*</w:t>
      </w:r>
      <w:r>
        <w:t xml:space="preserve">p &lt; 10⁻⁴, </w:t>
      </w:r>
      <w:r>
        <w:t xml:space="preserve">*</w:t>
      </w:r>
      <w:r>
        <w:t xml:space="preserve">*</w:t>
      </w:r>
      <w:r>
        <w:t xml:space="preserve">p &lt; 10⁻³, </w:t>
      </w:r>
      <w:r>
        <w:t xml:space="preserve">*</w:t>
      </w:r>
      <w:r>
        <w:t xml:space="preserve">p &lt; 0.05;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Panels A–C match SF33.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Panels A–C match SF32. Solid black bar inside each violin, median. (Panel C NMD+/PTC+ n = 751; comparators without a downstream non-premature stop are dropped.) Two-sided Wilcoxon rank-sum: </w:t>
      </w:r>
      <w:r>
        <w:t xml:space="preserve">*</w:t>
      </w:r>
      <w:r>
        <w:t xml:space="preserve">*</w:t>
      </w:r>
      <w:r>
        <w:t xml:space="preserve">*</w:t>
      </w:r>
      <w:r>
        <w:t xml:space="preserve">*</w:t>
      </w:r>
      <w:r>
        <w:t xml:space="preserve">p &lt; 10⁻¹⁰, </w:t>
      </w:r>
      <w:r>
        <w:t xml:space="preserve">*</w:t>
      </w:r>
      <w:r>
        <w:t xml:space="preserve">*</w:t>
      </w:r>
      <w:r>
        <w:t xml:space="preserve">*</w:t>
      </w:r>
      <w:r>
        <w:t xml:space="preserve">p &lt; 10⁻⁴, </w:t>
      </w:r>
      <w:r>
        <w:t xml:space="preserve">*</w:t>
      </w:r>
      <w:r>
        <w:t xml:space="preserve">*</w:t>
      </w:r>
      <w:r>
        <w:t xml:space="preserve">p &lt; 10⁻³, </w:t>
      </w:r>
      <w:r>
        <w:t xml:space="preserve">*</w:t>
      </w:r>
      <w:r>
        <w:t xml:space="preserve">p &lt; 0.05;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 UGA / UAA / UAG, the three canonical stop codons in RNA notation.</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so subgroup sample sizes are larger than in SF40, which reports discrimination on the held-out test subset only.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receiver-operating-characteristic.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43b360e81393b17063c50e96b0fd14a8c802c47.png"/><Relationship Id="rId9" Type="http://schemas.openxmlformats.org/officeDocument/2006/relationships/image" Target="media/09a92c0804d35d83561dd465dd37e1f52dc5af96.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9e63b53d8bcbb2872cf104537f576536f712e76e.png"/><Relationship Id="rId13" Type="http://schemas.openxmlformats.org/officeDocument/2006/relationships/image" Target="media/06b5b7766dab004e1b2b9cf1e0b7a34870df0ea8.png"/><Relationship Id="rId14" Type="http://schemas.openxmlformats.org/officeDocument/2006/relationships/image" Target="media/d5a4afe26c0c97d32120414d4f10188e69291429.png"/><Relationship Id="rId15" Type="http://schemas.openxmlformats.org/officeDocument/2006/relationships/image" Target="media/bf43b2c1c03c339b07e72cafdd27ec94212b4a2c.png"/><Relationship Id="rId16" Type="http://schemas.openxmlformats.org/officeDocument/2006/relationships/image" Target="media/cd2c14c8673d4c38eefd29e72d031b6f0f6604b7.png"/><Relationship Id="rId17" Type="http://schemas.openxmlformats.org/officeDocument/2006/relationships/image" Target="media/3a23f230c0407e7068b7c67bd7213e8a9e9d18fa.png"/><Relationship Id="rId18" Type="http://schemas.openxmlformats.org/officeDocument/2006/relationships/image" Target="media/1d2407496255b1370813ac96153eb213d4277525.png"/><Relationship Id="rId19" Type="http://schemas.openxmlformats.org/officeDocument/2006/relationships/image" Target="media/1670772899cc773115e51ca342bc854e4fb91482.png"/><Relationship Id="rId20" Type="http://schemas.openxmlformats.org/officeDocument/2006/relationships/image" Target="media/f64add21cce757b8246f0c55ec7d86d233dcd571.png"/><Relationship Id="rId21" Type="http://schemas.openxmlformats.org/officeDocument/2006/relationships/image" Target="media/6946f83e58cb7f2a0c5a956dd1708ebbe96a3cb4.png"/><Relationship Id="rId22" Type="http://schemas.openxmlformats.org/officeDocument/2006/relationships/image" Target="media/fde375240d26dc4cc6974823ac6f216c6394e98b.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2026-07-11T23:06:28.468Z</dcterms:created>
  <dcterms:modified xsi:type="dcterms:W3CDTF">2026-07-11T23:06:28.473Z</dcterms:modified>
</cp:coreProperties>
</file>

<file path=docProps/custom.xml><?xml version="1.0" encoding="utf-8"?>
<Properties xmlns="http://schemas.openxmlformats.org/officeDocument/2006/custom-properties" xmlns:vt="http://schemas.openxmlformats.org/officeDocument/2006/docPropsVTypes"/>
</file>