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strictly-non-NMD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(all of Subset 2, gene-matched reference AUG-traceable).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drawn from the same Subset 2 population as SF30.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Panels A–C match SF33.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Panels A–C match SF32.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f64add21cce757b8246f0c55ec7d86d233dcd571.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2026-07-12T00:00:23.544Z</dcterms:created>
  <dcterms:modified xsi:type="dcterms:W3CDTF">2026-07-12T00:00:23.549Z</dcterms:modified>
</cp:coreProperties>
</file>

<file path=docProps/custom.xml><?xml version="1.0" encoding="utf-8"?>
<Properties xmlns="http://schemas.openxmlformats.org/officeDocument/2006/custom-properties" xmlns:vt="http://schemas.openxmlformats.org/officeDocument/2006/docPropsVTypes"/>
</file>