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(reference AUG-traceable subset from SF28).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from the reference AUG-traceable subset from SF28.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Panels A–C match SF33.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Panels A–C match SF32.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so subgroup sample sizes are larger than in SF40, which reports discrimination on the held-out test subset only.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receiver-operating-characteristic.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5c176cac6d1c6314d9111c0654469214ce625df5.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10b6f0a456e429305433f5b076bcd27374994ab2.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2026-07-12T00:11:52.517Z</dcterms:created>
  <dcterms:modified xsi:type="dcterms:W3CDTF">2026-07-12T00:11:52.521Z</dcterms:modified>
</cp:coreProperties>
</file>

<file path=docProps/custom.xml><?xml version="1.0" encoding="utf-8"?>
<Properties xmlns="http://schemas.openxmlformats.org/officeDocument/2006/custom-properties" xmlns:vt="http://schemas.openxmlformats.org/officeDocument/2006/docPropsVTypes"/>
</file>