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u w:val="single"/>
        </w:rPr>
        <w:t xml:space="preserve">Manuscript Supplemental Figures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800600"/>
            <wp:effectExtent t="0" r="0" b="0" l="0"/>
            <wp:docPr id="1" name="SF24_SpliceEventCategories" descr="SF24 | Twelve Isopair Splice Event Categories." title="SF24 | Twelve Isopair Splice Event Catego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SF24 | Twelve Isopair Splice Event Categories. </w:t>
      </w:r>
      <w:r>
        <w:t xml:space="preserve">Schematic of the twelve splice-event types identified when comparing a paired isoform (Comparator, bottom track) to the gene's dominant non-NMD isoform (Reference, top track). Grey boxes, exons; horizontal lines with chevrons, introns (chevrons point in the direction of transcription, 5′ → 3′). Categories: transcript-end variants (Alt TSS, Alt TES); alternative splice sites (A5SS, A3SS); exon skipping (Skipped Exon, Missing Internal); and intron retention in six forms (Partial IR 5′, Partial IR 3′, Full IR, IR diff 5′, IR diff 3′, IR diff 5′ + 3′).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SF25_IsoformsPerGene" descr="SF25 | Isoforms per Gene in Isopair Analysis." title="SF25 | Isoforms per Gene in Isopair Analy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SF25 | Isoforms per Gene in Isopair Analysis. </w:t>
      </w:r>
      <w:r>
        <w:t xml:space="preserve">Distribution of the number of expressed isoforms per gene across the 1,585 genes for which gene-matched NMD-susceptible / reference / non-NMD isoform triplets could be constructed. The median gene contributes 7 isoforms (dashed line). Counts include all long-read isoforms passing the expression filter in at least one of the four cell types (AT2, LAE, FB, MV) under DMSO.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SF26_ReferenceShare" descr="SF26 | Reference Share of Gene Expression." title="SF26 | Reference Share of Gene Expr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SF26 | Reference Share of Gene Expression. </w:t>
      </w:r>
      <w:r>
        <w:t xml:space="preserve">Distribution across 1,585 genes (each contributing a gene-matched NMD-susceptible / reference / non-NMD isoform triplet) of the reference isoform's DMSO 4-cell-type mean expression as a fraction of the parent gene's total non-NMD expression. Reference isoforms are the highest-expressed non-NMD isoform per gene under DMSO across AT2, LAE, FB and MV. Dashed line, median; dotted line, 50% threshold.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4200525"/>
            <wp:effectExtent t="0" r="0" b="0" l="0"/>
            <wp:docPr id="1" name="SF27_TranscriptLengthByRole" descr="SF27 | Transcript Length by Isopair Analysis Category." title="SF27 | Transcript Length by Isopair Analysis Catego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SF27 | Transcript Length by Isopair Analysis Category. </w:t>
      </w:r>
      <w:r>
        <w:t xml:space="preserve">Violin plot of transcript length (log10 nt) for the 1,585 gene-matched isoform triplets: NMD comparator (orange), Reference (grey), Control comparator (blue). Reference is the highest-expressed non-NMD isoform per gene under DMSO across the four cell types (AT2, LAE, FB, MV); the NMD and Control comparators are the paired NMD-susceptible and non-NMD non-reference isoforms from the same gene. Solid black bar, median. Abbreviations. nt, nucleotides.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6248400"/>
            <wp:effectExtent t="0" r="0" b="0" l="0"/>
            <wp:docPr id="1" name="SF28_PairAnalysisFlowchart" descr="SF28 | Isopair Analysis Flowchart." title="SF28 | Isopair Analysis Flowch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SF28 | Isopair Analysis Flowchart. </w:t>
      </w:r>
      <w:r>
        <w:t xml:space="preserve">Data flow for the isoform pairs analyses. Every filter step shows the number of pairs kept and dropped, and a one-line description of why each dropout happened.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SF29_GainDirectionByEvent" descr="SF29 | Gain Direction by Splice Event Type." title="SF29 | Gain Direction by Splice Event Ty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SF29 | Gain Direction by Splice Event Type. </w:t>
      </w:r>
      <w:r>
        <w:t xml:space="preserve">Percentage of detected splice events (across 1,585 gene-matched isoform triplets, both NMD and Control comparators) in which the comparator has additional sequence relative to its reference isoform (Gain direction). One bar-pair per event type — NMD comparators (orange) vs Control comparators (blue) — sorted by NMD-side %Gain, descending. Dashed line, 50% (no directional preference). Direction is defined from the comparator's perspective (see SF24 for event-type definitions). Significance stars, Fisher's exact test on the 2 × 2 (Gain/Loss × NMD/Control) count table per event type.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F30_PTCDistanceDoseResponse" descr="SF30 | NMD-Response Magnitude vs Stop Codon Distance to Last EJC." title="SF30 | NMD-Response Magnitude vs Stop Codon Distance to Last EJ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SF30 | NMD-Response Magnitude vs Stop Codon Distance to Last EJC. </w:t>
      </w:r>
      <w:r>
        <w:t xml:space="preserve">Per-comparator NMD-response magnitude (mashr posterior-mean log₂ fold-change under SMG1 inhibition, averaged across AT2, LAE, FB and MV) plotted against the distance from the comparator's stop codon to the transcript's last exon-junction complex. Positive values, stop codon upstream of the last EJC (candidate NMD substrate); negative values, stop codon downstream of the last EJC. Grey points, individual comparators (1st–99th percentile of x-axis shown); orange line, local-linear smoother; orange band, bootstrap 95% CI. Dashed red line, the operational 50-nt PTC threshold. Population: n = 888 comparators (all of Subset 2, gene-matched reference AUG-traceable). Stop anchor: reference AUG-traced (the first in-frame stop reached after projecting the reference gene's AUG onto the comparator); this avoids the attenuation that would arise from TD2 anchoring on non-PTC main ORFs. Median log₂ fold-change is 2.19 above the 50-nt threshold and 1.07 at or below it (Wilcoxon one-sided p = 7.4 × 10⁻¹⁶). Abbreviations. nt, nucleotides; ORF, open reading frame.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SF31_NMDEffectByEJCCount" descr="SF31 | NMD Effect Size by Downstream EJC Count in PTC-Positive NMD Comparators." title="SF31 | NMD Effect Size by Downstream EJC Count in PTC-Positive NMD Compara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SF31 | NMD Effect Size by Downstream EJC Count in PTC-Positive NMD Comparators. </w:t>
      </w:r>
      <w:r>
        <w:t xml:space="preserve">Distribution of NMD-response magnitude (mashr posterior-mean log₂ fold-change under SMG1 inhibition, averaged across AT2, LAE, FB and MV) as a function of the number of exon-junction complexes downstream of the comparator's stop codon. Restricted to comparators with at least one downstream EJC (n = 818), drawn from the same Subset 2 population as SF30. Downstream-EJC counts of 7 or more are collapsed into a single "7+" bin. Violin, kernel density; overlaid box, interquartile range and median; red line, per-bin median trend. Per-bin sample counts are shown above each violin. Stop anchor: reference AUG-traced, matching SF30.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5448300"/>
            <wp:effectExtent t="0" r="0" b="0" l="0"/>
            <wp:docPr id="1" name="SF32_CdsAnd3UTR_GENCODE" descr="SF32 | CDS and 3′UTR Length Across Isoform Classes in the GENCODE-Restricted Isoform Pairs Subset." title="SF32 | CDS and 3′UTR Length Across Isoform Classes in the GENCODE-Restricted Isoform Pairs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SF32 | CDS and 3′UTR Length Across Isoform Classes in the GENCODE-Restricted Isoform Pairs Subset. </w:t>
      </w:r>
      <w:r>
        <w:t xml:space="preserve">Restricted to triplets in which all three transcripts are annotated coding transcripts (n = 72 NMD+/PTC+, 118 NMD+/PTC−, 190 Control). Stop anchor: each isoform's own annotated CDS. (A) CDS length; (B) 3′UTR length from the annotated stop to transcript end; (C) 3′UTR length after walking past any premature stop to the first non-premature stop (Panel C NMD+/PTC+ n = 66; 6 comparators lack a downstream non-premature stop and are dropped). Solid black bar inside each violin, median. Two-sided Wilcoxon rank-sum: </w:t>
      </w:r>
      <w:r>
        <w:t xml:space="preserve">*</w:t>
      </w:r>
      <w:r>
        <w:t xml:space="preserve">p &lt; 0.05, </w:t>
      </w:r>
      <w:r>
        <w:t xml:space="preserve">*</w:t>
      </w:r>
      <w:r>
        <w:t xml:space="preserve">*</w:t>
      </w:r>
      <w:r>
        <w:t xml:space="preserve">p &lt; 10⁻³, </w:t>
      </w:r>
      <w:r>
        <w:t xml:space="preserve">*</w:t>
      </w:r>
      <w:r>
        <w:t xml:space="preserve">*</w:t>
      </w:r>
      <w:r>
        <w:t xml:space="preserve">*</w:t>
      </w:r>
      <w:r>
        <w:t xml:space="preserve">p &lt; 10⁻⁴; n.s. otherwise. Abbreviations. CDS, coding sequence; PTC, premature termination codon.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4867275"/>
            <wp:effectExtent t="0" r="0" b="0" l="0"/>
            <wp:docPr id="1" name="SF33_TD2Bias_broad" descr="SF33 | TD2 Versus Reference AUG-Traced ORFs, Reference AUG-Traceable Cohort." title="SF33 | TD2 Versus Reference AUG-Traced ORFs, Reference AUG-Traceable Coh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SF33 | TD2 Versus Reference AUG-Traced ORFs, Reference AUG-Traceable Cohort. </w:t>
      </w:r>
      <w:r>
        <w:t xml:space="preserve">n = 888 gene-matched NMD comparator pairs. (A) ORF-length distribution under the TD2 call versus under the reference AUG projected onto the same transcript. (B) Paired Kozak PWM score at the reference AUG versus at the TD2-predicted start codon. (C) Position of the TD2 AUG relative to the reference AUG (0 = same site). Solid black bar inside each violin, median. Abbreviations. ORF, open reading frame; PWM, position weight matrix; TD2, TransDecoder2.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4867275"/>
            <wp:effectExtent t="0" r="0" b="0" l="0"/>
            <wp:docPr id="1" name="SF34_TD2Bias_occult" descr="SF34 | TD2 Versus Reference AUG-Traced ORFs, Occult-PTC Subset." title="SF34 | TD2 Versus Reference AUG-Traced ORFs, Occult-PTC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SF34 | TD2 Versus Reference AUG-Traced ORFs, Occult-PTC Subset. </w:t>
      </w:r>
      <w:r>
        <w:t xml:space="preserve">Restricted to the n = 380 comparators in which projecting the reference AUG revealed a PTC that the TD2 CDS call did not. Panels A–C match SF33. Abbreviations. CDS, coding sequence; ORF, open reading frame; PTC, premature termination codon; TD2, TransDecoder2.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5448300"/>
            <wp:effectExtent t="0" r="0" b="0" l="0"/>
            <wp:docPr id="1" name="SF35_CdsAnd3UTR_refAUG" descr="SF35 | CDS and 3′UTR Length Across Isoform Classes, Reference AUG-Traceable Cohort." title="SF35 | CDS and 3′UTR Length Across Isoform Classes, Reference AUG-Traceable Coh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SF35 | CDS and 3′UTR Length Across Isoform Classes, Reference AUG-Traceable Cohort. </w:t>
      </w:r>
      <w:r>
        <w:t xml:space="preserve">Restricted to gene-matched pairs in which the reference AUG projects onto the comparator transcript (n = 818 NMD+/PTC+, 70 NMD+/PTC−, 888 Control). Stop anchor: the reference gene's AUG projected onto the comparator, which is unbiased with respect to TD2's PTC-avoidance (see SF33). Panels A–C match SF32. Solid black bar inside each violin, median. (Panel C NMD+/PTC+ n = 812 and Control n = 886; comparators without a downstream non-premature stop are dropped.) Two-sided Wilcoxon rank-sum: </w:t>
      </w:r>
      <w:r>
        <w:t xml:space="preserve">*</w:t>
      </w:r>
      <w:r>
        <w:t xml:space="preserve">p &lt; 0.05, </w:t>
      </w:r>
      <w:r>
        <w:t xml:space="preserve">*</w:t>
      </w:r>
      <w:r>
        <w:t xml:space="preserve">*</w:t>
      </w:r>
      <w:r>
        <w:t xml:space="preserve">p &lt; 10⁻³, </w:t>
      </w:r>
      <w:r>
        <w:t xml:space="preserve">*</w:t>
      </w:r>
      <w:r>
        <w:t xml:space="preserve">*</w:t>
      </w:r>
      <w:r>
        <w:t xml:space="preserve">*</w:t>
      </w:r>
      <w:r>
        <w:t xml:space="preserve">p &lt; 10⁻⁴; n.s. otherwise. Abbreviations. CDS, coding sequence; PTC, premature termination codon; TD2, TransDecoder2.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SF36_ShapAcrossWindows" descr="SF36 | Total |SHAP| Across the AUG and Stop Codon Windows." title="SF36 | Total |SHAP| Across the AUG and Stop Codo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SF36 | Total |SHAP| Across the AUG and Stop Codon Windows. </w:t>
      </w:r>
      <w:r>
        <w:t xml:space="preserve">Per-position |SHAP| summed across the nine input channels of the deep-learning model, comparing NMD susceptible (orange) and Control (blue) transcripts on the held-out test set (NMD n = 2,268, Control n = 7,863). Each transcript's AUG and stop windows are centered on its main ORF's start and stop codons. Main ORFs are chosen with the following priority: the annotated reference CDS (projected from the gene's dominant non-NMD isoform) when available; otherwise the TransDecoder2-called CDS; otherwise the highest-Kozak-scoring ORF (see Methods, Main ORF selection). Values are smoothed with an 11-nt rolling mean over the raw per-position |SHAP| to abstract over trinucleotide-frame periodicity. A) AUG window covering positions –250 to +249 relative to the start codon. B) Stop codon window covering the same relative range around the stop codon. Pooled across 5 DeepSHAP runs (500 background samples each). Abbreviations. nt, nucleotides; ORF, open reading frame.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SF37_StopCodonUsage" descr="SF37 | Stop Codon Usage in NMD Susceptible vs Non-NMD Isoforms." title="SF37 | Stop Codon Usage in NMD Susceptible vs Non-NMD Iso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SF37 | Stop Codon Usage in NMD Susceptible vs Non-NMD Isoforms. </w:t>
      </w:r>
      <w:r>
        <w:t xml:space="preserve">Within-class frequency of the three canonical stop codons (UGA / UAA / UAG) at the main ORF of each transcript in the deep-learning model's held-out test set (n = 2,268 NMD susceptible, n = 7,863 non-NMD). Main ORFs are chosen with the following priority: the annotated reference CDS (projected from the gene's dominant non-NMD isoform) when available; otherwise the TransDecoder2-called CDS; otherwise the highest-Kozak-scoring ORF (see Methods, Main ORF selection). Percentages: UGA 55.9% vs 48.1%; UAA 23.9% vs 29.9%; UAG 20.2% vs 22.0%. Abbreviations. ORF, open reading frame; UGA / UAA / UAG, the three canonical stop codons in RNA notation.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SF38_AttentionDistribution" descr="SF38 | Attention Distribution Across the Model's Five Candidate ORFs, NMD Susceptible vs Non-NMD." title="SF38 | Attention Distribution Across the Model's Five Candidate ORFs, NMD Susceptible vs Non-NM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SF38 | Attention Distribution Across the Model's Five Candidate ORFs, NMD Susceptible vs Non-NMD. </w:t>
      </w:r>
      <w:r>
        <w:t xml:space="preserve">Held-out test set (NMD n = 2,268; Control n = 7,863). ORF candidates are ranked by the priority described in Methods; rank-0 is the main ORF. (A) Attention weight per candidate ORF rank, by class. (B) Shannon entropy of the per-isoform attention vector across the five candidates; higher entropy indicates more broadly distributed attention. Abbreviations. ORF, open reading frame.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143125"/>
            <wp:effectExtent t="0" r="0" b="0" l="0"/>
            <wp:docPr id="1" name="SF39_PTCSubclassBranchSHAP" descr="SF39 | Branch-Level Shapley Attributions of the Deep-Learning Model, Stratified by Isoform PTC Subclass." title="SF39 | Branch-Level Shapley Attributions of the Deep-Learning Model, Stratified by Isoform PTC Sub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SF39 | Branch-Level Shapley Attributions of the Deep-Learning Model, Stratified by Isoform PTC Subclass. </w:t>
      </w:r>
      <w:r>
        <w:t xml:space="preserve">Attributions of the model's NMD prediction across the three input branches (start codon window, stop codon window, structural features), computed for every isoform in each subclass. Subclasses: NMD+/PTC+ (n = 1,016), NMD+/PTC− (n = 95), Control (n = 1,107). Interpretability is computed on all reference AUG-traceable isoforms (not restricted to the held-out test set), so subgroup sample sizes are larger than in SF40, which reports discrimination on the held-out test subset only. (A) NMD+/PTC+. (B) NMD+/PTC−. (C) Control. Within each panel, bars are ordered structural / stop / start; the value in each bar is the mean absolute Shapley attribution at that branch; the percentage above each bar is that branch's share of the subclass total. Abbreviations. PTC, premature termination codon.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762250"/>
            <wp:effectExtent t="0" r="0" b="0" l="0"/>
            <wp:docPr id="1" name="SF40_PTCSubclassPerformance" descr="SF40 | Deep-Learning Model Discrimination by PTC Subclass on the Held-Out Test Set." title="SF40 | Deep-Learning Model Discrimination by PTC Subclass on the Held-Out Test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SF40 | Deep-Learning Model Discrimination by PTC Subclass on the Held-Out Test Set. </w:t>
      </w:r>
      <w:r>
        <w:t xml:space="preserve">Held-out test-set performance of the trained NMD predictor, stratified by the three subclasses: NMD+/PTC+ (n = 255), NMD+/PTC− (n = 30), and Control (n = 276). Subgroup sample sizes reflect held-out-test-set membership. (A) ROC curves for the two NMD-vs-Control contrasts, using the model's predicted NMD probability as the score; AUC annotated per contrast; diagonal, chance. (B) Distribution of per-isoform predicted NMD probability by subclass. Abbreviations. AUC, area under the ROC curve; PTC, premature termination codon; ROC, receiver-operating-characteristic.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SF41_GCcontentStopWindow" descr="SF41 | Rolling GC Content Across the Start Codon and Stop Codon Windows." title="SF41 | Rolling GC Content Across the Start Codon and Stop Codo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SF41 | Rolling GC Content Across the Start Codon and Stop Codon Windows. </w:t>
      </w:r>
      <w:r>
        <w:t xml:space="preserve">Mean rolling GC content per position, comparing NMD susceptible (orange) and Control (blue) transcripts on the held-out test set. Windows are centered on each transcript's main ORF start or stop codon; main ORFs are chosen as described in Methods. NMD susceptible transcripts are restricted to those whose main ORF is the annotated reference CDS (n = 1,743 of 2,268 NMD test transcripts, 76.9%), so that position 0 is the reference stop codon; Control transcripts are unrestricted (n = 7,863). GC content is computed in a 50-nt sliding window with a 10-nt step from the model's one-hot nucleotide input channels; shading, ± 1 SEM. (A) Start codon window. (B) Stop codon window. Abbreviations. CDS, coding sequence; GC, guanine + cytosine; nt, nucleotides; ORF, open reading frame; SEM, standard error of the mean.</w:t>
      </w:r>
    </w:p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5943600"/>
            <wp:effectExtent t="0" r="0" b="0" l="0"/>
            <wp:docPr id="1" name="SF42_ModelComparison" descr="SF42 | Head-to-Head Correlation of Three NMD Predictors With the mashr Gold Standard, Pooled and per PTC Subclass." title="SF42 | Head-to-Head Correlation of Three NMD Predictors With the mashr Gold Standard, Pooled and per PTC Sub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SF42 | Head-to-Head Correlation of Three NMD Predictors With the mashr Gold Standard, Pooled and per PTC Subclass. </w:t>
      </w:r>
      <w:r>
        <w:t xml:space="preserve">Predictors scored against the mashr posterior-mean log₂ fold-change under SMG1 inhibition on the held-out test set of long-read observed transcripts (chromosomes 1, 3, 5, 7; n = 561: NMD+/PTC+ 255, NMD+/PTC− 30, Control 276). Predictors: NMDetective-B (Lindeboom et al. 2019); NMDEP rule-tree baseline (Saadat &amp; Fellay 2025); the deep-learning model. (A) Predicted NMD score versus gold-standard log₂ fold-change, one subplot per model; points colored by subclass; pooled Spearman correlation annotated. (B) Within-subclass Spearman correlation per model. Abbreviations. mashr, multivariate adaptive shrinkage; NMDEP, NMD efficacy predictor; PTC, premature termination codon.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42124122a82d9359fec02d03b893d573f1816b.png"/><Relationship Id="rId8" Type="http://schemas.openxmlformats.org/officeDocument/2006/relationships/image" Target="media/59b0d40e5ac6592c7847ef633b13abafe2f918c8.png"/><Relationship Id="rId9" Type="http://schemas.openxmlformats.org/officeDocument/2006/relationships/image" Target="media/fbe0abec317b70e4637f6bb98ffcd347c4419574.png"/><Relationship Id="rId10" Type="http://schemas.openxmlformats.org/officeDocument/2006/relationships/image" Target="media/14e84407b208de294ebb9e4588542a119e051f80.png"/><Relationship Id="rId11" Type="http://schemas.openxmlformats.org/officeDocument/2006/relationships/image" Target="media/b86011317444888338cdd56f4cf738acef6518d4.png"/><Relationship Id="rId12" Type="http://schemas.openxmlformats.org/officeDocument/2006/relationships/image" Target="media/90f5e59f9ead1537aa6559e53617a23bb7ebacf8.png"/><Relationship Id="rId13" Type="http://schemas.openxmlformats.org/officeDocument/2006/relationships/image" Target="media/ec017fb3cedff2f3f9ec3f0b9a384ea527299029.png"/><Relationship Id="rId14" Type="http://schemas.openxmlformats.org/officeDocument/2006/relationships/image" Target="media/ab89ce0ac4971463c639f1e9e23bc8b7e5663119.png"/><Relationship Id="rId15" Type="http://schemas.openxmlformats.org/officeDocument/2006/relationships/image" Target="media/400a839d5297e6438006eacea2890f5f658c431b.png"/><Relationship Id="rId16" Type="http://schemas.openxmlformats.org/officeDocument/2006/relationships/image" Target="media/26b1cb50479363106f01541b9f23f67605c596f8.png"/><Relationship Id="rId17" Type="http://schemas.openxmlformats.org/officeDocument/2006/relationships/image" Target="media/07c1430a64b672543b299e9c40cc0dbe2533d030.png"/><Relationship Id="rId18" Type="http://schemas.openxmlformats.org/officeDocument/2006/relationships/image" Target="media/eca1619094c8a5fc8c7a879e9867062f5ce72399.png"/><Relationship Id="rId19" Type="http://schemas.openxmlformats.org/officeDocument/2006/relationships/image" Target="media/1670772899cc773115e51ca342bc854e4fb91482.png"/><Relationship Id="rId20" Type="http://schemas.openxmlformats.org/officeDocument/2006/relationships/image" Target="media/f64add21cce757b8246f0c55ec7d86d233dcd571.png"/><Relationship Id="rId21" Type="http://schemas.openxmlformats.org/officeDocument/2006/relationships/image" Target="media/6946f83e58cb7f2a0c5a956dd1708ebbe96a3cb4.png"/><Relationship Id="rId22" Type="http://schemas.openxmlformats.org/officeDocument/2006/relationships/image" Target="media/48443fab7c7b7f3da55018416f2c7ff5ed5956f1.png"/><Relationship Id="rId23" Type="http://schemas.openxmlformats.org/officeDocument/2006/relationships/image" Target="media/5c55f4d1fa83c27d42f4e4036e32be3e32de9140.png"/><Relationship Id="rId24" Type="http://schemas.openxmlformats.org/officeDocument/2006/relationships/image" Target="media/ff985ace809f7f60f504db1fb191b3c915be2b7d.png"/><Relationship Id="rId25" Type="http://schemas.openxmlformats.org/officeDocument/2006/relationships/image" Target="media/bd630755606854b6258be71ce91ba44f0185457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2026-07-11T14:03:40.633Z</dcterms:created>
  <dcterms:modified xsi:type="dcterms:W3CDTF">2026-07-11T14:03:40.638Z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