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3324225"/>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24225"/>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Grey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3,009 genes for which gene-matched NMD-susceptible / reference / non-NMD isoform triplets could be constructed. The median gene contributes 7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3,009 genes (each contributing a gene-matched NMD-susceptible / reference / non-NMD isoform triplet) of the reference isoform's DMSO 4-cell-type mean expression as a fraction of the parent gene's total non-NMD expression. Reference isoforms are the highest-expressed non-NMD isoform per gene under DMSO across AT2, LAE, FB and MV. Dashed line, median; dotted line, 50% threshold.</w:t>
      </w:r>
    </w:p>
    <w:p>
      <w:pPr>
        <w:spacing w:after="240"/>
      </w:pPr>
    </w:p>
    <w:p>
      <w:pPr>
        <w:spacing w:after="60" w:before="120"/>
        <w:jc w:val="center"/>
      </w:pPr>
      <w:r>
        <w:drawing>
          <wp:inline distT="0" distB="0" distL="0" distR="0">
            <wp:extent cx="5943600" cy="383857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83857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3,009 gene-matched isoform triplets: NMD comparator (orange), Reference (grey), Control comparator (blue). Reference is the highest-expressed non-NMD isoform per gene under DMSO across the four cell types (AT2, LAE, FB, MV); the NMD and Control comparators are the paired NMD-susceptible and non-NMD non-reference isoforms from the same gene. Solid black bar, median; dotted bars, 25th and 75th percentiles.</w:t>
      </w:r>
    </w:p>
    <w:p>
      <w:pPr>
        <w:spacing w:after="240"/>
      </w:pPr>
    </w:p>
    <w:p>
      <w:pPr>
        <w:spacing w:after="60" w:before="120"/>
        <w:jc w:val="center"/>
      </w:pPr>
      <w:r>
        <w:drawing>
          <wp:inline distT="0" distB="0" distL="0" distR="0">
            <wp:extent cx="5943600" cy="45148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5148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3,009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Codon Distance to Last EJC." title="SF30 | NMD-Response Magnitude vs Stop-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Stop-Codon Distance to Last EJC. </w:t>
      </w:r>
      <w:r>
        <w:t xml:space="preserve">Per-comparator NMD-response magnitude (mashr posterior-mean log₂ fold-change under SMG1 inhibition, averaged across AT2, LAE, FB and MV) plotted against the distance from the comparator's stop codon to the transcript's last exon-junction complex. Positive values, stop codon upstream of the last EJC (candidate NMD substrate); negative values, stop codon downstream of the last EJC. Grey points, individual comparators (1st–99th percentile of x-axis shown); orange line, local-linear smoother; orange band, bootstrap 95% CI. Dashed red line, the operational 50-nt PTC threshold. Population: n = 1,166 comparators (all of Subset 2, gene-matched ref-AUG-traceable). Stop anchor: reference-AUG-traced (the first in-frame stop reached after projecting the reference gene's AUG onto the comparator); this avoids the attenuation that would arise from TD2 anchoring on non-PTC main ORFs. Median log₂ fold-change is 2.20 above the 50-nt threshold and 1.09 at or below it (Wilcoxon one-sided p = 1.1 × 10⁻²⁰).</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exon-junction complexes downstream of the comparator's stop codon. Restricted to comparators with at least one downstream EJC (n = 1,050),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reference-AUG-traced, matching SF30.</w:t>
      </w:r>
    </w:p>
    <w:p>
      <w:pPr>
        <w:spacing w:after="240"/>
      </w:pPr>
    </w:p>
    <w:p>
      <w:pPr>
        <w:spacing w:after="60" w:before="120"/>
        <w:jc w:val="center"/>
      </w:pPr>
      <w:r>
        <w:drawing>
          <wp:inline distT="0" distB="0" distL="0" distR="0">
            <wp:extent cx="5943600" cy="3133725"/>
            <wp:effectExtent t="0" r="0" b="0" l="0"/>
            <wp:docPr id="1" name="SF32-SF35_CDSand3UTR_GENCODEonly" descr="SF32 + SF35 | Coding-sequence length and two complementary 3′UTR-length measures, at two cohort scopes." title="SF32 + SF35 | Coding-sequence length and two complementary 3′UTR-length measures, at two cohort sco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33725"/>
                    </a:xfrm>
                    <a:prstGeom prst="rect">
                      <a:avLst/>
                    </a:prstGeom>
                  </pic:spPr>
                </pic:pic>
              </a:graphicData>
            </a:graphic>
          </wp:inline>
        </w:drawing>
      </w:r>
    </w:p>
    <w:p>
      <w:pPr>
        <w:spacing w:after="120"/>
      </w:pPr>
      <w:r>
        <w:rPr>
          <w:b/>
          <w:bCs/>
        </w:rPr>
        <w:t xml:space="preserve">SF32 + SF35 | Coding-sequence length and two complementary 3′UTR-length measures, at two cohort scopes. </w:t>
      </w:r>
      <w:r>
        <w:t xml:space="preserve">Row 1 (n = 190 GENCODE-restricted) supports SF32; row 2 (n = 1,166 ref-AUG-traceable) supports SF35.</w:t>
      </w:r>
    </w:p>
    <w:p>
      <w:pPr>
        <w:spacing w:after="120"/>
      </w:pPr>
      <w:r>
        <w:t xml:space="preserve">The figure presents the same three measures (coding-sequence length; 3′UTR length under a naïve translation-based measure; 3′UTR length under a bias-corrected measure that walks past any premature stop codon) at two complementary cohorts. The top row uses the strict annotated cohort in which all three transcripts of every triplet are annotated coding transcripts (n = 72 NMD with a premature termination codon; n = 118 NMD without; n = 190 Control; the cohort that supports Figure 3 Panels D–F and Figure 4 Panels A and B). The bottom row uses the broader cohort in which the reference transcript is annotated and the reference start codon can be projected onto each comparator (n = 1,050 NMD with a premature termination codon; n = 116 NMD without; n = 1,166 Control; the cohort that supports Figure 4 Panels C and D). Premature-termination-codon classification in the top row is taken from each comparator's own annotated stop codon under the canonical 50-nt rule; in the bottom row it is taken from the reference start codon projected onto the comparator transcript, which avoids the systematic premature-termination-codon-avoidance bias of the TransDecoder2 CDS caller (documented in SF33/SF34).</w:t>
      </w:r>
    </w:p>
    <w:p>
      <w:pPr>
        <w:spacing w:after="120"/>
      </w:pPr>
      <w:r>
        <w:t xml:space="preserve">(A) Coding-sequence length is similar across the three groups in the annotated cohort (medians 760 / 834 / 968 nt). NMD-susceptible isoforms with a premature termination codon have a modestly shorter coding sequence than Controls (Hodges–Lehmann shift = −186 nt, p = 5×10⁻³), consistent with the premature termination codon truncating the open reading frame. Coding-sequence length is not a confound for the 5′UTR and 3′UTR differences shown in the other panels.</w:t>
      </w:r>
    </w:p>
    <w:p>
      <w:pPr>
        <w:spacing w:after="120"/>
      </w:pPr>
      <w:r>
        <w:t xml:space="preserve">(B) 3′UTR length under the translation-based measure (transcript length minus annotated stop position). NMD-susceptible isoforms with a premature termination codon appear to have substantially longer 3′UTRs than Controls (medians 869 vs 517 nt; p = 1×10⁻⁴), but this is a measurement artifact: the post-stop region in these isoforms includes the coding sequence between the premature stop and the natural stop.</w:t>
      </w:r>
    </w:p>
    <w:p>
      <w:pPr>
        <w:spacing w:after="120"/>
      </w:pPr>
      <w:r>
        <w:t xml:space="preserve">(C) 3′UTR length under the bias-corrected measure that walks past any premature stop codon (translates downstream from the annotated start, skipping stops that would themselves be classified as premature, until reaching the first non-premature stop). Under this corrected measure, NMD with a premature termination codon and Controls are indistinguishable (medians 524 vs 517 nt; p = 0.90), confirming that the apparent inflation in Panel B was the measurement, not the biology. NMD-susceptible isoforms without a premature termination codon retain a significantly shorter 3′UTR than Controls (median 384 vs 517 nt; p = 0.03). Six of the 72 NMD-with-PTC isoforms (8%) had no non-premature stop downstream in the comparator transcript and are dropped from this panel (n = 66 displayed).</w:t>
      </w:r>
    </w:p>
    <w:p>
      <w:pPr>
        <w:spacing w:after="120"/>
      </w:pPr>
      <w:r>
        <w:t xml:space="preserve">(D) Coding-sequence length on the broader cohort, anchored on the reference start codon projected onto the comparator. NMD-susceptible isoforms with a premature termination codon have the shortest open reading frame (median 579 nt vs 972 nt in Control), as expected from the premature stop. NMD-susceptible isoforms without a premature termination codon sit between (median 686 nt).</w:t>
      </w:r>
    </w:p>
    <w:p>
      <w:pPr>
        <w:spacing w:after="120"/>
      </w:pPr>
      <w:r>
        <w:t xml:space="preserve">(E) Translation-based 3′UTR length on the broader cohort. The same artifact apparent in Panel B is again present (median 2,018 nt in NMD+PTC vs 1,184 nt in Control).</w:t>
      </w:r>
    </w:p>
    <w:p>
      <w:pPr>
        <w:spacing w:after="120"/>
      </w:pPr>
      <w:r>
        <w:t xml:space="preserve">(F) Bias-corrected 3′UTR length on the broader cohort. After correction, NMD-with-PTC moves from 2,018 down to 1,290 nt, much closer to the Control median of 948 nt. The directional pattern from the annotated cohort is preserved at the broader cohort and remains statistically detectable, but it is quantitatively much smaller than the translation-based gap. This argues against extended 3′UTR length as the dominant mechanism for the residual NMD-without-PTC isoforms.</w:t>
      </w:r>
    </w:p>
    <w:p>
      <w:pPr>
        <w:spacing w:after="120"/>
      </w:pPr>
      <w:r>
        <w:t xml:space="preserve">Violins show per-group density on a log scale; horizontal lines mark q25 (dotted), median (dashed), and q75 (dotted). Stars: p &lt; 10⁻¹⁰, </w:t>
      </w:r>
      <w:r>
        <w:rPr>
          <w:i/>
          <w:iCs/>
        </w:rPr>
        <w:t xml:space="preserve">p &lt; 10⁻⁴, p &lt; 10⁻³, </w:t>
      </w:r>
      <w:r>
        <w:t xml:space="preserve">p &lt; 0.05, n.s. otherwise (two-sided Wilcoxon rank-sum).</w:t>
      </w:r>
    </w:p>
    <w:p>
      <w:pPr>
        <w:spacing w:after="120"/>
      </w:pPr>
      <w:r>
        <w:t xml:space="preserve">Abbreviations. NMD, nonsense-mediated decay; PTC, premature termination codon; CDS, coding sequence; UTR, untranslated region.</w:t>
      </w:r>
    </w:p>
    <w:p>
      <w:pPr>
        <w:spacing w:after="240"/>
      </w:pPr>
    </w:p>
    <w:p>
      <w:pPr>
        <w:spacing w:after="60" w:before="120"/>
        <w:jc w:val="center"/>
      </w:pPr>
      <w:r>
        <w:drawing>
          <wp:inline distT="0" distB="0" distL="0" distR="0">
            <wp:extent cx="5943600" cy="3305175"/>
            <wp:effectExtent t="0" r="0" b="0" l="0"/>
            <wp:docPr id="1" name="SF33-SF34_TD2BiasEvidence" descr="SF33 + SF34 | TransDecoder2 open-reading-frame length, start-codon position and Kozak strength versus reference-anchored open reading frames." title="SF33 + SF34 | TransDecoder2 open-reading-frame length, start-codon position and Kozak strength versus reference-anchored open reading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SF33 + SF34 | TransDecoder2 open-reading-frame length, start-codon position and Kozak strength versus reference-anchored open reading frames. </w:t>
      </w:r>
      <w:r>
        <w:t xml:space="preserve">Row 1 (n = 1,166) and row 2 (n = 492 occult-PTC subset) together support SF33 (length and position panels) and SF34 (Kozak panels).</w:t>
      </w:r>
    </w:p>
    <w:p>
      <w:pPr>
        <w:spacing w:after="120"/>
      </w:pPr>
      <w:r>
        <w:t xml:space="preserve">Three orthogonal observations of the same systematic bias, presented at two complementary cohorts. The top row uses the 1,166 gene-matched pairs in which the reference start codon could be projected onto the comparator transcript (the same cohort as Figure 4 Panels C and D); within this cohort TransDecoder2 picked the same start codon as the reference in 50 % of pairs (578 / 1,166) and a different start codon in 50 % (588 / 1,166). The bottom row uses the occult-PTC subset of the top row (n = 492) — pairs in which projecting the reference start codon onto the comparator revealed a stop codon &gt; 50 nt upstream of the last exon-junction complex (a premature termination codon) that TransDecoder2's own open reading frame had skipped over. The bias is most pronounced in the occult-PTC subset by construction.</w:t>
      </w:r>
    </w:p>
    <w:p>
      <w:pPr>
        <w:spacing w:after="120"/>
      </w:pPr>
      <w:r>
        <w:t xml:space="preserve">(A, D) Open-reading-frame length. Distribution of open-reading-frame length under the TransDecoder2-chosen start codon (blue) versus under the reference start codon projected onto the same transcript (coral). The TransDecoder2-selected open reading frame is ~5× longer than the reference-anchored open reading frame on the broad cohort (Panel A; medians 2,758 vs 588 nt) and ~8× longer on the occult-PTC subset (Panel D; medians 2,934 vs 380 nt). TransDecoder2 systematically picks longer reading frames that bypass the premature stop.</w:t>
      </w:r>
    </w:p>
    <w:p>
      <w:pPr>
        <w:spacing w:after="120"/>
      </w:pPr>
      <w:r>
        <w:t xml:space="preserve">(B, E) Kozak context. Paired Kozak position-weight-matrix scores at the reference start codon versus at the TransDecoder2 start codon, scored on the NMD-susceptible isoform. The reference start codon has systematically stronger Kozak context than the TransDecoder2 pick on both the broad cohort (Panel B; paired Wilcoxon p = 1.2 × 10⁻³⁸; medians 0.86 vs 0.29; reference stronger in 446 of 1,166 pairs) and the occult-PTC subset (Panel E; p = 2.6 × 10⁻³⁸; medians 1.04 vs −0.35; reference stronger in 384 of 492 pairs, i.e., 78 % of pairs follow the bias direction).</w:t>
      </w:r>
    </w:p>
    <w:p>
      <w:pPr>
        <w:spacing w:after="120"/>
      </w:pPr>
      <w:r>
        <w:t xml:space="preserve">(C, F) Position of the TransDecoder2 start codon relative to the reference. Position in transcript coordinates with the reference start codon at 0 (red dashed line). On the broad cohort (Panel C) a large spike at 0 reflects the 50 % of pairs in which TransDecoder2 chose the same start codon as the reference; 43 % of pairs (496 / 1,166) have the TransDecoder2 start downstream (median offset +471 nt) and 8 % (92 / 1,166) have it upstream. On the occult-PTC subset (Panel F) the spike at 0 disappears: 99 % (487 / 492) of TransDecoder2 starts are downstream of the reference (median offset +476 nt); only 1 % (5 / 492) are upstream. The contrast between the two rows shows that TransDecoder2's start-codon disagreement with the reference is most extreme — and almost always in the downstream, premature-termination-codon-avoiding direction — in exactly the population where the bias is biologically engaged.</w:t>
      </w:r>
    </w:p>
    <w:p>
      <w:pPr>
        <w:spacing w:after="120"/>
      </w:pPr>
      <w:r>
        <w:t xml:space="preserve">Abbreviations. NMD, nonsense-mediated decay; PTC, premature termination codon; PWM, position weight matrix.</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Codon Windows." title="SF36 | Total |SHAP| Across the AUG and Stop-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centred on its main open reading frame's start and stop codons.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Values are smoothed with an 11-nt rolling mean over the raw per-position |SHAP| to abstract over trinucleotide-frame periodicity. A) AUG window covering positions –250 to +249 relative to the start codon. B) Stop-codon window covering the same relative range around the stop codon. Pooled across 5 DeepSHAP runs (500 background samples each).</w:t>
      </w:r>
    </w:p>
    <w:p>
      <w:pPr>
        <w:spacing w:after="240"/>
      </w:pPr>
    </w:p>
    <w:p>
      <w:pPr>
        <w:spacing w:after="60" w:before="120"/>
        <w:jc w:val="center"/>
      </w:pPr>
      <w:r>
        <w:drawing>
          <wp:inline distT="0" distB="0" distL="0" distR="0">
            <wp:extent cx="5943600" cy="4648200"/>
            <wp:effectExtent t="0" r="0" b="0" l="0"/>
            <wp:docPr id="1" name="SF37_StopCodonUsage" descr="SF37 | Stop-codon usage in NMD susceptible vs non-NMD isoforms." title="SF37 | Stop-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648200"/>
                    </a:xfrm>
                    <a:prstGeom prst="rect">
                      <a:avLst/>
                    </a:prstGeom>
                  </pic:spPr>
                </pic:pic>
              </a:graphicData>
            </a:graphic>
          </wp:inline>
        </w:drawing>
      </w:r>
    </w:p>
    <w:p>
      <w:pPr>
        <w:spacing w:after="120"/>
      </w:pPr>
      <w:r>
        <w:rPr>
          <w:b/>
          <w:bCs/>
        </w:rPr>
        <w:t xml:space="preserve">SF37 | Stop-codon usage in NMD susceptible vs non-NMD isoforms. </w:t>
      </w:r>
      <w:r>
        <w:t xml:space="preserve">Within-class frequency of the three canonical stop codons (UGA / UAA / UAG) at the main open reading frame of each transcript in the deep-learning model's held-out test set (n = 2,268 NMD susceptible, n = 7,863 non-NMD).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Percentages: UGA 55.9 % vs 48.1 %; UAA 23.9 % vs 29.9 %; UAG 20.2 % vs 22.0 %.</w:t>
      </w:r>
    </w:p>
    <w:p>
      <w:pPr>
        <w:spacing w:after="120"/>
      </w:pPr>
      <w:r>
        <w:t xml:space="preserve">Abbreviations. NMD, nonsense-mediated decay; UGA / UAA / UAG, the three canonical stop codons in RNA notation.</w:t>
      </w:r>
    </w:p>
    <w:p>
      <w:pPr>
        <w:spacing w:after="240"/>
      </w:pPr>
    </w:p>
    <w:p>
      <w:pPr>
        <w:spacing w:after="60" w:before="120"/>
        <w:jc w:val="center"/>
      </w:pPr>
      <w:r>
        <w:drawing>
          <wp:inline distT="0" distB="0" distL="0" distR="0">
            <wp:extent cx="5943600" cy="1838325"/>
            <wp:effectExtent t="0" r="0" b="0" l="0"/>
            <wp:docPr id="1" name="SF38_AttentionDistribution" descr="SF38 | Attention distribution across the model's five candidate open reading frames, NMD susceptible vs non-NMD." title="SF38 | Attention distribution across the model's five candidate open reading frame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1838325"/>
                    </a:xfrm>
                    <a:prstGeom prst="rect">
                      <a:avLst/>
                    </a:prstGeom>
                  </pic:spPr>
                </pic:pic>
              </a:graphicData>
            </a:graphic>
          </wp:inline>
        </w:drawing>
      </w:r>
    </w:p>
    <w:p>
      <w:pPr>
        <w:spacing w:after="120"/>
      </w:pPr>
      <w:r>
        <w:rPr>
          <w:b/>
          <w:bCs/>
        </w:rPr>
        <w:t xml:space="preserve">SF38 | Attention distribution across the model's five candidate open reading frames, NMD susceptible vs non-NMD. </w:t>
      </w:r>
      <w:r>
        <w:t xml:space="preserve">The deep-learning model evaluates each transcript at up to five candidate open reading frames and learns an attention weight for each. The candidates are ranked by a priority rule that prefers the annotated reference CDS first (projected from the gene's dominant non-NMD isoform when available), then the TransDecoder2-called CDS, then the open reading frame with the strongest Kozak start context. Most attention concentrates at the main (rank-0) open reading frame in both classes.</w:t>
      </w:r>
    </w:p>
    <w:p>
      <w:pPr>
        <w:spacing w:after="120"/>
      </w:pPr>
      <w:r>
        <w:t xml:space="preserve">(A) Attention weight per candidate open reading frame rank, by class (NMD susceptible in coral, non-NMD in blue). Most attention concentrates at the rank-0 open reading frame in both classes (median ~0.74–0.76). The median rank-0 attention is slightly lower in NMD, with a corresponding shift of attention onto ranks 1–4 and a long tail of NMD isoforms placing more than 25 % of attention on a non-rank-0 candidate.</w:t>
      </w:r>
    </w:p>
    <w:p>
      <w:pPr>
        <w:spacing w:after="120"/>
      </w:pPr>
      <w:r>
        <w:t xml:space="preserve">(B) Shannon entropy of the per-isoform attention vector across the five candidate open reading frames (higher entropy, more broadly distributed attention). The NMD density is shifted toward higher entropy than the Control density, quantifying the broader spread shown in Panel A.</w:t>
      </w:r>
    </w:p>
    <w:p>
      <w:pPr>
        <w:spacing w:after="120"/>
      </w:pPr>
      <w:r>
        <w:t xml:space="preserve">Abbreviations. NMD, nonsense-mediated decay.</w:t>
      </w:r>
    </w:p>
    <w:p>
      <w:pPr>
        <w:spacing w:after="240"/>
      </w:pPr>
    </w:p>
    <w:p>
      <w:pPr>
        <w:spacing w:after="60" w:before="120"/>
        <w:jc w:val="center"/>
      </w:pPr>
      <w:r>
        <w:drawing>
          <wp:inline distT="0" distB="0" distL="0" distR="0">
            <wp:extent cx="5943600" cy="181927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81927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Shapley attributions of the model's NMD prediction across its three input branches — the start-codon window, the stop-codon window, and a set of structural features — measured at the branch-aggregation point of the trained network (the same attribution method as in Figure 5 Panel C). Attributions are stratified across three isoform subclasses defined in Figure 4 Panels C and D: NMD susceptible with a premature termination codon (NMD+/PTC+, n = 1,016), NMD susceptible without a premature termination codon (NMD+/PTC−, n = 95), and matched non-NMD Controls (n = 1,107). Attributions are computed for every isoform in the subgroup.</w:t>
      </w:r>
    </w:p>
    <w:p>
      <w:pPr>
        <w:spacing w:after="120"/>
      </w:pPr>
      <w:r>
        <w:t xml:space="preserve">Each panel matches the style of Figure 5 Panel C: bars are ordered structural / stop / start; the value inside each bar is the mean absolute Shapley attribution at that branch; the percentage above each bar is that branch's share of the within-subclass total attribution. The vertical scale is identical across the three panels so heights can be compared directly.</w:t>
      </w:r>
    </w:p>
    <w:p>
      <w:pPr>
        <w:spacing w:after="120"/>
      </w:pPr>
      <w:r>
        <w:t xml:space="preserve">(A) NMD susceptible with a premature termination codon (NMD+/PTC+). Structural features dominate (62 % of total branch attribution); the stop-codon window contributes 29 %; the start-codon window contributes 9 %. This pattern mirrors the pooled attribution shown in Figure 5 Panel C — when a premature termination codon is present, the structural and stop-codon features carry the prediction.</w:t>
      </w:r>
    </w:p>
    <w:p>
      <w:pPr>
        <w:spacing w:after="120"/>
      </w:pPr>
      <w:r>
        <w:t xml:space="preserve">(B) NMD susceptible without a premature termination codon (NMD+/PTC−). The structural share drops to 53 % (no premature termination codon means no excess downstream-junction signal); the stop share is essentially unchanged at 29 %; the start-codon-window share doubles to 18 %. The model relies more heavily on start-codon context to call NMD in these isoforms.</w:t>
      </w:r>
    </w:p>
    <w:p>
      <w:pPr>
        <w:spacing w:after="120"/>
      </w:pPr>
      <w:r>
        <w:t xml:space="preserve">(C) Non-NMD Controls. The proportional profile resembles NMD+/PTC+ (62 % / 27 % / 11 %) but at lower absolute magnitude across all three branches.</w:t>
      </w:r>
    </w:p>
    <w:p>
      <w:pPr>
        <w:spacing w:after="120"/>
      </w:pPr>
      <w:r>
        <w:t xml:space="preserve">The start-codon-window share in NMD+/PTC− is ~2-fold higher than in NMD+/PTC+ (18 % vs 9 %), quantifying the shift toward start-codon information when a premature termination codon is not present.</w:t>
      </w:r>
    </w:p>
    <w:p>
      <w:pPr>
        <w:spacing w:after="120"/>
      </w:pPr>
      <w:r>
        <w:t xml:space="preserve">Abbreviations. NMD, nonsense-mediated decay;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restricted to isoforms in the same 1,166 gene-matched pairs used by Figure 4 Panels C and D and Figure 5 Panel G, and stratified by the same three subclasses: NMD susceptible with a premature termination codon (NMD+/PTC+, n = 255), NMD susceptible without a premature termination codon (NMD+/PTC−, n = 30), and matched non-NMD Controls (n = 276). Subgroup sample sizes reflect held-out-test-set membership rather than the total subgroup.</w:t>
      </w:r>
    </w:p>
    <w:p>
      <w:pPr>
        <w:spacing w:after="120"/>
      </w:pPr>
      <w:r>
        <w:t xml:space="preserve">(A) Receiver-operating-characteristic curves for the two NMD-vs-Control contrasts, using the model's predicted NMD probability as the score. The NMD+/PTC+ vs Control contrast achieves AUC = 0.96 (AUPRC = 0.94). The NMD+/PTC− vs Control contrast achieves AUC = 0.74 (AUPRC = 0.26). Diagonal, chance. The substantial AUC drop indicates that NMD-susceptible isoforms without an annotated premature termination codon are intrinsically harder for the model to discriminate from non-NMD isoforms — consistent with the loss of structural and stop-window signal shown in SF39.</w:t>
      </w:r>
    </w:p>
    <w:p>
      <w:pPr>
        <w:spacing w:after="120"/>
      </w:pPr>
      <w:r>
        <w:t xml:space="preserve">(B) Distribution of the per-isoform predicted NMD probability by subclass. NMD+/PTC+ isoforms cluster at high probability (mean = 0.85), comfortably above the 0.5 decision threshold; non-NMD Controls cluster at low probability (mean = 0.19); NMD+/PTC− isoforms straddle the threshold (mean = 0.39), placing many of them on the Control side of the decision boundary. Boxplots show median, IQR, and 1.5×IQR whiskers; the dashed horizontal line marks the 0.5 default decision threshold.</w:t>
      </w:r>
    </w:p>
    <w:p>
      <w:pPr>
        <w:spacing w:after="120"/>
      </w:pPr>
      <w:r>
        <w:t xml:space="preserve">Abbreviations. AUC, area under the receiver-operating-characteristic curve; AUPRC, area under the precision–recall curve; NMD, nonsense-mediated decay; PTC, premature termination codon; IQR, interquartile range.</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AUG and Stop-Codon Windows." title="SF41 | Rolling GC Content Across the AUG and Stop-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AUG and Stop-Codon Windows. </w:t>
      </w:r>
      <w:r>
        <w:t xml:space="preserve">Mean rolling GC content per position of the transcript sequences supplied to the deep-learning model, comparing NMD susceptible (orange) and Control (blue) transcripts on the held-out test set. Each transcript's window is centred on its main open reading frame's start or stop codon.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NMD susceptible transcripts are restricted here to those whose main open reading frame is the annotated reference CDS (n = 1,743 of 2,268 NMD test transcripts, 76.9%), so that position 0 is the reference stop codon rather than a downstream TransDecoder2 stop codon; Control transcripts are unrestricted (n = 7,863). GC content is computed in a 50-nt sliding window with a 10-nt step from the model's one-hot nucleotide input channels; shading, ± 1 standard error of the mean. A) AUG window. B) Stop codon window.</w:t>
      </w:r>
    </w:p>
    <w:p>
      <w:pPr>
        <w:spacing w:after="240"/>
      </w:pPr>
    </w:p>
    <w:p>
      <w:pPr>
        <w:spacing w:after="60" w:before="120"/>
        <w:jc w:val="center"/>
      </w:pPr>
      <w:r>
        <w:drawing>
          <wp:inline distT="0" distB="0" distL="0" distR="0">
            <wp:extent cx="5943600" cy="2047875"/>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047875"/>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Three NMD-prediction models are scored against the same continuous gold standard — the mashr posterior-mean log₂ fold-change of each transcript under SMG1 inhibition — on the held-out test set of long-read-observed transcripts (chromosomes 1, 3, 5, 7; n = 561 total: 255 NMD-susceptible with a premature termination codon (NMD+/PTC+), 30 NMD-susceptible without a premature termination codon (NMD+/PTC−), and 276 non-NMD Controls). The models compared are NMDetective-B (Lindeboom et al. 2019), the NMDEP rule-tree baseline (Saadat &amp; Fellay 2025), and the deep-learning model developed here.</w:t>
      </w:r>
    </w:p>
    <w:p>
      <w:pPr>
        <w:spacing w:after="120"/>
      </w:pPr>
      <w:r>
        <w:t xml:space="preserve">(A) Predicted NMD score (x-axis) versus the gold-standard log fold-change (y-axis), one subpanel per model. Each point is one transcript, coloured by subclass. Pooled Spearman correlation is annotated. All three models reach a similar pooled correlation (0.76–0.77), driven by the easy separation of NMD-susceptible transcripts from Controls.</w:t>
      </w:r>
    </w:p>
    <w:p>
      <w:pPr>
        <w:spacing w:after="120"/>
      </w:pPr>
      <w:r>
        <w:t xml:space="preserve">(B) Within-subclass Spearman correlation per model — the same scoring restricted to one PTC subclass at a time, isolating each model's ability to rank-order NMD susceptibility among transcripts of the same class. The deep-learning model achieves Spearman 0.34 (PTC+), 0.51 (PTC−), and 0.23 (Control). The two rule-tree models achieve ≤0.22 within PTC+, ≤0.01 within Controls, and are anti-correlated with the gold standard within PTC− (Spearman −0.14), because every PTC− transcript is by definition not flagged as a premature stop by the rule cascade despite being a real NMD substrate.</w:t>
      </w:r>
    </w:p>
    <w:p>
      <w:pPr>
        <w:spacing w:after="120"/>
      </w:pPr>
      <w:r>
        <w:t xml:space="preserve">Abbreviations. mashr, multivariate adaptive shrinkage; NMD, nonsense-mediated decay; NMDEP, neural-network NMD efficacy predictor (Saadat &amp; Fellay 2025); PTC, premature termination codon; SMG1, suppressor of morphogenesis in genitalia-1 (the kinase whose inhibition stabilises NMD substrates).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ad6f29caff2fc4759218f0fcb299785ff397c56.png"/><Relationship Id="rId8" Type="http://schemas.openxmlformats.org/officeDocument/2006/relationships/image" Target="media/7b36439bda98f38cd90e35ffab8b2f0a88660aa3.png"/><Relationship Id="rId9" Type="http://schemas.openxmlformats.org/officeDocument/2006/relationships/image" Target="media/5ab0de75bceb54edd91672b9e551765ee64dad64.png"/><Relationship Id="rId10" Type="http://schemas.openxmlformats.org/officeDocument/2006/relationships/image" Target="media/21e0084e5453fd742c2a6fda79dab0d51b493542.png"/><Relationship Id="rId11" Type="http://schemas.openxmlformats.org/officeDocument/2006/relationships/image" Target="media/d5756c5230071677eabdd92b41e7b1b2a31676e4.png"/><Relationship Id="rId12" Type="http://schemas.openxmlformats.org/officeDocument/2006/relationships/image" Target="media/03ad67799978fc5eabff4d07e08e85aaa660ca35.png"/><Relationship Id="rId13" Type="http://schemas.openxmlformats.org/officeDocument/2006/relationships/image" Target="media/2e06886599d5086a9ce92b22696eac94c48644d3.png"/><Relationship Id="rId14" Type="http://schemas.openxmlformats.org/officeDocument/2006/relationships/image" Target="media/41bc30615d8b09691c76b704a677882448742293.png"/><Relationship Id="rId15" Type="http://schemas.openxmlformats.org/officeDocument/2006/relationships/image" Target="media/c824b16fe2a9e5d6fefc91d8009621252aaf386d.png"/><Relationship Id="rId16" Type="http://schemas.openxmlformats.org/officeDocument/2006/relationships/image" Target="media/6fd9c4331de18a01693a5da4d37241dc8e002fae.png"/><Relationship Id="rId17" Type="http://schemas.openxmlformats.org/officeDocument/2006/relationships/image" Target="media/f548cc4d39a9afeb4c58ef3c9253d741f1e0f951.png"/><Relationship Id="rId18" Type="http://schemas.openxmlformats.org/officeDocument/2006/relationships/image" Target="media/d7dca8a3361fba239fe8464239606830c1617cdd.png"/><Relationship Id="rId19" Type="http://schemas.openxmlformats.org/officeDocument/2006/relationships/image" Target="media/9f91511a646a4e95ac32153bde95860b4e12a2c9.png"/><Relationship Id="rId20" Type="http://schemas.openxmlformats.org/officeDocument/2006/relationships/image" Target="media/1dfe58e19889fc066157a2ea63d8f331b248715d.png"/><Relationship Id="rId21" Type="http://schemas.openxmlformats.org/officeDocument/2006/relationships/image" Target="media/5bd66994fa48191279c689f0b500d35df1a921df.png"/><Relationship Id="rId22" Type="http://schemas.openxmlformats.org/officeDocument/2006/relationships/image" Target="media/d9ea45a5889be8369a229e574075f790d020368d.png"/><Relationship Id="rId23" Type="http://schemas.openxmlformats.org/officeDocument/2006/relationships/image" Target="media/d7d516a321d0c9ceb4275facbce2f4d0b46bb27b.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2026-07-09T10:08:15.151Z</dcterms:created>
  <dcterms:modified xsi:type="dcterms:W3CDTF">2026-07-09T10:08:15.156Z</dcterms:modified>
</cp:coreProperties>
</file>

<file path=docProps/custom.xml><?xml version="1.0" encoding="utf-8"?>
<Properties xmlns="http://schemas.openxmlformats.org/officeDocument/2006/custom-properties" xmlns:vt="http://schemas.openxmlformats.org/officeDocument/2006/docPropsVTypes"/>
</file>