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3,009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3,009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3,009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57925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3,009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1,166 comparators (all of Subset 2, gene-matched ref-AUG-traceable). Stop anchor: reference-AUG-traced (the first in-frame stop reached after projecting the reference gene's AUG onto the comparator); this avoids the attenuation that would arise from TD2 anchoring on non-PTC main ORFs. Median log₂ fold-change is 2.20 above the 50-nt threshold and 1.09 at or below it (Wilcoxon one-sided p = 1.1 × 10⁻²⁰).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1,050),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reference-AUG-traced,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1,166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492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1,050 NMD+/PTC+, 116 NMD+/PTC−, 1,166 Control). Stop anchor: the reference gene's AUG projected onto the comparator, which is unbiased with respect to TD2's PTC-avoidance (see SF33). Panels A–C match SF32. Solid black bar inside each violin, median. (Panel C NMD+/PTC+ n = 1,042 and Control n = 1,164;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centred on its main open reading frame's start and stop codons.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6482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open reading frame of each transcript in the deep-learning model's held-out test set (n = 2,268 NMD susceptible, n = 7,863 non-NMD).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Percentages: UGA 55.9% vs 48.1%; UAA 23.9% vs 29.9%; UAG 20.2% vs 22.0%. Abbreviations. NMD, nonsense-mediated decay;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c6e2de4eee24757e4cf654187003543fee805baf.png"/><Relationship Id="rId9" Type="http://schemas.openxmlformats.org/officeDocument/2006/relationships/image" Target="media/cf35e988dde2d51590304039e0abf3883e7af063.png"/><Relationship Id="rId10" Type="http://schemas.openxmlformats.org/officeDocument/2006/relationships/image" Target="media/1792a8f46da6bb30c515123df7ec278f46b73e69.png"/><Relationship Id="rId11" Type="http://schemas.openxmlformats.org/officeDocument/2006/relationships/image" Target="media/e73d18de0ded9054da99e98dfa171e0ff37a1823.png"/><Relationship Id="rId12" Type="http://schemas.openxmlformats.org/officeDocument/2006/relationships/image" Target="media/85270d30b3c13228986d83747f7a0cd45ae06490.png"/><Relationship Id="rId13" Type="http://schemas.openxmlformats.org/officeDocument/2006/relationships/image" Target="media/70f5fc255437608e618f4d04f50fc204337c904b.png"/><Relationship Id="rId14" Type="http://schemas.openxmlformats.org/officeDocument/2006/relationships/image" Target="media/883c465ae25cf3c0406aebb8ed7709cf5dd246d3.png"/><Relationship Id="rId15" Type="http://schemas.openxmlformats.org/officeDocument/2006/relationships/image" Target="media/5c7add6352b0024c4f7bb623427a40ea3fe3c1f8.png"/><Relationship Id="rId16" Type="http://schemas.openxmlformats.org/officeDocument/2006/relationships/image" Target="media/e26ede3c80802daaa54a59e7af6920bf858789f8.png"/><Relationship Id="rId17" Type="http://schemas.openxmlformats.org/officeDocument/2006/relationships/image" Target="media/bf6f9628f80fac58b821fd53e708b10c27ca818a.png"/><Relationship Id="rId18" Type="http://schemas.openxmlformats.org/officeDocument/2006/relationships/image" Target="media/7ae3c8ca59a1eb219169abd4e35aeb0514c477b8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d7dca8a3361fba239fe8464239606830c1617cdd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50fb8fbbb47651f5eb25dd22f04bce20f8c6a0e8.png"/><Relationship Id="rId23" Type="http://schemas.openxmlformats.org/officeDocument/2006/relationships/image" Target="media/a6791e941844351bde3d89c84f52ddb94611b264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2026-07-10T22:30:50.451Z</dcterms:created>
  <dcterms:modified xsi:type="dcterms:W3CDTF">2026-07-10T22:30:50.457Z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