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Isopair splice event categories." title="SF24 |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Isopair splice event categories. </w:t>
      </w:r>
      <w:r>
        <w:t xml:space="preserve">Schematic of the twelve splice 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 Abbreviations. A3SS, alternative 3′ splice site; A5SS, alternative 5′ splice site; Alt TES, alternative transcription end site; Alt TSS, alternative transcription start site; IR, intron retention.</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3,009 genes for which gene-matched NMD susceptible / reference / non-NMD isoform triplets could be constructed. The median gene contributes 7 isoforms (dashed line). Counts include all long-read isoforms passing the expression filter in at least one of the four cell types (AT2, LAE, FB, MV) under DMSO. Abbreviations. DMSO, dimethyl sulfoxide.</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3,009 genes (each contributing a gene-matched NMD susceptible / reference / non-NMD isoform triplet) of the reference isoform's DMSO 4-cell-type mean expression as a fraction of the parent gene's total non-NMD expression. Reference isoforms are the highest-expressed non-NMD isoform per gene under DMSO across AT2, LAE, FB and MV. Dashed line, median; dotted line, 50% threshold. Abbreviations. DMSO, dimethyl sulfoxide.</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3,009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DMSO, dimethyl sulfoxide; nt, nucleotide.</w:t>
      </w:r>
    </w:p>
    <w:p>
      <w:pPr>
        <w:spacing w:after="240"/>
      </w:pPr>
    </w:p>
    <w:p>
      <w:pPr>
        <w:spacing w:after="60" w:before="120"/>
        <w:jc w:val="center"/>
      </w:pPr>
      <w:r>
        <w:drawing>
          <wp:inline distT="0" distB="0" distL="0" distR="0">
            <wp:extent cx="5943600" cy="6257925"/>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257925"/>
                    </a:xfrm>
                    <a:prstGeom prst="rect">
                      <a:avLst/>
                    </a:prstGeom>
                  </pic:spPr>
                </pic:pic>
              </a:graphicData>
            </a:graphic>
          </wp:inline>
        </w:drawing>
      </w:r>
    </w:p>
    <w:p>
      <w:pPr>
        <w:spacing w:after="120"/>
      </w:pPr>
      <w:r>
        <w:rPr>
          <w:b/>
          <w:bCs/>
        </w:rPr>
        <w:t xml:space="preserve">SF28 | Isopair analysis flowchart. </w:t>
      </w:r>
      <w:r>
        <w:t xml:space="preserve">Data flow for the isoform pair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Splice events where NMD susceptible isoform gains sequence content." title="SF29 | Splice events where NMD susceptible isoform gains sequenc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Splice events where NMD susceptible isoform gains sequence content. </w:t>
      </w:r>
      <w:r>
        <w:t xml:space="preserve">Percentage of detected splice events (across 3,009 gene-matched isoform triplets, both NMD and Control comparators) in which the comparator has additional sequence relative to its reference isoform (Gain direction). One bar-pair per event type — NMD comparators (orange) vs Control comparators (blue) — sorted by NMD-side %Gain, descending. Direction is defined from the comparator's perspective (see SF24 for event type definitions). Fisher's exact test on the 2 × 2 (Gain/Loss × NMD/Control) count table per event type: *p &lt; 0.05, **p &lt; 10⁻³, ***p &lt; 10⁻⁴;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isoform NMD-response magnitude (mashr posterior-mean log₂ fold-change under SMG1 inhibition, averaged across AT2, LAE, FB and MV) plotted against the distance from the comparator's stop codon to the transcript's last exon junction complex. Positive values, stop codon upstream of the last EJC (candidate NMD substrate); negative values, stop codon downstream of the last EJC. Gray points, individual comparators (1st–99th percentile of x-axis shown); orange line, local-linear smoother; orange band, bootstrap 95% CI. Dashed red line, 50-nt PTC threshold. Population: n = 1,166 NMD susceptible comparators (all of Subset 2, gene-matched reference AUG-traceable). Stop anchor: reference AUG-traced (the first in-frame stop reached after projecting the reference gene's AUG onto the comparator); this avoids the attenuation that would arise from TD2 anchoring on non-PTC main ORFs. Median log₂ fold-change is 2.20 above the 50-nt threshold and 1.09 below it (one-sided Wilcoxon rank-sum p = 1.1 × 10⁻²⁰). Abbreviations. CI, confidence interval; EJC, exon junction complex; nt, nucleotide; ORF, open reading frame; PTC, premature termination codon; SMG1, suppressor of morphogenesis in genitalia-1; TD2, TransDecoder2.</w:t>
      </w:r>
    </w:p>
    <w:p>
      <w:pPr>
        <w:spacing w:after="240"/>
      </w:pPr>
    </w:p>
    <w:p>
      <w:pPr>
        <w:spacing w:after="60" w:before="120"/>
        <w:jc w:val="center"/>
      </w:pPr>
      <w:r>
        <w:drawing>
          <wp:inline distT="0" distB="0" distL="0" distR="0">
            <wp:extent cx="5943600" cy="3562350"/>
            <wp:effectExtent t="0" r="0" b="0" l="0"/>
            <wp:docPr id="1" name="SF31_NMDEffectByEJCCount" descr="SF31 | NMD effect size by downstream EJC count in PTC+ NMD comparators." title="SF31 | NMD effect size by downstream EJC count in PTC+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562350"/>
                    </a:xfrm>
                    <a:prstGeom prst="rect">
                      <a:avLst/>
                    </a:prstGeom>
                  </pic:spPr>
                </pic:pic>
              </a:graphicData>
            </a:graphic>
          </wp:inline>
        </w:drawing>
      </w:r>
    </w:p>
    <w:p>
      <w:pPr>
        <w:spacing w:after="120"/>
      </w:pPr>
      <w:r>
        <w:rPr>
          <w:b/>
          <w:bCs/>
        </w:rPr>
        <w:t xml:space="preserve">SF31 | NMD effect size by downstream EJC count in PTC+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1,050), drawn from the same Subset 2 population as SF30. Downstream-EJC counts of 7 or more are collapsed into a single "7+" bin. Violin, kernel density; solid black bar, median; red line, per-bin median trend. Per-bin sample counts are shown above each violin. Stop anchor: reference AUG-traced, matching SF30. Abbreviations. EJC, exon junction complex; PTC, premature termination codon.</w:t>
      </w:r>
    </w:p>
    <w:p>
      <w:pPr>
        <w:spacing w:after="240"/>
      </w:pPr>
    </w:p>
    <w:p>
      <w:pPr>
        <w:spacing w:after="60" w:before="120"/>
        <w:jc w:val="center"/>
      </w:pPr>
      <w:r>
        <w:drawing>
          <wp:inline distT="0" distB="0" distL="0" distR="0">
            <wp:extent cx="5943600" cy="29718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9718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72 NMD+/PTC+, 118 NMD+/PTC−, 190 Control). Stop anchor: each isoform's own annotated CDS. (A) CDS length; (B) 3′UTR length from the annotated stop to transcript end; (C) 3′UTR length after walking past any premature stop to the first non-premature stop (Panel C NMD+/PTC+ n = 66; 6 comparators lack a downstream non-premature stop and are dropped). Solid black bar inside each violin, median. Two-sided Wilcoxon rank-sum: *p &lt; 0.05, **p &lt; 10⁻³, ***p &lt; 10⁻⁴;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1,166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492 comparators in which projecting the reference AUG revealed a PTC that the TD2 CDS call did not. Panels A–C match SF33. Abbreviations. CDS, coding sequence; ORF, open reading frame; PTC, premature termination codon; TD2, TransDecoder2.</w:t>
      </w:r>
    </w:p>
    <w:p>
      <w:pPr>
        <w:spacing w:after="240"/>
      </w:pPr>
    </w:p>
    <w:p>
      <w:pPr>
        <w:spacing w:after="60" w:before="120"/>
        <w:jc w:val="center"/>
      </w:pPr>
      <w:r>
        <w:drawing>
          <wp:inline distT="0" distB="0" distL="0" distR="0">
            <wp:extent cx="5943600" cy="29718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9718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1,050 NMD+/PTC+, 116 NMD+/PTC−, 1,166 Control). Stop anchor: the reference gene's AUG projected onto the comparator, which is unbiased with respect to TD2's PTC-avoidance (see SF33). Panels A–C match SF32. Solid black bar inside each violin, median. (Panel C NMD+/PTC+ n = 1,042 and Control n = 1,164; comparators without a downstream non-premature stop are dropped.) Two-sided Wilcoxon rank-sum: *p &lt; 0.05, **p &lt; 10⁻³, ***p &lt; 10⁻⁴; n.s. otherwise. Abbreviations. CDS, coding sequence; PTC, premature termination codon; TD2, TransDecoder2.</w:t>
      </w:r>
    </w:p>
    <w:p>
      <w:pPr>
        <w:spacing w:after="240"/>
      </w:pPr>
    </w:p>
    <w:p>
      <w:pPr>
        <w:spacing w:after="60" w:before="120"/>
        <w:jc w:val="center"/>
      </w:pPr>
      <w:r>
        <w:drawing>
          <wp:inline distT="0" distB="0" distL="0" distR="0">
            <wp:extent cx="5943600" cy="2381250"/>
            <wp:effectExtent t="0" r="0" b="0" l="0"/>
            <wp:docPr id="1" name="SF36_ShapAcrossWindows" descr="SF36 | Total |SHAP| across the start codon and stop codon windows." title="SF36 | Total |SHAP|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381250"/>
                    </a:xfrm>
                    <a:prstGeom prst="rect">
                      <a:avLst/>
                    </a:prstGeom>
                  </pic:spPr>
                </pic:pic>
              </a:graphicData>
            </a:graphic>
          </wp:inline>
        </w:drawing>
      </w:r>
    </w:p>
    <w:p>
      <w:pPr>
        <w:spacing w:after="120"/>
      </w:pPr>
      <w:r>
        <w:rPr>
          <w:b/>
          <w:bCs/>
        </w:rPr>
        <w:t xml:space="preserve">SF36 | Total |SHAP| across the start codon and stop codon windows. </w:t>
      </w:r>
      <w:r>
        <w:t xml:space="preserve">Per-position |SHAP| summed across the nine input channels of the deep-learning model, comparing NMD susceptible (orange) and Control (blue) transcripts on the held-out test set (NMD n = 2,268, Control n = 7,863). Each transcript's start codon and stop codon windows are centered on its main ORF's start and stop codons. Values are smoothed with a 12-nt rolling mean over the raw per-position |SHAP| to abstract over trinucleotide-frame periodicity. (A) Start codon window covering positions –250 to +249 relative to the start codon. (B) Stop codon window covering the same relative range around the stop codon. Pooled across five DeepSHAP runs (500 background samples each). Abbreviations. nt, nucleotide; ORF, open reading frame; SHAP, Shapley Additive Explanations.</w:t>
      </w:r>
    </w:p>
    <w:p>
      <w:pPr>
        <w:spacing w:after="240"/>
      </w:pPr>
    </w:p>
    <w:p>
      <w:pPr>
        <w:spacing w:after="60" w:before="120"/>
        <w:jc w:val="center"/>
      </w:pPr>
      <w:r>
        <w:drawing>
          <wp:inline distT="0" distB="0" distL="0" distR="0">
            <wp:extent cx="5943600" cy="424815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24815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Percentages: UGA 55.9% vs 48.1%; UAA 23.9% vs 29.9%; UAG 20.2% vs 22.0%. Per-codon Fisher's exact test on the 2 × 2 (this codon vs the other two × NMD vs Control) count table: *p &lt; 0.05, **p &lt; 10⁻³, ***p &lt; 10⁻⁴; n.s. otherwise. Abbreviations. ORF, open reading frame; UGA / UAA / UAG, the three canonical stop codons in RNA notation.</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highest-priority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90750"/>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90750"/>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1,016), NMD+/PTC− (n = 95), Control (n = 1,107). Interpretability is computed on all reference AUG-traceable isoforms (not restricted to the held-out test set), so subgroup sample sizes are larger than in SF40, which reports discrimination on the held-out test subset only.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255), NMD+/PTC− (n = 30), and Control (n = 276). Subgroup sample sizes reflect held-out-test-set membership. (A) ROC curves for the two NMD-vs-Control contrasts, using the model's predicted NMD probability as the score; AUC and AUPRC annotated per contrast; diagonal, chance. (B) Distribution of per-isoform predicted NMD probability by subclass. Abbreviations. AUC, area under the ROC curve; AUPRC, area under the precision–recall curve; PTC, premature termination codon; ROC, receiver-operating-characteristic.</w:t>
      </w:r>
    </w:p>
    <w:p>
      <w:pPr>
        <w:spacing w:after="240"/>
      </w:pPr>
    </w:p>
    <w:p>
      <w:pPr>
        <w:spacing w:after="60" w:before="120"/>
        <w:jc w:val="center"/>
      </w:pPr>
      <w:r>
        <w:drawing>
          <wp:inline distT="0" distB="0" distL="0" distR="0">
            <wp:extent cx="5943600" cy="211455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11455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ORF, open reading frame; SEM, standard error of the mean.</w:t>
      </w:r>
    </w:p>
    <w:p>
      <w:pPr>
        <w:spacing w:after="240"/>
      </w:pPr>
    </w:p>
    <w:p>
      <w:pPr>
        <w:spacing w:after="60" w:before="120"/>
        <w:jc w:val="center"/>
      </w:pPr>
      <w:r>
        <w:drawing>
          <wp:inline distT="0" distB="0" distL="0" distR="0">
            <wp:extent cx="5943600" cy="6486525"/>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6486525"/>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561: NMD+/PTC+ 255, NMD+/PTC− 30, Control 276).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a53a84c0c43b5be7a78434dab31a1d254c36bac4.png"/><Relationship Id="rId9" Type="http://schemas.openxmlformats.org/officeDocument/2006/relationships/image" Target="media/11dc1ef183455544770f1f552a6760a629127495.png"/><Relationship Id="rId10" Type="http://schemas.openxmlformats.org/officeDocument/2006/relationships/image" Target="media/a1850bb0f0050261134aa2db45e3c777322b61e4.png"/><Relationship Id="rId11" Type="http://schemas.openxmlformats.org/officeDocument/2006/relationships/image" Target="media/e73d18de0ded9054da99e98dfa171e0ff37a1823.png"/><Relationship Id="rId12" Type="http://schemas.openxmlformats.org/officeDocument/2006/relationships/image" Target="media/631e18083ef58796a03777e1de62c673a69faa29.png"/><Relationship Id="rId13" Type="http://schemas.openxmlformats.org/officeDocument/2006/relationships/image" Target="media/5f7ed8998b2a150ad86672a5b67ec9b8d578bf8a.png"/><Relationship Id="rId14" Type="http://schemas.openxmlformats.org/officeDocument/2006/relationships/image" Target="media/4e29c1f57e45089f289d7f7018dd180dc1a7c127.png"/><Relationship Id="rId15" Type="http://schemas.openxmlformats.org/officeDocument/2006/relationships/image" Target="media/fa278f8f7de5a2374b6ede4d2b7f34d2af6bcbe4.png"/><Relationship Id="rId16" Type="http://schemas.openxmlformats.org/officeDocument/2006/relationships/image" Target="media/2a2655e161abedb7229a1b6053967ea32d09a148.png"/><Relationship Id="rId17" Type="http://schemas.openxmlformats.org/officeDocument/2006/relationships/image" Target="media/26743dc512d671e06b0aed2d65451e6435e1575b.png"/><Relationship Id="rId18" Type="http://schemas.openxmlformats.org/officeDocument/2006/relationships/image" Target="media/d70ae53cba2bedfff360aa21488348f33f574ad8.png"/><Relationship Id="rId19" Type="http://schemas.openxmlformats.org/officeDocument/2006/relationships/image" Target="media/c7cebbcbff275c2c6975d2d3dc531d81772b95e3.png"/><Relationship Id="rId20" Type="http://schemas.openxmlformats.org/officeDocument/2006/relationships/image" Target="media/ab71881cb9dc07cb4b8e8ed53fa0af2dd107b570.png"/><Relationship Id="rId21" Type="http://schemas.openxmlformats.org/officeDocument/2006/relationships/image" Target="media/0004402eb3ba962d66d2aa3b7bd7f67ca2ecbbd7.png"/><Relationship Id="rId22" Type="http://schemas.openxmlformats.org/officeDocument/2006/relationships/image" Target="media/110fc2bca21023df5d645c40e621f6de1ccfdaf8.png"/><Relationship Id="rId23" Type="http://schemas.openxmlformats.org/officeDocument/2006/relationships/image" Target="media/b4041861e03a4fd372bc75aae4132189df0a95bb.png"/><Relationship Id="rId24" Type="http://schemas.openxmlformats.org/officeDocument/2006/relationships/image" Target="media/e37504ea8f7d0a7fbd59c8a774ef86cac30fc6e2.png"/><Relationship Id="rId25" Type="http://schemas.openxmlformats.org/officeDocument/2006/relationships/image" Target="media/51015f1b7ad455c57d5959f102bdbbcf1cd5fd15.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2026-07-09T22:14:16.597Z</dcterms:created>
  <dcterms:modified xsi:type="dcterms:W3CDTF">2026-07-09T22:14:16.603Z</dcterms:modified>
</cp:coreProperties>
</file>

<file path=docProps/custom.xml><?xml version="1.0" encoding="utf-8"?>
<Properties xmlns="http://schemas.openxmlformats.org/officeDocument/2006/custom-properties" xmlns:vt="http://schemas.openxmlformats.org/officeDocument/2006/docPropsVTypes"/>
</file>