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5_SpliceEventCategories" descr="SF25 | Twelve Isopair Splice Event Categories." title="SF25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SF25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6_IsoformsPerGene" descr="SF26 | Isoforms per Gene in Isopair Analysis." title="SF26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7_ReferenceShare" descr="SF27 | Reference Share of Gene Expression." title="SF27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SF27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8_TranscriptLengthByRole" descr="SF28 | Transcript Length by Isopair Analysis Category." title="SF28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SF28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9_PairAnalysisFlowchart" descr="SF29 | Isopair Analysis Flowchart." title="SF29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SF29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30_GainDirectionByEvent" descr="SF30 | Gain Direction by Splice Event Type." title="SF30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SF30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Direction is defined from the comparator's perspective (see SF25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1_PTCDistanceDoseResponse" descr="SF31 | NMD-Response Magnitude vs Stop Codon Distance to Last EJC." title="SF31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SF31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SF29).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2_NMDEffectByEJCCount" descr="SF32 | NMD Effect Size by Downstream EJC Count in PTC-Positive NMD Comparators." title="SF32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SF32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SF29. Downstream-EJC counts of 7 or more are collapsed into a single "7+" bin. Violin, kernel density; overlaid box, interquartile range and median; red line, per-bin median trend. Per-bin sample counts are shown above each violin. Stop anchor: reference AUG-traced, matching SF31.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3_CdsAnd3UTR_GENCODE" descr="SF33 | CDS and 3′UTR Length Across Isoform Classes in the GENCODE-Restricted Isoform Pairs Subset." title="SF33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SF33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4_TD2Bias_broad" descr="SF34 | TD2 Versus Reference AUG-Traced ORFs, Reference AUG-Traceable Cohort." title="SF34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5_TD2Bias_occult" descr="SF35 | TD2 Versus Reference AUG-Traced ORFs, Occult-PTC Subset." title="SF35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SF35 | TD2 Versus Reference AUG-Traced ORFs, Occult-PTC Subset. </w:t>
      </w:r>
      <w:r>
        <w:t xml:space="preserve">Restricted to the n = 348 comparators in which projecting the reference AUG revealed a PTC that the TD2 CDS call did not. (A) ORF-length distribution, TD2 call vs reference AUG projected onto the same transcript. (B) Paired Kozak PWM score at the reference AUG vs the TD2-predicted start codon. (C) Position of the TD2 start codon relative to the reference AUG (0 = same site).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6_CdsAnd3UTR_refAUG" descr="SF36 | CDS and 3′UTR Length Across Isoform Classes, Reference AUG-Traceable Cohort." title="SF36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SF36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SF34).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7_ShapAcrossWindows" descr="SF37 | Total |SHAP| Across the Start and Stop Codon Windows." title="SF37 | Total |SHAP| Across the Start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SF37 | Total |SHAP| Across the Start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Start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8_StopCodonUsage" descr="SF38 | Stop Codon Usage in NMD Susceptible vs Non-NMD Isoforms." title="SF38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SF38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9_AttentionDistribution" descr="SF39 | Attention Distribution Across the Model's Five Candidate ORFs, NMD Susceptible vs Non-NMD." title="SF39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SF39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40_PTCSubclassBranchSHAP" descr="SF40 | Branch-Level Shapley Attributions of the Deep-Learning Model, Stratified by Isoform PTC Subclass." title="SF40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SF40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1_PTCSubclassPerformance" descr="SF41 | Deep-Learning Model Discrimination by PTC Subclass on the Held-Out Test Set." title="SF41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SF41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 operating characteristic.</w:t>
      </w:r>
    </w:p>
    <w:p>
      <w:pPr>
        <w:spacing w:after="240"/>
      </w:pPr>
    </w:p>
    <w:p>
      <w:pPr>
        <w:spacing w:after="60" w:before="120"/>
        <w:jc w:val="center"/>
      </w:pPr>
      <w:r>
        <w:drawing>
          <wp:inline distT="0" distB="0" distL="0" distR="0">
            <wp:extent cx="5943600" cy="2476500"/>
            <wp:effectExtent t="0" r="0" b="0" l="0"/>
            <wp:docPr id="1" name="SF42_GCcontentStopWindow" descr="SF42 | Rolling GC Content Across the Start Codon and Stop Codon Windows." title="SF42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SF42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3_ModelComparison" descr="SF43 | Head-to-Head Correlation of Three NMD Predictors With the mashr Gold Standard, Pooled and per PTC Subclass." title="SF43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SF43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5482dd8b1be44b69d7d5042bfcac58f41f89d0.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03da39def928c737db22f8a75ab97f2af4a154d6.png"/><Relationship Id="rId12" Type="http://schemas.openxmlformats.org/officeDocument/2006/relationships/image" Target="media/ad81649d4807b7d2344f91189b97bc22b22b7e16.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d23254f389b2ee46817efea303a038d301f06a39.png"/><Relationship Id="rId16" Type="http://schemas.openxmlformats.org/officeDocument/2006/relationships/image" Target="media/ffa1ca3e174107f91cbe213205a2ceec816f6ea8.png"/><Relationship Id="rId17" Type="http://schemas.openxmlformats.org/officeDocument/2006/relationships/image" Target="media/6c4024c3bf92f58f265746a8affaa9f24c6a5970.png"/><Relationship Id="rId18" Type="http://schemas.openxmlformats.org/officeDocument/2006/relationships/image" Target="media/0274181c0bbe8c0e0447ea01ac726f4731e01e29.png"/><Relationship Id="rId19" Type="http://schemas.openxmlformats.org/officeDocument/2006/relationships/image" Target="media/1487980a768ae545f75b59063a8854e50bfd5608.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9f1f50ec1bbc91ebebc481074daeecc64e90c20e.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2026-07-12T11:39:26.389Z</dcterms:created>
  <dcterms:modified xsi:type="dcterms:W3CDTF">2026-07-12T11:39:26.394Z</dcterms:modified>
</cp:coreProperties>
</file>

<file path=docProps/custom.xml><?xml version="1.0" encoding="utf-8"?>
<Properties xmlns="http://schemas.openxmlformats.org/officeDocument/2006/custom-properties" xmlns:vt="http://schemas.openxmlformats.org/officeDocument/2006/docPropsVTypes"/>
</file>