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5_SpliceEventCategories" descr="SF25 | Isopair Splice Events." title="SF25 | Isopair Splice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SF25 | Isopair Splice Events.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(SE,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6381750"/>
            <wp:effectExtent t="0" r="0" b="0" l="0"/>
            <wp:docPr id="1" name="SF26_PairAnalysisFlowchart" descr="SF26 | Isopair Analysis Data Flow." title="SF26 | Isopair Analysis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SF26 | Isopair Analysis Data Flow.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3657600"/>
            <wp:effectExtent t="0" r="0" b="0" l="0"/>
            <wp:docPr id="1" name="SF27_IsoformsPerGene" descr="SF27 | Isoform Count in Isoform Pair Sets." title="SF27 | Isoform Count in Isoform Pair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SF27 | Isoform Count in Isoform Pair Sets.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8_ReferenceShare" descr="SF28 | Expression Levels of Isoform Pair Sets." title="SF28 | Expression Levels of Isoform Pair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SF28 | Expression Levels of Isoform Pair Sets.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9_TranscriptLengthByRole" descr="SF29 | Transcript Length Comparison." title="SF29 | Transcript Length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SF29 | Transcript Length Comparison.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2914650"/>
            <wp:effectExtent t="0" r="0" b="0" l="0"/>
            <wp:docPr id="1" name="SF30_GainDirectionByEvent" descr="SF30 | Gain Direction by Splice Event Type." title="SF30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SF30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Direction is defined from the comparator's perspective (see SF25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1_PTCDistanceDoseResponse" descr="SF31 | NMD-Response Magnitude vs Stop Codon Distance to Last EJC." title="SF31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SF31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SF26).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2_NMDEffectByEJCCount" descr="SF32 | NMD Effect Size by Downstream EJC Count in PTC-Positive NMD Comparators." title="SF32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SF32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SF26. Downstream-EJC counts of 7 or more are collapsed into a single "7+" bin. Violin, kernel density; overlaid box, interquartile range and median; red line, per-bin median trend. Per-bin sample counts are shown above each violin. Stop anchor: reference AUG-traced, matching SF31.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3_CdsAnd3UTR_GENCODE" descr="SF33 | CDS and 3′UTR Length Across Isoform Classes in the GENCODE-Restricted Isoform Pairs Subset." title="SF33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SF33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4_TD2Bias_broad" descr="SF34 | TD2 Versus Reference AUG-Traced ORFs, Reference AUG-Traceable Cohort." title="SF34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start codon versus at the TD2-predicted start codon. (C) Position of the TD2 start codon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5_TD2Bias_occult" descr="SF35 | TD2 Versus Reference AUG-Traced ORFs, Occult-PTC Subset." title="SF35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SF35 | TD2 Versus Reference AUG-Traced ORFs, Occult-PTC Subset. </w:t>
      </w:r>
      <w:r>
        <w:t xml:space="preserve">Restricted to the n = 348 comparators in which projecting the reference AUG revealed a PTC that the TD2 CDS call did not. (A) ORF-length distribution, TD2 call vs reference AUG projected onto the same transcript. (B) Paired Kozak PWM score at the reference start codon vs the TD2-predicted start codon. (C) Position of the TD2 start codon relative to the reference AUG (0 = same site).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6_CdsAnd3UTR_refAUG" descr="SF36 | CDS and 3′UTR Length Across Isoform Classes, Reference AUG-Traceable Cohort." title="SF36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SF36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SF34). (A) CDS length; (B) 3′UTR length from the annotated stop; (C) 3′UTR length past the first non-premature stop.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7_ShapAcrossWindows" descr="SF37 | Total |SHAP| Across the Start Codon and Stop Codon Windows." title="SF37 | Total |SHAP|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SF37 | Total |SHAP| Across the Start Codon and Stop Codon Windows. </w:t>
      </w:r>
      <w:r>
        <w:t xml:space="preserve">Per-position |SHAP| summed across the nine input channels of the deep-learning model, comparing NMD susceptible (orange) and Control (blue) transcripts on the held-out test set (NMD n = 2,268, Control n = 7,863). Each transcript's start codon and stop codon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Start codon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8_StopCodonUsage" descr="SF38 | Stop Codon Usage in NMD Susceptible vs Non-NMD Isoforms." title="SF38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SF38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9_AttentionDistribution" descr="SF39 | Attention Distribution Across the Model's Five Candidate ORFs, NMD Susceptible vs Non-NMD." title="SF39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SF39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40_PTCSubclassBranchSHAP" descr="SF40 | Branch-Level Shapley Attributions of the Deep-Learning Model, Stratified by Isoform PTC Subclass." title="SF40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SF40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1_PTCSubclassPerformance" descr="SF41 | Deep-Learning Model Discrimination by PTC Subclass on the Held-Out Test Set." title="SF41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SF41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 operating characteristic.</w:t>
      </w:r>
    </w:p>
    <w:p>
      <w:pPr>
        <w:spacing w:after="240"/>
      </w:pPr>
    </w:p>
    <w:p>
      <w:pPr>
        <w:spacing w:after="60" w:before="120"/>
        <w:jc w:val="center"/>
      </w:pPr>
      <w:r>
        <w:drawing>
          <wp:inline distT="0" distB="0" distL="0" distR="0">
            <wp:extent cx="5943600" cy="2476500"/>
            <wp:effectExtent t="0" r="0" b="0" l="0"/>
            <wp:docPr id="1" name="SF42_GCcontentStopWindow" descr="SF42 | Rolling GC Content Across the Start Codon and Stop Codon Windows." title="SF42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SF42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3_ModelComparison" descr="SF43 | Head-to-Head Correlation of Three NMD Predictors With the mashr Gold Standard, Pooled and per PTC Subclass." title="SF43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SF43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11812219c6a489940efeaf9eff6a251c0ca429.png"/><Relationship Id="rId8" Type="http://schemas.openxmlformats.org/officeDocument/2006/relationships/image" Target="media/2ef081e2273f342f51d6db60260064eaaa4accd4.png"/><Relationship Id="rId9" Type="http://schemas.openxmlformats.org/officeDocument/2006/relationships/image" Target="media/c43b360e81393b17063c50e96b0fd14a8c802c47.png"/><Relationship Id="rId10" Type="http://schemas.openxmlformats.org/officeDocument/2006/relationships/image" Target="media/5c176cac6d1c6314d9111c0654469214ce625df5.png"/><Relationship Id="rId11" Type="http://schemas.openxmlformats.org/officeDocument/2006/relationships/image" Target="media/a8e3f5d7bab95ebd74b9e60c706a5527a48865d9.png"/><Relationship Id="rId12" Type="http://schemas.openxmlformats.org/officeDocument/2006/relationships/image" Target="media/ad81649d4807b7d2344f91189b97bc22b22b7e16.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d23254f389b2ee46817efea303a038d301f06a39.png"/><Relationship Id="rId16" Type="http://schemas.openxmlformats.org/officeDocument/2006/relationships/image" Target="media/3b8d97ea6a8eb010496039ca577a9dcb6ee32ca5.png"/><Relationship Id="rId17" Type="http://schemas.openxmlformats.org/officeDocument/2006/relationships/image" Target="media/8ce4a95aa3b8cfa49fb8c2a5cfaf28a1b213d639.png"/><Relationship Id="rId18" Type="http://schemas.openxmlformats.org/officeDocument/2006/relationships/image" Target="media/0274181c0bbe8c0e0447ea01ac726f4731e01e29.png"/><Relationship Id="rId19" Type="http://schemas.openxmlformats.org/officeDocument/2006/relationships/image" Target="media/82078c7b0b729add1df2e84a44f0fa3a80c4826d.png"/><Relationship Id="rId20" Type="http://schemas.openxmlformats.org/officeDocument/2006/relationships/image" Target="media/a286fd1a2adb2cd0ad1da762aec19b25453743c7.png"/><Relationship Id="rId21" Type="http://schemas.openxmlformats.org/officeDocument/2006/relationships/image" Target="media/6946f83e58cb7f2a0c5a956dd1708ebbe96a3cb4.png"/><Relationship Id="rId22" Type="http://schemas.openxmlformats.org/officeDocument/2006/relationships/image" Target="media/9f1f50ec1bbc91ebebc481074daeecc64e90c20e.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2026-07-16T19:34:32.110Z</dcterms:created>
  <dcterms:modified xsi:type="dcterms:W3CDTF">2026-07-16T19:34:32.127Z</dcterms:modified>
</cp:coreProperties>
</file>

<file path=docProps/custom.xml><?xml version="1.0" encoding="utf-8"?>
<Properties xmlns="http://schemas.openxmlformats.org/officeDocument/2006/custom-properties" xmlns:vt="http://schemas.openxmlformats.org/officeDocument/2006/docPropsVTypes"/>
</file>