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3,009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3,009 genes (each contributing a gene-matched NMD-susceptible / reference / non-NMD isoform triplet) of the reference isoform's DMSO 4-cell-type mean expression as a fraction of the parent gene's total non-NMD expression. Reference isoforms are the highest-expressed non-NMD isoform per gene under DMSO across AT2, LAE, FB and MV. Dashed line, median; dotted line, 50% threshold.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3,009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57925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5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3,009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1,166 comparators (all of Subset 2, gene-matched ref-AUG-traceable). Stop anchor: reference AUG-traced (the first in-frame stop reached after projecting the reference gene's AUG onto the comparator); this avoids the attenuation that would arise from TD2 anchoring on non-PTC main ORFs. Median log₂ fold-change is 2.20 above the 50-nt threshold and 1.09 at or below it (Wilcoxon one-sided p = 1.1 × 10⁻²⁰).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1,050),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72 NMD+/PTC+, 118 NMD+/PTC−, 190 Control). Stop anchor: each isoform's own annotated CDS. (A) CDS length; (B) 3′UTR length from the annotated stop to transcript end; (C) 3′UTR length after walking past any premature stop to the first non-premature stop (Panel C NMD+/PTC+ n = 66; 6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1,166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492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1,050 NMD+/PTC+, 116 NMD+/PTC−, 1,166 Control). Stop anchor: the reference gene's AUG projected onto the comparator, which is unbiased with respect to TD2's PTC-avoidance (see SF33). Panels A–C match SF32. Solid black bar inside each violin, median. (Panel C NMD+/PTC+ n = 1,042 and Control n = 1,164;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open reading frame's start and stop codons.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6482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open reading frame of each transcript in the deep-learning model's held-out test set (n = 2,268 NMD susceptible, n = 7,863 non-NMD). Main open reading frames are chosen with the following priority: the annotated reference CDS (projected from the gene's dominant non-NMD isoform) when available; otherwise the TransDecoder2-called CDS; otherwise the highest-Kozak-scoring open reading frame (see Methods, Main open reading frame selection). Percentages: UGA 55.9% vs 48.1%; UAA 23.9% vs 29.9%; UAG 20.2% vs 22.0%. Abbreviations.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1,016), NMD+/PTC− (n = 95), Control (n = 1,107).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255), NMD+/PTC− (n = 30), and Control (n = 276).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c6e2de4eee24757e4cf654187003543fee805baf.png"/><Relationship Id="rId9" Type="http://schemas.openxmlformats.org/officeDocument/2006/relationships/image" Target="media/cf35e988dde2d51590304039e0abf3883e7af063.png"/><Relationship Id="rId10" Type="http://schemas.openxmlformats.org/officeDocument/2006/relationships/image" Target="media/1792a8f46da6bb30c515123df7ec278f46b73e69.png"/><Relationship Id="rId11" Type="http://schemas.openxmlformats.org/officeDocument/2006/relationships/image" Target="media/e73d18de0ded9054da99e98dfa171e0ff37a1823.png"/><Relationship Id="rId12" Type="http://schemas.openxmlformats.org/officeDocument/2006/relationships/image" Target="media/85270d30b3c13228986d83747f7a0cd45ae06490.png"/><Relationship Id="rId13" Type="http://schemas.openxmlformats.org/officeDocument/2006/relationships/image" Target="media/a043105f24719d8c155f874a78bc8edc54c54538.png"/><Relationship Id="rId14" Type="http://schemas.openxmlformats.org/officeDocument/2006/relationships/image" Target="media/8920f3fe76e75799806bdb558ddb5a5f6c589156.png"/><Relationship Id="rId15" Type="http://schemas.openxmlformats.org/officeDocument/2006/relationships/image" Target="media/5c7add6352b0024c4f7bb623427a40ea3fe3c1f8.png"/><Relationship Id="rId16" Type="http://schemas.openxmlformats.org/officeDocument/2006/relationships/image" Target="media/e26ede3c80802daaa54a59e7af6920bf858789f8.png"/><Relationship Id="rId17" Type="http://schemas.openxmlformats.org/officeDocument/2006/relationships/image" Target="media/bf6f9628f80fac58b821fd53e708b10c27ca818a.png"/><Relationship Id="rId18" Type="http://schemas.openxmlformats.org/officeDocument/2006/relationships/image" Target="media/7ae3c8ca59a1eb219169abd4e35aeb0514c477b8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d7dca8a3361fba239fe8464239606830c1617cdd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50fb8fbbb47651f5eb25dd22f04bce20f8c6a0e8.png"/><Relationship Id="rId23" Type="http://schemas.openxmlformats.org/officeDocument/2006/relationships/image" Target="media/a6791e941844351bde3d89c84f52ddb94611b264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2026-07-10T22:39:32.662Z</dcterms:created>
  <dcterms:modified xsi:type="dcterms:W3CDTF">2026-07-10T22:39:32.668Z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