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t xml:space="preserve"/>
      </w:r>
    </w:p>
    <w:p>
      <w:pPr>
        <w:spacing w:after="100"/>
      </w:pPr>
      <w:r>
        <w:t xml:space="preserve"/>
      </w:r>
    </w:p>
    <w:p>
      <w:pPr>
        <w:spacing w:after="100"/>
      </w:pPr>
      <w:r>
        <w:t xml:space="preserve"/>
      </w:r>
    </w:p>
    <w:p>
      <w:pPr>
        <w:spacing w:after="200"/>
        <w:jc w:val="center"/>
      </w:pPr>
      <w:r>
        <w:rPr>
          <w:b/>
          <w:bCs/>
          <w:color w:val="1F3A5F"/>
          <w:sz w:val="40"/>
          <w:szCs w:val="40"/>
        </w:rPr>
        <w:t xml:space="preserve">PAROISSE SAINTE LUCIE DE BAGUIDA</w:t>
      </w:r>
    </w:p>
    <w:p>
      <w:pPr>
        <w:pBdr>
          <w:bottom w:val="single" w:color="B8860B" w:sz="12" w:space="6"/>
        </w:pBdr>
        <w:spacing w:after="200"/>
        <w:jc w:val="center"/>
      </w:pPr>
      <w:r>
        <w:rPr>
          <w:b/>
          <w:bCs/>
          <w:color w:val="B8860B"/>
          <w:sz w:val="52"/>
          <w:szCs w:val="52"/>
        </w:rPr>
        <w:t xml:space="preserve">CAHIER DES CHARGES</w:t>
      </w:r>
    </w:p>
    <w:p>
      <w:pPr>
        <w:spacing w:after="120" w:before="200"/>
        <w:jc w:val="center"/>
      </w:pPr>
      <w:r>
        <w:rPr>
          <w:sz w:val="28"/>
          <w:szCs w:val="28"/>
        </w:rPr>
        <w:t xml:space="preserve">Conception et réalisation du site internet officiel</w:t>
      </w:r>
    </w:p>
    <w:p>
      <w:pPr>
        <w:spacing w:after="120"/>
        <w:jc w:val="center"/>
      </w:pPr>
      <w:r>
        <w:rPr>
          <w:color w:val="555555"/>
          <w:sz w:val="24"/>
          <w:szCs w:val="24"/>
        </w:rPr>
        <w:t xml:space="preserve">Stack : Nuxt 3 · Node.js · TypeScript · MySQL</w:t>
      </w:r>
    </w:p>
    <w:p>
      <w:pPr>
        <w:spacing w:after="120"/>
        <w:jc w:val="center"/>
      </w:pPr>
      <w:r>
        <w:rPr>
          <w:color w:val="555555"/>
          <w:sz w:val="24"/>
          <w:szCs w:val="24"/>
        </w:rPr>
        <w:t xml:space="preserve">Nom de domaine : www.paroissesaintelucie-baguida.org</w:t>
      </w:r>
    </w:p>
    <w:p>
      <w:pPr>
        <w:jc w:val="center"/>
      </w:pPr>
      <w:r>
        <w:rPr>
          <w:i/>
          <w:iCs/>
          <w:color w:val="555555"/>
          <w:sz w:val="22"/>
          <w:szCs w:val="22"/>
        </w:rPr>
        <w:t xml:space="preserve">Document de référence (benchmark) : stbernpar.org</w:t>
      </w:r>
    </w:p>
    <w:p>
      <w:pPr>
        <w:spacing w:after="100"/>
      </w:pPr>
      <w:r>
        <w:t xml:space="preserve"/>
      </w:r>
    </w:p>
    <w:p>
      <w:pPr>
        <w:spacing w:after="100"/>
      </w:pPr>
      <w:r>
        <w:t xml:space="preserve"/>
      </w:r>
    </w:p>
    <w:p>
      <w:pPr>
        <w:pStyle w:val="Heading2"/>
      </w:pPr>
      <w:r>
        <w:t xml:space="preserve">Informations sur le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BBBBB" w:sz="4"/>
              <w:left w:val="single" w:color="BBBBBB" w:sz="4"/>
              <w:bottom w:val="single" w:color="BBBBBB" w:sz="4"/>
              <w:right w:val="single" w:color="BBBBBB" w:sz="4"/>
            </w:tcBorders>
            <w:shd w:fill="1F3A5F" w:color="auto" w:val="clear"/>
            <w:tcMar>
              <w:top w:type="dxa" w:w="70"/>
              <w:left w:type="dxa" w:w="100"/>
              <w:bottom w:type="dxa" w:w="70"/>
              <w:right w:type="dxa" w:w="100"/>
            </w:tcMar>
          </w:tcPr>
          <w:p>
            <w:r>
              <w:rPr>
                <w:b/>
                <w:bCs/>
                <w:color w:val="FFFFFF"/>
                <w:sz w:val="19"/>
                <w:szCs w:val="19"/>
              </w:rPr>
              <w:t xml:space="preserve">Champ</w:t>
            </w:r>
          </w:p>
        </w:tc>
        <w:tc>
          <w:tcPr>
            <w:tcW w:type="dxa" w:w="6760"/>
            <w:tcBorders>
              <w:top w:val="single" w:color="BBBBBB" w:sz="4"/>
              <w:left w:val="single" w:color="BBBBBB" w:sz="4"/>
              <w:bottom w:val="single" w:color="BBBBBB" w:sz="4"/>
              <w:right w:val="single" w:color="BBBBBB" w:sz="4"/>
            </w:tcBorders>
            <w:shd w:fill="1F3A5F" w:color="auto" w:val="clear"/>
            <w:tcMar>
              <w:top w:type="dxa" w:w="70"/>
              <w:left w:type="dxa" w:w="100"/>
              <w:bottom w:type="dxa" w:w="70"/>
              <w:right w:type="dxa" w:w="100"/>
            </w:tcMar>
          </w:tcPr>
          <w:p>
            <w:r>
              <w:rPr>
                <w:b/>
                <w:bCs/>
                <w:color w:val="FFFFFF"/>
                <w:sz w:val="19"/>
                <w:szCs w:val="19"/>
              </w:rPr>
              <w:t xml:space="preserve">Détail</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Client</w:t>
            </w:r>
          </w:p>
        </w:tc>
        <w:tc>
          <w:tcPr>
            <w:tcW w:type="dxa" w:w="67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Paroisse Sainte Lucie de Baguida</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Projet</w:t>
            </w:r>
          </w:p>
        </w:tc>
        <w:tc>
          <w:tcPr>
            <w:tcW w:type="dxa" w:w="67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Conception d'un site internet institutionnel sur mesure (Nuxt / Node.js / TypeScript / MySQL)</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Rédigé par</w:t>
            </w:r>
          </w:p>
        </w:tc>
        <w:tc>
          <w:tcPr>
            <w:tcW w:type="dxa" w:w="67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ALOWANOU Dove Leonce – Chef de projet / PMO</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Version</w:t>
            </w:r>
          </w:p>
        </w:tc>
        <w:tc>
          <w:tcPr>
            <w:tcW w:type="dxa" w:w="67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2.0 (remplace la v1.0 basée sur WordPress)</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Date</w:t>
            </w:r>
          </w:p>
        </w:tc>
        <w:tc>
          <w:tcPr>
            <w:tcW w:type="dxa" w:w="67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5 octobre 2026</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Statut</w:t>
            </w:r>
          </w:p>
        </w:tc>
        <w:tc>
          <w:tcPr>
            <w:tcW w:type="dxa" w:w="67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Projet de cahier des charges – soumis à validation du client</w:t>
            </w:r>
          </w:p>
        </w:tc>
      </w:tr>
    </w:tbl>
    <w:p>
      <w:r>
        <w:br w:type="page"/>
      </w:r>
    </w:p>
    <w:p>
      <w:pPr>
        <w:pStyle w:val="Heading1"/>
      </w:pPr>
      <w:r>
        <w:t xml:space="preserve">1. Contexte et présentation du projet</w:t>
      </w:r>
    </w:p>
    <w:p>
      <w:pPr>
        <w:spacing w:after="100"/>
      </w:pPr>
      <w:r>
        <w:t xml:space="preserve">La Paroisse Sainte Lucie de Baguida souhaite se doter d'un site internet institutionnel moderne, sobre et facile à administrer, destiné à informer ses fidèles, ses visiteurs et la communauté locale sur la vie paroissiale : célébrations, sacrements, annonces, mouvements et groupes de prière, activités caritatives et vie communautaire.</w:t>
      </w:r>
    </w:p>
    <w:p>
      <w:pPr>
        <w:spacing w:after="100"/>
      </w:pPr>
      <w:r>
        <w:t xml:space="preserve">Ce projet s'inscrit dans une démarche de modernisation de la communication paroissiale et de renforcement du lien avec les fidèles, notamment ceux qui ne peuvent pas se déplacer (diaspora, malades, nouveaux arrivants). Le site s'inspire, dans son organisation et ses fonctionnalités, du site de référence de la paroisse Sainte Bernadette (stbernpar.org), tout en étant adapté à l'identité et aux besoins de la Paroisse Sainte Lucie de Baguida.</w:t>
      </w:r>
    </w:p>
    <w:p>
      <w:pPr>
        <w:spacing w:after="100"/>
        <w:rPr>
          <w:i/>
          <w:iCs/>
        </w:rPr>
      </w:pPr>
      <w:r>
        <w:rPr>
          <w:i/>
          <w:iCs/>
        </w:rPr>
        <w:t xml:space="preserve">Évolution par rapport à la version 1.0 : le choix technologique a changé. Le site ne sera plus réalisé avec WordPress, mais avec une application web sur mesure basée sur Nuxt, Node.js, TypeScript et MySQL. Ce choix offre plus de maîtrise, de performance et d'évolutivité, au prix d'un développement plus important du back-office (voir sections 6, 8 et 9).</w:t>
      </w:r>
    </w:p>
    <w:p>
      <w:pPr>
        <w:pStyle w:val="Heading2"/>
      </w:pPr>
      <w:r>
        <w:t xml:space="preserve">1.1 Le maître d'ouvrage (client)</w:t>
      </w:r>
    </w:p>
    <w:p>
      <w:pPr>
        <w:pStyle w:val="ListParagraph"/>
        <w:numPr>
          <w:ilvl w:val="0"/>
          <w:numId w:val="2"/>
        </w:numPr>
        <w:spacing w:after="60"/>
      </w:pPr>
      <w:r>
        <w:t xml:space="preserve">Nom : Paroisse Sainte Lucie de Baguida</w:t>
      </w:r>
    </w:p>
    <w:p>
      <w:pPr>
        <w:pStyle w:val="ListParagraph"/>
        <w:numPr>
          <w:ilvl w:val="0"/>
          <w:numId w:val="2"/>
        </w:numPr>
        <w:spacing w:after="60"/>
      </w:pPr>
      <w:r>
        <w:t xml:space="preserve">Représentant du projet : chargé de communication de la paroisse / Conseil pastoral paroissial</w:t>
      </w:r>
    </w:p>
    <w:p>
      <w:pPr>
        <w:pStyle w:val="ListParagraph"/>
        <w:numPr>
          <w:ilvl w:val="0"/>
          <w:numId w:val="2"/>
        </w:numPr>
        <w:spacing w:after="60"/>
      </w:pPr>
      <w:r>
        <w:t xml:space="preserve">Interlocuteur technique côté client : à désigner (secrétariat paroissial ou commission communication)</w:t>
      </w:r>
    </w:p>
    <w:p>
      <w:pPr>
        <w:pStyle w:val="Heading2"/>
      </w:pPr>
      <w:r>
        <w:t xml:space="preserve">1.2 Le maître d'œuvre (prestataire)</w:t>
      </w:r>
    </w:p>
    <w:p>
      <w:pPr>
        <w:pStyle w:val="ListParagraph"/>
        <w:numPr>
          <w:ilvl w:val="0"/>
          <w:numId w:val="2"/>
        </w:numPr>
        <w:spacing w:after="60"/>
      </w:pPr>
      <w:r>
        <w:t xml:space="preserve">Rôle : conception graphique, développement de l'application, hébergement, mise en ligne et formation</w:t>
      </w:r>
    </w:p>
    <w:p>
      <w:pPr>
        <w:pStyle w:val="ListParagraph"/>
        <w:numPr>
          <w:ilvl w:val="0"/>
          <w:numId w:val="2"/>
        </w:numPr>
        <w:spacing w:after="60"/>
      </w:pPr>
      <w:r>
        <w:t xml:space="preserve">Chef de projet (PMO) : ALOWANOU Dove Leonce</w:t>
      </w:r>
    </w:p>
    <w:p>
      <w:pPr>
        <w:pStyle w:val="Heading2"/>
      </w:pPr>
      <w:r>
        <w:t xml:space="preserve">1.3 Site de référence analysé</w:t>
      </w:r>
    </w:p>
    <w:p>
      <w:pPr>
        <w:spacing w:after="100"/>
      </w:pPr>
      <w:r>
        <w:t xml:space="preserve">Le site stbernpar.org présente : un bandeau d'annonces et de bulletins hebdomadaires, un menu structuré par grandes thématiques (accueil des fidèles, formation religieuse, jeunesse, engagement/bénévolat, prière, dons), un calendrier paroissial, un annuaire du personnel pastoral, des formulaires d'inscription en ligne, un espace de dons, des documents téléchargeables, une intégration des réseaux sociaux et de la messe en direct, ainsi qu'un pied de page institutionnel. Le site de Baguida reprendra cette logique fonctionnelle en l'adaptant au contexte local (contenus en français et éventuellement en langue locale, moyens de paiement locaux).</w:t>
      </w:r>
    </w:p>
    <w:p>
      <w:pPr>
        <w:pStyle w:val="Heading1"/>
      </w:pPr>
      <w:r>
        <w:t xml:space="preserve">2. Objectifs du site</w:t>
      </w:r>
    </w:p>
    <w:p>
      <w:pPr>
        <w:pStyle w:val="Heading2"/>
      </w:pPr>
      <w:r>
        <w:t xml:space="preserve">2.1 Objectifs généraux</w:t>
      </w:r>
    </w:p>
    <w:p>
      <w:pPr>
        <w:pStyle w:val="ListParagraph"/>
        <w:numPr>
          <w:ilvl w:val="0"/>
          <w:numId w:val="3"/>
        </w:numPr>
        <w:spacing w:after="60"/>
      </w:pPr>
      <w:r>
        <w:t xml:space="preserve">Informer les paroissiens et le public sur la vie de la paroisse (horaires des messes, sacrements, annonces, actualités).</w:t>
      </w:r>
    </w:p>
    <w:p>
      <w:pPr>
        <w:pStyle w:val="ListParagraph"/>
        <w:numPr>
          <w:ilvl w:val="0"/>
          <w:numId w:val="3"/>
        </w:numPr>
        <w:spacing w:after="60"/>
      </w:pPr>
      <w:r>
        <w:t xml:space="preserve">Renforcer le lien communautaire et faciliter la participation aux activités (groupes de prière, mouvements, catéchèse, jeunesse).</w:t>
      </w:r>
    </w:p>
    <w:p>
      <w:pPr>
        <w:pStyle w:val="ListParagraph"/>
        <w:numPr>
          <w:ilvl w:val="0"/>
          <w:numId w:val="3"/>
        </w:numPr>
        <w:spacing w:after="60"/>
      </w:pPr>
      <w:r>
        <w:t xml:space="preserve">Faciliter les démarches administratives et pastorales en ligne (inscriptions, demandes de sacrements, contact).</w:t>
      </w:r>
    </w:p>
    <w:p>
      <w:pPr>
        <w:pStyle w:val="ListParagraph"/>
        <w:numPr>
          <w:ilvl w:val="0"/>
          <w:numId w:val="3"/>
        </w:numPr>
        <w:spacing w:after="60"/>
      </w:pPr>
      <w:r>
        <w:t xml:space="preserve">Valoriser l'image de la paroisse grâce à une identité visuelle professionnelle et respectueuse de son caractère spirituel.</w:t>
      </w:r>
    </w:p>
    <w:p>
      <w:pPr>
        <w:pStyle w:val="ListParagraph"/>
        <w:numPr>
          <w:ilvl w:val="0"/>
          <w:numId w:val="3"/>
        </w:numPr>
        <w:spacing w:after="60"/>
      </w:pPr>
      <w:r>
        <w:t xml:space="preserve">Permettre la collecte de dons et d'offrandes en ligne de manière sécurisée.</w:t>
      </w:r>
    </w:p>
    <w:p>
      <w:pPr>
        <w:pStyle w:val="ListParagraph"/>
        <w:numPr>
          <w:ilvl w:val="0"/>
          <w:numId w:val="3"/>
        </w:numPr>
        <w:spacing w:after="60"/>
      </w:pPr>
      <w:r>
        <w:t xml:space="preserve">Offrir un outil d'administration simple, utilisable par le personnel paroissial sans compétences techniques.</w:t>
      </w:r>
    </w:p>
    <w:p>
      <w:pPr>
        <w:pStyle w:val="Heading2"/>
      </w:pPr>
      <w:r>
        <w:t xml:space="preserve">2.2 Objectifs secondaires</w:t>
      </w:r>
    </w:p>
    <w:p>
      <w:pPr>
        <w:pStyle w:val="ListParagraph"/>
        <w:numPr>
          <w:ilvl w:val="0"/>
          <w:numId w:val="2"/>
        </w:numPr>
        <w:spacing w:after="60"/>
      </w:pPr>
      <w:r>
        <w:t xml:space="preserve">Améliorer le référencement naturel (SEO) de la paroisse.</w:t>
      </w:r>
    </w:p>
    <w:p>
      <w:pPr>
        <w:pStyle w:val="ListParagraph"/>
        <w:numPr>
          <w:ilvl w:val="0"/>
          <w:numId w:val="2"/>
        </w:numPr>
        <w:spacing w:after="60"/>
      </w:pPr>
      <w:r>
        <w:t xml:space="preserve">Centraliser les documents (bulletins, formulaires, calendriers) en un point d'accès unique.</w:t>
      </w:r>
    </w:p>
    <w:p>
      <w:pPr>
        <w:pStyle w:val="ListParagraph"/>
        <w:numPr>
          <w:ilvl w:val="0"/>
          <w:numId w:val="2"/>
        </w:numPr>
        <w:spacing w:after="60"/>
      </w:pPr>
      <w:r>
        <w:t xml:space="preserve">Préparer la diffusion en direct des messes (YouTube/Facebook).</w:t>
      </w:r>
    </w:p>
    <w:p>
      <w:pPr>
        <w:pStyle w:val="ListParagraph"/>
        <w:numPr>
          <w:ilvl w:val="0"/>
          <w:numId w:val="2"/>
        </w:numPr>
        <w:spacing w:after="60"/>
      </w:pPr>
      <w:r>
        <w:t xml:space="preserve">Garantir un site accessible sur mobile, tablette et ordinateur, y compris à faible débit.</w:t>
      </w:r>
    </w:p>
    <w:p>
      <w:pPr>
        <w:pStyle w:val="Heading1"/>
      </w:pPr>
      <w:r>
        <w:t xml:space="preserve">3. Public cible</w:t>
      </w:r>
    </w:p>
    <w:p>
      <w:pPr>
        <w:pStyle w:val="ListParagraph"/>
        <w:numPr>
          <w:ilvl w:val="0"/>
          <w:numId w:val="2"/>
        </w:numPr>
        <w:spacing w:after="60"/>
      </w:pPr>
      <w:r>
        <w:t xml:space="preserve">Les paroissiens réguliers et les familles de la paroisse</w:t>
      </w:r>
    </w:p>
    <w:p>
      <w:pPr>
        <w:pStyle w:val="ListParagraph"/>
        <w:numPr>
          <w:ilvl w:val="0"/>
          <w:numId w:val="2"/>
        </w:numPr>
        <w:spacing w:after="60"/>
      </w:pPr>
      <w:r>
        <w:t xml:space="preserve">Les nouveaux arrivants et visiteurs de passage</w:t>
      </w:r>
    </w:p>
    <w:p>
      <w:pPr>
        <w:pStyle w:val="ListParagraph"/>
        <w:numPr>
          <w:ilvl w:val="0"/>
          <w:numId w:val="2"/>
        </w:numPr>
        <w:spacing w:after="60"/>
      </w:pPr>
      <w:r>
        <w:t xml:space="preserve">La diaspora et les anciens membres de la communauté vivant à l'étranger</w:t>
      </w:r>
    </w:p>
    <w:p>
      <w:pPr>
        <w:pStyle w:val="ListParagraph"/>
        <w:numPr>
          <w:ilvl w:val="0"/>
          <w:numId w:val="2"/>
        </w:numPr>
        <w:spacing w:after="60"/>
      </w:pPr>
      <w:r>
        <w:t xml:space="preserve">Les bénévoles et responsables de mouvements/ministères</w:t>
      </w:r>
    </w:p>
    <w:p>
      <w:pPr>
        <w:pStyle w:val="ListParagraph"/>
        <w:numPr>
          <w:ilvl w:val="0"/>
          <w:numId w:val="2"/>
        </w:numPr>
        <w:spacing w:after="60"/>
      </w:pPr>
      <w:r>
        <w:t xml:space="preserve">Les donateurs et bienfaiteurs de la paroisse</w:t>
      </w:r>
    </w:p>
    <w:p>
      <w:pPr>
        <w:pStyle w:val="ListParagraph"/>
        <w:numPr>
          <w:ilvl w:val="0"/>
          <w:numId w:val="2"/>
        </w:numPr>
        <w:spacing w:after="60"/>
      </w:pPr>
      <w:r>
        <w:t xml:space="preserve">Le diocèse et les partenaires institutionnels</w:t>
      </w:r>
    </w:p>
    <w:p>
      <w:pPr>
        <w:pStyle w:val="Heading1"/>
      </w:pPr>
      <w:r>
        <w:t xml:space="preserve">4. Arborescence du site proposée</w:t>
      </w:r>
    </w:p>
    <w:p>
      <w:pPr>
        <w:spacing w:after="100"/>
      </w:pPr>
      <w:r>
        <w:t xml:space="preserve">L'arborescence reprend la structure du site de référence, adaptée à la Paroisse Sainte Lucie de Baguida. Elle pourra être ajustée lors de l'atelier de cadrage.</w:t>
      </w:r>
    </w:p>
    <w:p>
      <w:pPr>
        <w:pStyle w:val="Heading2"/>
      </w:pPr>
      <w:r>
        <w:t xml:space="preserve">4.1 Menu principal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BBBBB" w:sz="4"/>
              <w:left w:val="single" w:color="BBBBBB" w:sz="4"/>
              <w:bottom w:val="single" w:color="BBBBBB" w:sz="4"/>
              <w:right w:val="single" w:color="BBBBBB" w:sz="4"/>
            </w:tcBorders>
            <w:shd w:fill="1F3A5F" w:color="auto" w:val="clear"/>
            <w:tcMar>
              <w:top w:type="dxa" w:w="70"/>
              <w:left w:type="dxa" w:w="100"/>
              <w:bottom w:type="dxa" w:w="70"/>
              <w:right w:type="dxa" w:w="100"/>
            </w:tcMar>
          </w:tcPr>
          <w:p>
            <w:r>
              <w:rPr>
                <w:b/>
                <w:bCs/>
                <w:color w:val="FFFFFF"/>
                <w:sz w:val="19"/>
                <w:szCs w:val="19"/>
              </w:rPr>
              <w:t xml:space="preserve">Rubrique</w:t>
            </w:r>
          </w:p>
        </w:tc>
        <w:tc>
          <w:tcPr>
            <w:tcW w:type="dxa" w:w="6960"/>
            <w:tcBorders>
              <w:top w:val="single" w:color="BBBBBB" w:sz="4"/>
              <w:left w:val="single" w:color="BBBBBB" w:sz="4"/>
              <w:bottom w:val="single" w:color="BBBBBB" w:sz="4"/>
              <w:right w:val="single" w:color="BBBBBB" w:sz="4"/>
            </w:tcBorders>
            <w:shd w:fill="1F3A5F" w:color="auto" w:val="clear"/>
            <w:tcMar>
              <w:top w:type="dxa" w:w="70"/>
              <w:left w:type="dxa" w:w="100"/>
              <w:bottom w:type="dxa" w:w="70"/>
              <w:right w:type="dxa" w:w="100"/>
            </w:tcMar>
          </w:tcPr>
          <w:p>
            <w:r>
              <w:rPr>
                <w:b/>
                <w:bCs/>
                <w:color w:val="FFFFFF"/>
                <w:sz w:val="19"/>
                <w:szCs w:val="19"/>
              </w:rPr>
              <w:t xml:space="preserve">Sous-rubriques</w:t>
            </w:r>
          </w:p>
        </w:tc>
      </w:tr>
      <w:tr>
        <w:trPr>
          <w:cantSplit/>
        </w:trPr>
        <w:tc>
          <w:tcPr>
            <w:tcW w:type="dxa" w:w="24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Accueil</w:t>
            </w:r>
          </w:p>
        </w:tc>
        <w:tc>
          <w:tcPr>
            <w:tcW w:type="dxa" w:w="69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Bandeau d'annonces, prochaines messes, dernières actualités, messe en direct</w:t>
            </w:r>
          </w:p>
        </w:tc>
      </w:tr>
      <w:tr>
        <w:trPr>
          <w:cantSplit/>
        </w:trPr>
        <w:tc>
          <w:tcPr>
            <w:tcW w:type="dxa" w:w="24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La Paroisse</w:t>
            </w:r>
          </w:p>
        </w:tc>
        <w:tc>
          <w:tcPr>
            <w:tcW w:type="dxa" w:w="69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Mot du Curé / Histoire · Vision et mission · Personnel pastoral · Conseil pastoral paroissial</w:t>
            </w:r>
          </w:p>
        </w:tc>
      </w:tr>
      <w:tr>
        <w:trPr>
          <w:cantSplit/>
        </w:trPr>
        <w:tc>
          <w:tcPr>
            <w:tcW w:type="dxa" w:w="24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Vie spirituelle</w:t>
            </w:r>
          </w:p>
        </w:tc>
        <w:tc>
          <w:tcPr>
            <w:tcW w:type="dxa" w:w="69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Horaires des messes et confessions · Calendrier liturgique/paroissial · Sacrements · Intentions de messe · Groupes de prière et mouvements · Homélies et enseignements</w:t>
            </w:r>
          </w:p>
        </w:tc>
      </w:tr>
      <w:tr>
        <w:trPr>
          <w:cantSplit/>
        </w:trPr>
        <w:tc>
          <w:tcPr>
            <w:tcW w:type="dxa" w:w="24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Catéchèse et formation</w:t>
            </w:r>
          </w:p>
        </w:tc>
        <w:tc>
          <w:tcPr>
            <w:tcW w:type="dxa" w:w="69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Inscription au catéchisme · Préparation aux sacrements · Ressources pédagogiques</w:t>
            </w:r>
          </w:p>
        </w:tc>
      </w:tr>
      <w:tr>
        <w:trPr>
          <w:cantSplit/>
        </w:trPr>
        <w:tc>
          <w:tcPr>
            <w:tcW w:type="dxa" w:w="24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Jeunesse</w:t>
            </w:r>
          </w:p>
        </w:tc>
        <w:tc>
          <w:tcPr>
            <w:tcW w:type="dxa" w:w="69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Mouvement des jeunes / scouts · Activités et camps</w:t>
            </w:r>
          </w:p>
        </w:tc>
      </w:tr>
      <w:tr>
        <w:trPr>
          <w:cantSplit/>
        </w:trPr>
        <w:tc>
          <w:tcPr>
            <w:tcW w:type="dxa" w:w="24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S'engager</w:t>
            </w:r>
          </w:p>
        </w:tc>
        <w:tc>
          <w:tcPr>
            <w:tcW w:type="dxa" w:w="69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Bénévolat et ministères · Formulaire d'adhésion à la paroisse</w:t>
            </w:r>
          </w:p>
        </w:tc>
      </w:tr>
      <w:tr>
        <w:trPr>
          <w:cantSplit/>
        </w:trPr>
        <w:tc>
          <w:tcPr>
            <w:tcW w:type="dxa" w:w="24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Actualités</w:t>
            </w:r>
          </w:p>
        </w:tc>
        <w:tc>
          <w:tcPr>
            <w:tcW w:type="dxa" w:w="69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Annonces paroissiales · Bulletins hebdomadaires (PDF) · Événements à venir · Galerie photo/vidéo</w:t>
            </w:r>
          </w:p>
        </w:tc>
      </w:tr>
      <w:tr>
        <w:trPr>
          <w:cantSplit/>
        </w:trPr>
        <w:tc>
          <w:tcPr>
            <w:tcW w:type="dxa" w:w="24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Dons et soutien</w:t>
            </w:r>
          </w:p>
        </w:tc>
        <w:tc>
          <w:tcPr>
            <w:tcW w:type="dxa" w:w="69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Faire un don en ligne · Denier de culte / offrandes · Campagnes spéciales</w:t>
            </w:r>
          </w:p>
        </w:tc>
      </w:tr>
      <w:tr>
        <w:trPr>
          <w:cantSplit/>
        </w:trPr>
        <w:tc>
          <w:tcPr>
            <w:tcW w:type="dxa" w:w="24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Contact</w:t>
            </w:r>
          </w:p>
        </w:tc>
        <w:tc>
          <w:tcPr>
            <w:tcW w:type="dxa" w:w="69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Coordonnées et plan d'accès · Formulaire de contact</w:t>
            </w:r>
          </w:p>
        </w:tc>
      </w:tr>
    </w:tbl>
    <w:p>
      <w:pPr>
        <w:pStyle w:val="Heading2"/>
      </w:pPr>
      <w:r>
        <w:t xml:space="preserve">4.2 Pied de page</w:t>
      </w:r>
    </w:p>
    <w:p>
      <w:pPr>
        <w:pStyle w:val="ListParagraph"/>
        <w:numPr>
          <w:ilvl w:val="0"/>
          <w:numId w:val="2"/>
        </w:numPr>
        <w:spacing w:after="60"/>
      </w:pPr>
      <w:r>
        <w:t xml:space="preserve">Coordonnées complètes (adresse, téléphone, e-mail)</w:t>
      </w:r>
    </w:p>
    <w:p>
      <w:pPr>
        <w:pStyle w:val="ListParagraph"/>
        <w:numPr>
          <w:ilvl w:val="0"/>
          <w:numId w:val="2"/>
        </w:numPr>
        <w:spacing w:after="60"/>
      </w:pPr>
      <w:r>
        <w:t xml:space="preserve">Liens institutionnels (diocèse, conférence épiscopale, Vatican, Caritas)</w:t>
      </w:r>
    </w:p>
    <w:p>
      <w:pPr>
        <w:pStyle w:val="ListParagraph"/>
        <w:numPr>
          <w:ilvl w:val="0"/>
          <w:numId w:val="2"/>
        </w:numPr>
        <w:spacing w:after="60"/>
      </w:pPr>
      <w:r>
        <w:t xml:space="preserve">Réseaux sociaux (Facebook, YouTube, WhatsApp)</w:t>
      </w:r>
    </w:p>
    <w:p>
      <w:pPr>
        <w:pStyle w:val="ListParagraph"/>
        <w:numPr>
          <w:ilvl w:val="0"/>
          <w:numId w:val="2"/>
        </w:numPr>
        <w:spacing w:after="60"/>
      </w:pPr>
      <w:r>
        <w:t xml:space="preserve">Mentions légales / politique de confidentialité</w:t>
      </w:r>
    </w:p>
    <w:p>
      <w:pPr>
        <w:pStyle w:val="ListParagraph"/>
        <w:numPr>
          <w:ilvl w:val="0"/>
          <w:numId w:val="2"/>
        </w:numPr>
        <w:spacing w:after="60"/>
      </w:pPr>
      <w:r>
        <w:t xml:space="preserve">Crédits du site</w:t>
      </w:r>
    </w:p>
    <w:p>
      <w:pPr>
        <w:pStyle w:val="Heading1"/>
      </w:pPr>
      <w:r>
        <w:t xml:space="preserve">5. Fonctionnalités détaillées</w:t>
      </w:r>
    </w:p>
    <w:p>
      <w:pPr>
        <w:spacing w:after="100"/>
      </w:pPr>
      <w:r>
        <w:t xml:space="preserve">Les fonctionnalités sont identiques à la version 1.0. Ce qui change : elles sont désormais développées sur mesure (ou via des bibliothèques Node.js/Nuxt) au lieu de plugins WordPress.</w:t>
      </w:r>
    </w:p>
    <w:p>
      <w:pPr>
        <w:pStyle w:val="Heading2"/>
      </w:pPr>
      <w:r>
        <w:t xml:space="preserve">5.1 Gestion de contenu (back-office sur mesure)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960"/>
        <w:gridCol w:w="2000"/>
      </w:tblGrid>
      <w:tr>
        <w:trPr>
          <w:tblHeader/>
        </w:trPr>
        <w:tc>
          <w:tcPr>
            <w:tcW w:type="dxa" w:w="2400"/>
            <w:tcBorders>
              <w:top w:val="single" w:color="BBBBBB" w:sz="4"/>
              <w:left w:val="single" w:color="BBBBBB" w:sz="4"/>
              <w:bottom w:val="single" w:color="BBBBBB" w:sz="4"/>
              <w:right w:val="single" w:color="BBBBBB" w:sz="4"/>
            </w:tcBorders>
            <w:shd w:fill="1F3A5F" w:color="auto" w:val="clear"/>
            <w:tcMar>
              <w:top w:type="dxa" w:w="70"/>
              <w:left w:type="dxa" w:w="100"/>
              <w:bottom w:type="dxa" w:w="70"/>
              <w:right w:type="dxa" w:w="100"/>
            </w:tcMar>
          </w:tcPr>
          <w:p>
            <w:r>
              <w:rPr>
                <w:b/>
                <w:bCs/>
                <w:color w:val="FFFFFF"/>
                <w:sz w:val="19"/>
                <w:szCs w:val="19"/>
              </w:rPr>
              <w:t xml:space="preserve">Fonctionnalité</w:t>
            </w:r>
          </w:p>
        </w:tc>
        <w:tc>
          <w:tcPr>
            <w:tcW w:type="dxa" w:w="4960"/>
            <w:tcBorders>
              <w:top w:val="single" w:color="BBBBBB" w:sz="4"/>
              <w:left w:val="single" w:color="BBBBBB" w:sz="4"/>
              <w:bottom w:val="single" w:color="BBBBBB" w:sz="4"/>
              <w:right w:val="single" w:color="BBBBBB" w:sz="4"/>
            </w:tcBorders>
            <w:shd w:fill="1F3A5F" w:color="auto" w:val="clear"/>
            <w:tcMar>
              <w:top w:type="dxa" w:w="70"/>
              <w:left w:type="dxa" w:w="100"/>
              <w:bottom w:type="dxa" w:w="70"/>
              <w:right w:type="dxa" w:w="100"/>
            </w:tcMar>
          </w:tcPr>
          <w:p>
            <w:r>
              <w:rPr>
                <w:b/>
                <w:bCs/>
                <w:color w:val="FFFFFF"/>
                <w:sz w:val="19"/>
                <w:szCs w:val="19"/>
              </w:rPr>
              <w:t xml:space="preserve">Description</w:t>
            </w:r>
          </w:p>
        </w:tc>
        <w:tc>
          <w:tcPr>
            <w:tcW w:type="dxa" w:w="2000"/>
            <w:tcBorders>
              <w:top w:val="single" w:color="BBBBBB" w:sz="4"/>
              <w:left w:val="single" w:color="BBBBBB" w:sz="4"/>
              <w:bottom w:val="single" w:color="BBBBBB" w:sz="4"/>
              <w:right w:val="single" w:color="BBBBBB" w:sz="4"/>
            </w:tcBorders>
            <w:shd w:fill="1F3A5F" w:color="auto" w:val="clear"/>
            <w:tcMar>
              <w:top w:type="dxa" w:w="70"/>
              <w:left w:type="dxa" w:w="100"/>
              <w:bottom w:type="dxa" w:w="70"/>
              <w:right w:type="dxa" w:w="100"/>
            </w:tcMar>
          </w:tcPr>
          <w:p>
            <w:r>
              <w:rPr>
                <w:b/>
                <w:bCs/>
                <w:color w:val="FFFFFF"/>
                <w:sz w:val="19"/>
                <w:szCs w:val="19"/>
              </w:rPr>
              <w:t xml:space="preserve">Priorité</w:t>
            </w:r>
          </w:p>
        </w:tc>
      </w:tr>
      <w:tr>
        <w:trPr>
          <w:cantSplit/>
        </w:trPr>
        <w:tc>
          <w:tcPr>
            <w:tcW w:type="dxa" w:w="24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Tableau de bord d'administration</w:t>
            </w:r>
          </w:p>
        </w:tc>
        <w:tc>
          <w:tcPr>
            <w:tcW w:type="dxa" w:w="49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Interface sécurisée permettant au personnel de créer, modifier, publier et dépublier pages, annonces et événements.</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Essentielle</w:t>
            </w:r>
          </w:p>
        </w:tc>
      </w:tr>
      <w:tr>
        <w:trPr>
          <w:cantSplit/>
        </w:trPr>
        <w:tc>
          <w:tcPr>
            <w:tcW w:type="dxa" w:w="24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Éditeur de contenu riche</w:t>
            </w:r>
          </w:p>
        </w:tc>
        <w:tc>
          <w:tcPr>
            <w:tcW w:type="dxa" w:w="49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Éditeur visuel (type Tiptap) : texte, images, vidéos, liens, boutons.</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Essentielle</w:t>
            </w:r>
          </w:p>
        </w:tc>
      </w:tr>
      <w:tr>
        <w:trPr>
          <w:cantSplit/>
        </w:trPr>
        <w:tc>
          <w:tcPr>
            <w:tcW w:type="dxa" w:w="24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Utilisateurs et rôles</w:t>
            </w:r>
          </w:p>
        </w:tc>
        <w:tc>
          <w:tcPr>
            <w:tcW w:type="dxa" w:w="49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Comptes avec droits différenciés : administrateur, éditeur, contributeur (secrétariat, curé, webmaster).</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Essentielle</w:t>
            </w:r>
          </w:p>
        </w:tc>
      </w:tr>
      <w:tr>
        <w:trPr>
          <w:cantSplit/>
        </w:trPr>
        <w:tc>
          <w:tcPr>
            <w:tcW w:type="dxa" w:w="24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Médiathèque</w:t>
            </w:r>
          </w:p>
        </w:tc>
        <w:tc>
          <w:tcPr>
            <w:tcW w:type="dxa" w:w="49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Bibliothèque centralisée de photos, vidéos et documents (bulletins, formulaires PDF).</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Essentielle</w:t>
            </w:r>
          </w:p>
        </w:tc>
      </w:tr>
    </w:tbl>
    <w:p>
      <w:pPr>
        <w:pStyle w:val="Heading2"/>
      </w:pPr>
      <w:r>
        <w:t xml:space="preserve">5.2 Vie paroissiale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960"/>
        <w:gridCol w:w="2000"/>
      </w:tblGrid>
      <w:tr>
        <w:trPr>
          <w:tblHeader/>
        </w:trPr>
        <w:tc>
          <w:tcPr>
            <w:tcW w:type="dxa" w:w="2400"/>
            <w:tcBorders>
              <w:top w:val="single" w:color="BBBBBB" w:sz="4"/>
              <w:left w:val="single" w:color="BBBBBB" w:sz="4"/>
              <w:bottom w:val="single" w:color="BBBBBB" w:sz="4"/>
              <w:right w:val="single" w:color="BBBBBB" w:sz="4"/>
            </w:tcBorders>
            <w:shd w:fill="1F3A5F" w:color="auto" w:val="clear"/>
            <w:tcMar>
              <w:top w:type="dxa" w:w="70"/>
              <w:left w:type="dxa" w:w="100"/>
              <w:bottom w:type="dxa" w:w="70"/>
              <w:right w:type="dxa" w:w="100"/>
            </w:tcMar>
          </w:tcPr>
          <w:p>
            <w:r>
              <w:rPr>
                <w:b/>
                <w:bCs/>
                <w:color w:val="FFFFFF"/>
                <w:sz w:val="19"/>
                <w:szCs w:val="19"/>
              </w:rPr>
              <w:t xml:space="preserve">Fonctionnalité</w:t>
            </w:r>
          </w:p>
        </w:tc>
        <w:tc>
          <w:tcPr>
            <w:tcW w:type="dxa" w:w="4960"/>
            <w:tcBorders>
              <w:top w:val="single" w:color="BBBBBB" w:sz="4"/>
              <w:left w:val="single" w:color="BBBBBB" w:sz="4"/>
              <w:bottom w:val="single" w:color="BBBBBB" w:sz="4"/>
              <w:right w:val="single" w:color="BBBBBB" w:sz="4"/>
            </w:tcBorders>
            <w:shd w:fill="1F3A5F" w:color="auto" w:val="clear"/>
            <w:tcMar>
              <w:top w:type="dxa" w:w="70"/>
              <w:left w:type="dxa" w:w="100"/>
              <w:bottom w:type="dxa" w:w="70"/>
              <w:right w:type="dxa" w:w="100"/>
            </w:tcMar>
          </w:tcPr>
          <w:p>
            <w:r>
              <w:rPr>
                <w:b/>
                <w:bCs/>
                <w:color w:val="FFFFFF"/>
                <w:sz w:val="19"/>
                <w:szCs w:val="19"/>
              </w:rPr>
              <w:t xml:space="preserve">Description</w:t>
            </w:r>
          </w:p>
        </w:tc>
        <w:tc>
          <w:tcPr>
            <w:tcW w:type="dxa" w:w="2000"/>
            <w:tcBorders>
              <w:top w:val="single" w:color="BBBBBB" w:sz="4"/>
              <w:left w:val="single" w:color="BBBBBB" w:sz="4"/>
              <w:bottom w:val="single" w:color="BBBBBB" w:sz="4"/>
              <w:right w:val="single" w:color="BBBBBB" w:sz="4"/>
            </w:tcBorders>
            <w:shd w:fill="1F3A5F" w:color="auto" w:val="clear"/>
            <w:tcMar>
              <w:top w:type="dxa" w:w="70"/>
              <w:left w:type="dxa" w:w="100"/>
              <w:bottom w:type="dxa" w:w="70"/>
              <w:right w:type="dxa" w:w="100"/>
            </w:tcMar>
          </w:tcPr>
          <w:p>
            <w:r>
              <w:rPr>
                <w:b/>
                <w:bCs/>
                <w:color w:val="FFFFFF"/>
                <w:sz w:val="19"/>
                <w:szCs w:val="19"/>
              </w:rPr>
              <w:t xml:space="preserve">Priorité</w:t>
            </w:r>
          </w:p>
        </w:tc>
      </w:tr>
      <w:tr>
        <w:trPr>
          <w:cantSplit/>
        </w:trPr>
        <w:tc>
          <w:tcPr>
            <w:tcW w:type="dxa" w:w="24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Calendrier paroissial</w:t>
            </w:r>
          </w:p>
        </w:tc>
        <w:tc>
          <w:tcPr>
            <w:tcW w:type="dxa" w:w="49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Agenda interactif des messes, célébrations et événements, filtrable par mois/catégorie.</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Essentielle</w:t>
            </w:r>
          </w:p>
        </w:tc>
      </w:tr>
      <w:tr>
        <w:trPr>
          <w:cantSplit/>
        </w:trPr>
        <w:tc>
          <w:tcPr>
            <w:tcW w:type="dxa" w:w="24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Horaires des messes</w:t>
            </w:r>
          </w:p>
        </w:tc>
        <w:tc>
          <w:tcPr>
            <w:tcW w:type="dxa" w:w="49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Page dédiée, facile à mettre à jour, avec horaires par jour de la semaine.</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Essentielle</w:t>
            </w:r>
          </w:p>
        </w:tc>
      </w:tr>
      <w:tr>
        <w:trPr>
          <w:cantSplit/>
        </w:trPr>
        <w:tc>
          <w:tcPr>
            <w:tcW w:type="dxa" w:w="24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Intentions de messe</w:t>
            </w:r>
          </w:p>
        </w:tc>
        <w:tc>
          <w:tcPr>
            <w:tcW w:type="dxa" w:w="49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Formulaire de soumission d'une intention de messe en ligne.</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Souhaitable</w:t>
            </w:r>
          </w:p>
        </w:tc>
      </w:tr>
      <w:tr>
        <w:trPr>
          <w:cantSplit/>
        </w:trPr>
        <w:tc>
          <w:tcPr>
            <w:tcW w:type="dxa" w:w="24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Annonces et bulletins</w:t>
            </w:r>
          </w:p>
        </w:tc>
        <w:tc>
          <w:tcPr>
            <w:tcW w:type="dxa" w:w="49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Publication hebdomadaire des annonces et bulletins PDF téléchargeables.</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Essentielle</w:t>
            </w:r>
          </w:p>
        </w:tc>
      </w:tr>
      <w:tr>
        <w:trPr>
          <w:cantSplit/>
        </w:trPr>
        <w:tc>
          <w:tcPr>
            <w:tcW w:type="dxa" w:w="24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Annuaire du personnel pastoral</w:t>
            </w:r>
          </w:p>
        </w:tc>
        <w:tc>
          <w:tcPr>
            <w:tcW w:type="dxa" w:w="49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Fiches du curé, vicaires, diacres et catéchistes avec photo et fonction.</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Essentielle</w:t>
            </w:r>
          </w:p>
        </w:tc>
      </w:tr>
      <w:tr>
        <w:trPr>
          <w:cantSplit/>
        </w:trPr>
        <w:tc>
          <w:tcPr>
            <w:tcW w:type="dxa" w:w="24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Homélies</w:t>
            </w:r>
          </w:p>
        </w:tc>
        <w:tc>
          <w:tcPr>
            <w:tcW w:type="dxa" w:w="49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Publication des homélies (texte, audio ou vidéo YouTube intégrée).</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Souhaitable</w:t>
            </w:r>
          </w:p>
        </w:tc>
      </w:tr>
    </w:tbl>
    <w:p>
      <w:pPr>
        <w:pStyle w:val="Heading2"/>
      </w:pPr>
      <w:r>
        <w:t xml:space="preserve">5.3 Formulaires et démarches en ligne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960"/>
        <w:gridCol w:w="2000"/>
      </w:tblGrid>
      <w:tr>
        <w:trPr>
          <w:tblHeader/>
        </w:trPr>
        <w:tc>
          <w:tcPr>
            <w:tcW w:type="dxa" w:w="2400"/>
            <w:tcBorders>
              <w:top w:val="single" w:color="BBBBBB" w:sz="4"/>
              <w:left w:val="single" w:color="BBBBBB" w:sz="4"/>
              <w:bottom w:val="single" w:color="BBBBBB" w:sz="4"/>
              <w:right w:val="single" w:color="BBBBBB" w:sz="4"/>
            </w:tcBorders>
            <w:shd w:fill="1F3A5F" w:color="auto" w:val="clear"/>
            <w:tcMar>
              <w:top w:type="dxa" w:w="70"/>
              <w:left w:type="dxa" w:w="100"/>
              <w:bottom w:type="dxa" w:w="70"/>
              <w:right w:type="dxa" w:w="100"/>
            </w:tcMar>
          </w:tcPr>
          <w:p>
            <w:r>
              <w:rPr>
                <w:b/>
                <w:bCs/>
                <w:color w:val="FFFFFF"/>
                <w:sz w:val="19"/>
                <w:szCs w:val="19"/>
              </w:rPr>
              <w:t xml:space="preserve">Fonctionnalité</w:t>
            </w:r>
          </w:p>
        </w:tc>
        <w:tc>
          <w:tcPr>
            <w:tcW w:type="dxa" w:w="4960"/>
            <w:tcBorders>
              <w:top w:val="single" w:color="BBBBBB" w:sz="4"/>
              <w:left w:val="single" w:color="BBBBBB" w:sz="4"/>
              <w:bottom w:val="single" w:color="BBBBBB" w:sz="4"/>
              <w:right w:val="single" w:color="BBBBBB" w:sz="4"/>
            </w:tcBorders>
            <w:shd w:fill="1F3A5F" w:color="auto" w:val="clear"/>
            <w:tcMar>
              <w:top w:type="dxa" w:w="70"/>
              <w:left w:type="dxa" w:w="100"/>
              <w:bottom w:type="dxa" w:w="70"/>
              <w:right w:type="dxa" w:w="100"/>
            </w:tcMar>
          </w:tcPr>
          <w:p>
            <w:r>
              <w:rPr>
                <w:b/>
                <w:bCs/>
                <w:color w:val="FFFFFF"/>
                <w:sz w:val="19"/>
                <w:szCs w:val="19"/>
              </w:rPr>
              <w:t xml:space="preserve">Description</w:t>
            </w:r>
          </w:p>
        </w:tc>
        <w:tc>
          <w:tcPr>
            <w:tcW w:type="dxa" w:w="2000"/>
            <w:tcBorders>
              <w:top w:val="single" w:color="BBBBBB" w:sz="4"/>
              <w:left w:val="single" w:color="BBBBBB" w:sz="4"/>
              <w:bottom w:val="single" w:color="BBBBBB" w:sz="4"/>
              <w:right w:val="single" w:color="BBBBBB" w:sz="4"/>
            </w:tcBorders>
            <w:shd w:fill="1F3A5F" w:color="auto" w:val="clear"/>
            <w:tcMar>
              <w:top w:type="dxa" w:w="70"/>
              <w:left w:type="dxa" w:w="100"/>
              <w:bottom w:type="dxa" w:w="70"/>
              <w:right w:type="dxa" w:w="100"/>
            </w:tcMar>
          </w:tcPr>
          <w:p>
            <w:r>
              <w:rPr>
                <w:b/>
                <w:bCs/>
                <w:color w:val="FFFFFF"/>
                <w:sz w:val="19"/>
                <w:szCs w:val="19"/>
              </w:rPr>
              <w:t xml:space="preserve">Priorité</w:t>
            </w:r>
          </w:p>
        </w:tc>
      </w:tr>
      <w:tr>
        <w:trPr>
          <w:cantSplit/>
        </w:trPr>
        <w:tc>
          <w:tcPr>
            <w:tcW w:type="dxa" w:w="24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Formulaire de contact</w:t>
            </w:r>
          </w:p>
        </w:tc>
        <w:tc>
          <w:tcPr>
            <w:tcW w:type="dxa" w:w="49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Envoi par e-mail au secrétariat, validation des données et protection anti-spam.</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Essentielle</w:t>
            </w:r>
          </w:p>
        </w:tc>
      </w:tr>
      <w:tr>
        <w:trPr>
          <w:cantSplit/>
        </w:trPr>
        <w:tc>
          <w:tcPr>
            <w:tcW w:type="dxa" w:w="24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Inscription / adhésion à la paroisse</w:t>
            </w:r>
          </w:p>
        </w:tc>
        <w:tc>
          <w:tcPr>
            <w:tcW w:type="dxa" w:w="49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Inscription des nouveaux membres avec collecte des informations essentielles.</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Essentielle</w:t>
            </w:r>
          </w:p>
        </w:tc>
      </w:tr>
      <w:tr>
        <w:trPr>
          <w:cantSplit/>
        </w:trPr>
        <w:tc>
          <w:tcPr>
            <w:tcW w:type="dxa" w:w="24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Inscription au catéchisme</w:t>
            </w:r>
          </w:p>
        </w:tc>
        <w:tc>
          <w:tcPr>
            <w:tcW w:type="dxa" w:w="49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Inscriptions annuelles à la catéchèse et à la préparation aux sacrements.</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Souhaitable</w:t>
            </w:r>
          </w:p>
        </w:tc>
      </w:tr>
      <w:tr>
        <w:trPr>
          <w:cantSplit/>
        </w:trPr>
        <w:tc>
          <w:tcPr>
            <w:tcW w:type="dxa" w:w="24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Demande de sacrement</w:t>
            </w:r>
          </w:p>
        </w:tc>
        <w:tc>
          <w:tcPr>
            <w:tcW w:type="dxa" w:w="49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Demande (baptême, mariage, etc.) avec pièces jointes possibles.</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Souhaitable</w:t>
            </w:r>
          </w:p>
        </w:tc>
      </w:tr>
    </w:tbl>
    <w:p>
      <w:pPr>
        <w:pStyle w:val="Heading2"/>
      </w:pPr>
      <w:r>
        <w:t xml:space="preserve">5.4 Dons et soutien financier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960"/>
        <w:gridCol w:w="2000"/>
      </w:tblGrid>
      <w:tr>
        <w:trPr>
          <w:tblHeader/>
        </w:trPr>
        <w:tc>
          <w:tcPr>
            <w:tcW w:type="dxa" w:w="2400"/>
            <w:tcBorders>
              <w:top w:val="single" w:color="BBBBBB" w:sz="4"/>
              <w:left w:val="single" w:color="BBBBBB" w:sz="4"/>
              <w:bottom w:val="single" w:color="BBBBBB" w:sz="4"/>
              <w:right w:val="single" w:color="BBBBBB" w:sz="4"/>
            </w:tcBorders>
            <w:shd w:fill="1F3A5F" w:color="auto" w:val="clear"/>
            <w:tcMar>
              <w:top w:type="dxa" w:w="70"/>
              <w:left w:type="dxa" w:w="100"/>
              <w:bottom w:type="dxa" w:w="70"/>
              <w:right w:type="dxa" w:w="100"/>
            </w:tcMar>
          </w:tcPr>
          <w:p>
            <w:r>
              <w:rPr>
                <w:b/>
                <w:bCs/>
                <w:color w:val="FFFFFF"/>
                <w:sz w:val="19"/>
                <w:szCs w:val="19"/>
              </w:rPr>
              <w:t xml:space="preserve">Fonctionnalité</w:t>
            </w:r>
          </w:p>
        </w:tc>
        <w:tc>
          <w:tcPr>
            <w:tcW w:type="dxa" w:w="4960"/>
            <w:tcBorders>
              <w:top w:val="single" w:color="BBBBBB" w:sz="4"/>
              <w:left w:val="single" w:color="BBBBBB" w:sz="4"/>
              <w:bottom w:val="single" w:color="BBBBBB" w:sz="4"/>
              <w:right w:val="single" w:color="BBBBBB" w:sz="4"/>
            </w:tcBorders>
            <w:shd w:fill="1F3A5F" w:color="auto" w:val="clear"/>
            <w:tcMar>
              <w:top w:type="dxa" w:w="70"/>
              <w:left w:type="dxa" w:w="100"/>
              <w:bottom w:type="dxa" w:w="70"/>
              <w:right w:type="dxa" w:w="100"/>
            </w:tcMar>
          </w:tcPr>
          <w:p>
            <w:r>
              <w:rPr>
                <w:b/>
                <w:bCs/>
                <w:color w:val="FFFFFF"/>
                <w:sz w:val="19"/>
                <w:szCs w:val="19"/>
              </w:rPr>
              <w:t xml:space="preserve">Description</w:t>
            </w:r>
          </w:p>
        </w:tc>
        <w:tc>
          <w:tcPr>
            <w:tcW w:type="dxa" w:w="2000"/>
            <w:tcBorders>
              <w:top w:val="single" w:color="BBBBBB" w:sz="4"/>
              <w:left w:val="single" w:color="BBBBBB" w:sz="4"/>
              <w:bottom w:val="single" w:color="BBBBBB" w:sz="4"/>
              <w:right w:val="single" w:color="BBBBBB" w:sz="4"/>
            </w:tcBorders>
            <w:shd w:fill="1F3A5F" w:color="auto" w:val="clear"/>
            <w:tcMar>
              <w:top w:type="dxa" w:w="70"/>
              <w:left w:type="dxa" w:w="100"/>
              <w:bottom w:type="dxa" w:w="70"/>
              <w:right w:type="dxa" w:w="100"/>
            </w:tcMar>
          </w:tcPr>
          <w:p>
            <w:r>
              <w:rPr>
                <w:b/>
                <w:bCs/>
                <w:color w:val="FFFFFF"/>
                <w:sz w:val="19"/>
                <w:szCs w:val="19"/>
              </w:rPr>
              <w:t xml:space="preserve">Priorité</w:t>
            </w:r>
          </w:p>
        </w:tc>
      </w:tr>
      <w:tr>
        <w:trPr>
          <w:cantSplit/>
        </w:trPr>
        <w:tc>
          <w:tcPr>
            <w:tcW w:type="dxa" w:w="24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Module de dons en ligne</w:t>
            </w:r>
          </w:p>
        </w:tc>
        <w:tc>
          <w:tcPr>
            <w:tcW w:type="dxa" w:w="49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Page dédiée avec intégration d'une passerelle de paiement (Mobile Money, carte bancaire) via API et webhooks, avec historique des dons dans le back-office.</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Essentielle</w:t>
            </w:r>
          </w:p>
        </w:tc>
      </w:tr>
      <w:tr>
        <w:trPr>
          <w:cantSplit/>
        </w:trPr>
        <w:tc>
          <w:tcPr>
            <w:tcW w:type="dxa" w:w="24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Campagnes de collecte</w:t>
            </w:r>
          </w:p>
        </w:tc>
        <w:tc>
          <w:tcPr>
            <w:tcW w:type="dxa" w:w="49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Pages dédiées aux campagnes spéciales avec jauge d'objectif.</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Optionnelle</w:t>
            </w:r>
          </w:p>
        </w:tc>
      </w:tr>
    </w:tbl>
    <w:p>
      <w:pPr>
        <w:pStyle w:val="Heading2"/>
      </w:pPr>
      <w:r>
        <w:t xml:space="preserve">5.5 Communication et médias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960"/>
        <w:gridCol w:w="2000"/>
      </w:tblGrid>
      <w:tr>
        <w:trPr>
          <w:tblHeader/>
        </w:trPr>
        <w:tc>
          <w:tcPr>
            <w:tcW w:type="dxa" w:w="2400"/>
            <w:tcBorders>
              <w:top w:val="single" w:color="BBBBBB" w:sz="4"/>
              <w:left w:val="single" w:color="BBBBBB" w:sz="4"/>
              <w:bottom w:val="single" w:color="BBBBBB" w:sz="4"/>
              <w:right w:val="single" w:color="BBBBBB" w:sz="4"/>
            </w:tcBorders>
            <w:shd w:fill="1F3A5F" w:color="auto" w:val="clear"/>
            <w:tcMar>
              <w:top w:type="dxa" w:w="70"/>
              <w:left w:type="dxa" w:w="100"/>
              <w:bottom w:type="dxa" w:w="70"/>
              <w:right w:type="dxa" w:w="100"/>
            </w:tcMar>
          </w:tcPr>
          <w:p>
            <w:r>
              <w:rPr>
                <w:b/>
                <w:bCs/>
                <w:color w:val="FFFFFF"/>
                <w:sz w:val="19"/>
                <w:szCs w:val="19"/>
              </w:rPr>
              <w:t xml:space="preserve">Fonctionnalité</w:t>
            </w:r>
          </w:p>
        </w:tc>
        <w:tc>
          <w:tcPr>
            <w:tcW w:type="dxa" w:w="4960"/>
            <w:tcBorders>
              <w:top w:val="single" w:color="BBBBBB" w:sz="4"/>
              <w:left w:val="single" w:color="BBBBBB" w:sz="4"/>
              <w:bottom w:val="single" w:color="BBBBBB" w:sz="4"/>
              <w:right w:val="single" w:color="BBBBBB" w:sz="4"/>
            </w:tcBorders>
            <w:shd w:fill="1F3A5F" w:color="auto" w:val="clear"/>
            <w:tcMar>
              <w:top w:type="dxa" w:w="70"/>
              <w:left w:type="dxa" w:w="100"/>
              <w:bottom w:type="dxa" w:w="70"/>
              <w:right w:type="dxa" w:w="100"/>
            </w:tcMar>
          </w:tcPr>
          <w:p>
            <w:r>
              <w:rPr>
                <w:b/>
                <w:bCs/>
                <w:color w:val="FFFFFF"/>
                <w:sz w:val="19"/>
                <w:szCs w:val="19"/>
              </w:rPr>
              <w:t xml:space="preserve">Description</w:t>
            </w:r>
          </w:p>
        </w:tc>
        <w:tc>
          <w:tcPr>
            <w:tcW w:type="dxa" w:w="2000"/>
            <w:tcBorders>
              <w:top w:val="single" w:color="BBBBBB" w:sz="4"/>
              <w:left w:val="single" w:color="BBBBBB" w:sz="4"/>
              <w:bottom w:val="single" w:color="BBBBBB" w:sz="4"/>
              <w:right w:val="single" w:color="BBBBBB" w:sz="4"/>
            </w:tcBorders>
            <w:shd w:fill="1F3A5F" w:color="auto" w:val="clear"/>
            <w:tcMar>
              <w:top w:type="dxa" w:w="70"/>
              <w:left w:type="dxa" w:w="100"/>
              <w:bottom w:type="dxa" w:w="70"/>
              <w:right w:type="dxa" w:w="100"/>
            </w:tcMar>
          </w:tcPr>
          <w:p>
            <w:r>
              <w:rPr>
                <w:b/>
                <w:bCs/>
                <w:color w:val="FFFFFF"/>
                <w:sz w:val="19"/>
                <w:szCs w:val="19"/>
              </w:rPr>
              <w:t xml:space="preserve">Priorité</w:t>
            </w:r>
          </w:p>
        </w:tc>
      </w:tr>
      <w:tr>
        <w:trPr>
          <w:cantSplit/>
        </w:trPr>
        <w:tc>
          <w:tcPr>
            <w:tcW w:type="dxa" w:w="24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Intégration réseaux sociaux</w:t>
            </w:r>
          </w:p>
        </w:tc>
        <w:tc>
          <w:tcPr>
            <w:tcW w:type="dxa" w:w="49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Liens et flux Facebook/YouTube.</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Essentielle</w:t>
            </w:r>
          </w:p>
        </w:tc>
      </w:tr>
      <w:tr>
        <w:trPr>
          <w:cantSplit/>
        </w:trPr>
        <w:tc>
          <w:tcPr>
            <w:tcW w:type="dxa" w:w="24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Diffusion en direct</w:t>
            </w:r>
          </w:p>
        </w:tc>
        <w:tc>
          <w:tcPr>
            <w:tcW w:type="dxa" w:w="49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Lecteur vidéo intégré pour la retransmission des messes (YouTube/Facebook Live).</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Souhaitable</w:t>
            </w:r>
          </w:p>
        </w:tc>
      </w:tr>
      <w:tr>
        <w:trPr>
          <w:cantSplit/>
        </w:trPr>
        <w:tc>
          <w:tcPr>
            <w:tcW w:type="dxa" w:w="24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Galerie photo/vidéo</w:t>
            </w:r>
          </w:p>
        </w:tc>
        <w:tc>
          <w:tcPr>
            <w:tcW w:type="dxa" w:w="49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Albums des événements paroissiaux.</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Souhaitable</w:t>
            </w:r>
          </w:p>
        </w:tc>
      </w:tr>
      <w:tr>
        <w:trPr>
          <w:cantSplit/>
        </w:trPr>
        <w:tc>
          <w:tcPr>
            <w:tcW w:type="dxa" w:w="24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Newsletter</w:t>
            </w:r>
          </w:p>
        </w:tc>
        <w:tc>
          <w:tcPr>
            <w:tcW w:type="dxa" w:w="49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Inscription à une lettre d'information et envoi par e-mail via un service tiers.</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Optionnelle</w:t>
            </w:r>
          </w:p>
        </w:tc>
      </w:tr>
    </w:tbl>
    <w:p>
      <w:pPr>
        <w:pStyle w:val="Heading2"/>
      </w:pPr>
      <w:r>
        <w:t xml:space="preserve">5.6 Fonctionnalités transverses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960"/>
        <w:gridCol w:w="2000"/>
      </w:tblGrid>
      <w:tr>
        <w:trPr>
          <w:tblHeader/>
        </w:trPr>
        <w:tc>
          <w:tcPr>
            <w:tcW w:type="dxa" w:w="2400"/>
            <w:tcBorders>
              <w:top w:val="single" w:color="BBBBBB" w:sz="4"/>
              <w:left w:val="single" w:color="BBBBBB" w:sz="4"/>
              <w:bottom w:val="single" w:color="BBBBBB" w:sz="4"/>
              <w:right w:val="single" w:color="BBBBBB" w:sz="4"/>
            </w:tcBorders>
            <w:shd w:fill="1F3A5F" w:color="auto" w:val="clear"/>
            <w:tcMar>
              <w:top w:type="dxa" w:w="70"/>
              <w:left w:type="dxa" w:w="100"/>
              <w:bottom w:type="dxa" w:w="70"/>
              <w:right w:type="dxa" w:w="100"/>
            </w:tcMar>
          </w:tcPr>
          <w:p>
            <w:r>
              <w:rPr>
                <w:b/>
                <w:bCs/>
                <w:color w:val="FFFFFF"/>
                <w:sz w:val="19"/>
                <w:szCs w:val="19"/>
              </w:rPr>
              <w:t xml:space="preserve">Fonctionnalité</w:t>
            </w:r>
          </w:p>
        </w:tc>
        <w:tc>
          <w:tcPr>
            <w:tcW w:type="dxa" w:w="4960"/>
            <w:tcBorders>
              <w:top w:val="single" w:color="BBBBBB" w:sz="4"/>
              <w:left w:val="single" w:color="BBBBBB" w:sz="4"/>
              <w:bottom w:val="single" w:color="BBBBBB" w:sz="4"/>
              <w:right w:val="single" w:color="BBBBBB" w:sz="4"/>
            </w:tcBorders>
            <w:shd w:fill="1F3A5F" w:color="auto" w:val="clear"/>
            <w:tcMar>
              <w:top w:type="dxa" w:w="70"/>
              <w:left w:type="dxa" w:w="100"/>
              <w:bottom w:type="dxa" w:w="70"/>
              <w:right w:type="dxa" w:w="100"/>
            </w:tcMar>
          </w:tcPr>
          <w:p>
            <w:r>
              <w:rPr>
                <w:b/>
                <w:bCs/>
                <w:color w:val="FFFFFF"/>
                <w:sz w:val="19"/>
                <w:szCs w:val="19"/>
              </w:rPr>
              <w:t xml:space="preserve">Description</w:t>
            </w:r>
          </w:p>
        </w:tc>
        <w:tc>
          <w:tcPr>
            <w:tcW w:type="dxa" w:w="2000"/>
            <w:tcBorders>
              <w:top w:val="single" w:color="BBBBBB" w:sz="4"/>
              <w:left w:val="single" w:color="BBBBBB" w:sz="4"/>
              <w:bottom w:val="single" w:color="BBBBBB" w:sz="4"/>
              <w:right w:val="single" w:color="BBBBBB" w:sz="4"/>
            </w:tcBorders>
            <w:shd w:fill="1F3A5F" w:color="auto" w:val="clear"/>
            <w:tcMar>
              <w:top w:type="dxa" w:w="70"/>
              <w:left w:type="dxa" w:w="100"/>
              <w:bottom w:type="dxa" w:w="70"/>
              <w:right w:type="dxa" w:w="100"/>
            </w:tcMar>
          </w:tcPr>
          <w:p>
            <w:r>
              <w:rPr>
                <w:b/>
                <w:bCs/>
                <w:color w:val="FFFFFF"/>
                <w:sz w:val="19"/>
                <w:szCs w:val="19"/>
              </w:rPr>
              <w:t xml:space="preserve">Priorité</w:t>
            </w:r>
          </w:p>
        </w:tc>
      </w:tr>
      <w:tr>
        <w:trPr>
          <w:cantSplit/>
        </w:trPr>
        <w:tc>
          <w:tcPr>
            <w:tcW w:type="dxa" w:w="24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Responsive design</w:t>
            </w:r>
          </w:p>
        </w:tc>
        <w:tc>
          <w:tcPr>
            <w:tcW w:type="dxa" w:w="49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Affichage optimisé ordinateur, tablette et smartphone (mobile-first).</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Essentielle</w:t>
            </w:r>
          </w:p>
        </w:tc>
      </w:tr>
      <w:tr>
        <w:trPr>
          <w:cantSplit/>
        </w:trPr>
        <w:tc>
          <w:tcPr>
            <w:tcW w:type="dxa" w:w="24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Multilingue</w:t>
            </w:r>
          </w:p>
        </w:tc>
        <w:tc>
          <w:tcPr>
            <w:tcW w:type="dxa" w:w="49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Français, avec possibilité d'ajouter une langue locale (ex. éwé) via @nuxtjs/i18n.</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Souhaitable</w:t>
            </w:r>
          </w:p>
        </w:tc>
      </w:tr>
      <w:tr>
        <w:trPr>
          <w:cantSplit/>
        </w:trPr>
        <w:tc>
          <w:tcPr>
            <w:tcW w:type="dxa" w:w="24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Recherche interne</w:t>
            </w:r>
          </w:p>
        </w:tc>
        <w:tc>
          <w:tcPr>
            <w:tcW w:type="dxa" w:w="49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Recherche dans les pages, annonces et bulletins (MySQL FULLTEXT).</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Essentielle</w:t>
            </w:r>
          </w:p>
        </w:tc>
      </w:tr>
      <w:tr>
        <w:trPr>
          <w:cantSplit/>
        </w:trPr>
        <w:tc>
          <w:tcPr>
            <w:tcW w:type="dxa" w:w="24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Référencement (SEO)</w:t>
            </w:r>
          </w:p>
        </w:tc>
        <w:tc>
          <w:tcPr>
            <w:tcW w:type="dxa" w:w="49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Rendu côté serveur, balises meta, sitemap, données structurées, URL propres.</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Essentielle</w:t>
            </w:r>
          </w:p>
        </w:tc>
      </w:tr>
      <w:tr>
        <w:trPr>
          <w:cantSplit/>
        </w:trPr>
        <w:tc>
          <w:tcPr>
            <w:tcW w:type="dxa" w:w="24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Sécurité</w:t>
            </w:r>
          </w:p>
        </w:tc>
        <w:tc>
          <w:tcPr>
            <w:tcW w:type="dxa" w:w="49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HTTPS, mots de passe hachés, protection CSRF/XSS/injection SQL, limitation des requêtes, sauvegardes automatiques.</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Essentielle</w:t>
            </w:r>
          </w:p>
        </w:tc>
      </w:tr>
      <w:tr>
        <w:trPr>
          <w:cantSplit/>
        </w:trPr>
        <w:tc>
          <w:tcPr>
            <w:tcW w:type="dxa" w:w="24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Protection des données</w:t>
            </w:r>
          </w:p>
        </w:tc>
        <w:tc>
          <w:tcPr>
            <w:tcW w:type="dxa" w:w="49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Bandeau de consentement aux cookies et politique de confidentialité.</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Essentielle</w:t>
            </w:r>
          </w:p>
        </w:tc>
      </w:tr>
      <w:tr>
        <w:trPr>
          <w:cantSplit/>
        </w:trPr>
        <w:tc>
          <w:tcPr>
            <w:tcW w:type="dxa" w:w="24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Statistiques de fréquentation</w:t>
            </w:r>
          </w:p>
        </w:tc>
        <w:tc>
          <w:tcPr>
            <w:tcW w:type="dxa" w:w="49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Outil d'analyse respectueux de la vie privée (ex. Plausible, Umami ou Google Analytics).</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Souhaitable</w:t>
            </w:r>
          </w:p>
        </w:tc>
      </w:tr>
    </w:tbl>
    <w:p>
      <w:pPr>
        <w:pStyle w:val="Heading1"/>
      </w:pPr>
      <w:r>
        <w:t xml:space="preserve">6. Spécifications techniques</w:t>
      </w:r>
    </w:p>
    <w:p>
      <w:pPr>
        <w:pStyle w:val="Heading2"/>
      </w:pPr>
      <w:r>
        <w:t xml:space="preserve">6.1 Architecture générale</w:t>
      </w:r>
    </w:p>
    <w:p>
      <w:pPr>
        <w:spacing w:after="100"/>
      </w:pPr>
      <w:r>
        <w:t xml:space="preserve">Application web en trois couches : un front-end Nuxt (site public et interface d'administration), une API Node.js en TypeScript, et une base de données MySQL. L'ensemble est déployé sur un VPS.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160"/>
        <w:gridCol w:w="3200"/>
      </w:tblGrid>
      <w:tr>
        <w:trPr>
          <w:tblHeader/>
        </w:trPr>
        <w:tc>
          <w:tcPr>
            <w:tcW w:type="dxa" w:w="2000"/>
            <w:tcBorders>
              <w:top w:val="single" w:color="BBBBBB" w:sz="4"/>
              <w:left w:val="single" w:color="BBBBBB" w:sz="4"/>
              <w:bottom w:val="single" w:color="BBBBBB" w:sz="4"/>
              <w:right w:val="single" w:color="BBBBBB" w:sz="4"/>
            </w:tcBorders>
            <w:shd w:fill="1F3A5F" w:color="auto" w:val="clear"/>
            <w:tcMar>
              <w:top w:type="dxa" w:w="70"/>
              <w:left w:type="dxa" w:w="100"/>
              <w:bottom w:type="dxa" w:w="70"/>
              <w:right w:type="dxa" w:w="100"/>
            </w:tcMar>
          </w:tcPr>
          <w:p>
            <w:r>
              <w:rPr>
                <w:b/>
                <w:bCs/>
                <w:color w:val="FFFFFF"/>
                <w:sz w:val="19"/>
                <w:szCs w:val="19"/>
              </w:rPr>
              <w:t xml:space="preserve">Couche</w:t>
            </w:r>
          </w:p>
        </w:tc>
        <w:tc>
          <w:tcPr>
            <w:tcW w:type="dxa" w:w="4160"/>
            <w:tcBorders>
              <w:top w:val="single" w:color="BBBBBB" w:sz="4"/>
              <w:left w:val="single" w:color="BBBBBB" w:sz="4"/>
              <w:bottom w:val="single" w:color="BBBBBB" w:sz="4"/>
              <w:right w:val="single" w:color="BBBBBB" w:sz="4"/>
            </w:tcBorders>
            <w:shd w:fill="1F3A5F" w:color="auto" w:val="clear"/>
            <w:tcMar>
              <w:top w:type="dxa" w:w="70"/>
              <w:left w:type="dxa" w:w="100"/>
              <w:bottom w:type="dxa" w:w="70"/>
              <w:right w:type="dxa" w:w="100"/>
            </w:tcMar>
          </w:tcPr>
          <w:p>
            <w:r>
              <w:rPr>
                <w:b/>
                <w:bCs/>
                <w:color w:val="FFFFFF"/>
                <w:sz w:val="19"/>
                <w:szCs w:val="19"/>
              </w:rPr>
              <w:t xml:space="preserve">Technologie</w:t>
            </w:r>
          </w:p>
        </w:tc>
        <w:tc>
          <w:tcPr>
            <w:tcW w:type="dxa" w:w="3200"/>
            <w:tcBorders>
              <w:top w:val="single" w:color="BBBBBB" w:sz="4"/>
              <w:left w:val="single" w:color="BBBBBB" w:sz="4"/>
              <w:bottom w:val="single" w:color="BBBBBB" w:sz="4"/>
              <w:right w:val="single" w:color="BBBBBB" w:sz="4"/>
            </w:tcBorders>
            <w:shd w:fill="1F3A5F" w:color="auto" w:val="clear"/>
            <w:tcMar>
              <w:top w:type="dxa" w:w="70"/>
              <w:left w:type="dxa" w:w="100"/>
              <w:bottom w:type="dxa" w:w="70"/>
              <w:right w:type="dxa" w:w="100"/>
            </w:tcMar>
          </w:tcPr>
          <w:p>
            <w:r>
              <w:rPr>
                <w:b/>
                <w:bCs/>
                <w:color w:val="FFFFFF"/>
                <w:sz w:val="19"/>
                <w:szCs w:val="19"/>
              </w:rPr>
              <w:t xml:space="preserve">Rôle</w:t>
            </w:r>
          </w:p>
        </w:tc>
      </w:tr>
      <w:tr>
        <w:trPr>
          <w:cantSplit/>
        </w:trPr>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Front-end</w:t>
            </w:r>
          </w:p>
        </w:tc>
        <w:tc>
          <w:tcPr>
            <w:tcW w:type="dxa" w:w="41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Nuxt 3 (Vue 3, TypeScript), rendu SSR/SSG, Tailwind CSS</w:t>
            </w:r>
          </w:p>
        </w:tc>
        <w:tc>
          <w:tcPr>
            <w:tcW w:type="dxa" w:w="32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Site public, SEO, interface d'administration</w:t>
            </w:r>
          </w:p>
        </w:tc>
      </w:tr>
      <w:tr>
        <w:trPr>
          <w:cantSplit/>
        </w:trPr>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Back-end / API</w:t>
            </w:r>
          </w:p>
        </w:tc>
        <w:tc>
          <w:tcPr>
            <w:tcW w:type="dxa" w:w="41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Node.js (LTS), Nitro (intégré à Nuxt) ou NestJS, TypeScript</w:t>
            </w:r>
          </w:p>
        </w:tc>
        <w:tc>
          <w:tcPr>
            <w:tcW w:type="dxa" w:w="32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Logique métier, API REST, authentification</w:t>
            </w:r>
          </w:p>
        </w:tc>
      </w:tr>
      <w:tr>
        <w:trPr>
          <w:cantSplit/>
        </w:trPr>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Base de données</w:t>
            </w:r>
          </w:p>
        </w:tc>
        <w:tc>
          <w:tcPr>
            <w:tcW w:type="dxa" w:w="41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MySQL 8, ORM Prisma ou Drizzle</w:t>
            </w:r>
          </w:p>
        </w:tc>
        <w:tc>
          <w:tcPr>
            <w:tcW w:type="dxa" w:w="32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Stockage des contenus, utilisateurs, formulaires, dons</w:t>
            </w:r>
          </w:p>
        </w:tc>
      </w:tr>
      <w:tr>
        <w:trPr>
          <w:cantSplit/>
        </w:trPr>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Validation</w:t>
            </w:r>
          </w:p>
        </w:tc>
        <w:tc>
          <w:tcPr>
            <w:tcW w:type="dxa" w:w="41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Zod</w:t>
            </w:r>
          </w:p>
        </w:tc>
        <w:tc>
          <w:tcPr>
            <w:tcW w:type="dxa" w:w="32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Validation des données côté serveur et client</w:t>
            </w:r>
          </w:p>
        </w:tc>
      </w:tr>
      <w:tr>
        <w:trPr>
          <w:cantSplit/>
        </w:trPr>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Authentification</w:t>
            </w:r>
          </w:p>
        </w:tc>
        <w:tc>
          <w:tcPr>
            <w:tcW w:type="dxa" w:w="41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Sessions sécurisées ou JWT, rôles, hachage argon2/bcrypt</w:t>
            </w:r>
          </w:p>
        </w:tc>
        <w:tc>
          <w:tcPr>
            <w:tcW w:type="dxa" w:w="32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Accès au back-office</w:t>
            </w:r>
          </w:p>
        </w:tc>
      </w:tr>
      <w:tr>
        <w:trPr>
          <w:cantSplit/>
        </w:trPr>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E-mails</w:t>
            </w:r>
          </w:p>
        </w:tc>
        <w:tc>
          <w:tcPr>
            <w:tcW w:type="dxa" w:w="41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Nodemailer (SMTP du domaine) ou service transactionnel</w:t>
            </w:r>
          </w:p>
        </w:tc>
        <w:tc>
          <w:tcPr>
            <w:tcW w:type="dxa" w:w="32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Notifications et formulaires</w:t>
            </w:r>
          </w:p>
        </w:tc>
      </w:tr>
      <w:tr>
        <w:trPr>
          <w:cantSplit/>
        </w:trPr>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Fichiers</w:t>
            </w:r>
          </w:p>
        </w:tc>
        <w:tc>
          <w:tcPr>
            <w:tcW w:type="dxa" w:w="41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Stockage disque du VPS (ou S3 compatible), optimisation d'images (sharp)</w:t>
            </w:r>
          </w:p>
        </w:tc>
        <w:tc>
          <w:tcPr>
            <w:tcW w:type="dxa" w:w="32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Médiathèque, bulletins PDF</w:t>
            </w:r>
          </w:p>
        </w:tc>
      </w:tr>
    </w:tbl>
    <w:p>
      <w:pPr>
        <w:pStyle w:val="Heading2"/>
      </w:pPr>
      <w:r>
        <w:t xml:space="preserve">6.2 Bibliothèques et outils envisagés</w:t>
      </w:r>
    </w:p>
    <w:p>
      <w:pPr>
        <w:pStyle w:val="ListParagraph"/>
        <w:numPr>
          <w:ilvl w:val="0"/>
          <w:numId w:val="2"/>
        </w:numPr>
        <w:spacing w:after="60"/>
      </w:pPr>
      <w:r>
        <w:t xml:space="preserve">Éditeur riche : Tiptap</w:t>
      </w:r>
    </w:p>
    <w:p>
      <w:pPr>
        <w:pStyle w:val="ListParagraph"/>
        <w:numPr>
          <w:ilvl w:val="0"/>
          <w:numId w:val="2"/>
        </w:numPr>
        <w:spacing w:after="60"/>
      </w:pPr>
      <w:r>
        <w:t xml:space="preserve">Calendrier : FullCalendar</w:t>
      </w:r>
    </w:p>
    <w:p>
      <w:pPr>
        <w:pStyle w:val="ListParagraph"/>
        <w:numPr>
          <w:ilvl w:val="0"/>
          <w:numId w:val="2"/>
        </w:numPr>
        <w:spacing w:after="60"/>
      </w:pPr>
      <w:r>
        <w:t xml:space="preserve">SEO : @nuxtjs/seo (sitemap, robots, schema.org)</w:t>
      </w:r>
    </w:p>
    <w:p>
      <w:pPr>
        <w:pStyle w:val="ListParagraph"/>
        <w:numPr>
          <w:ilvl w:val="0"/>
          <w:numId w:val="2"/>
        </w:numPr>
        <w:spacing w:after="60"/>
      </w:pPr>
      <w:r>
        <w:t xml:space="preserve">Multilingue : @nuxtjs/i18n</w:t>
      </w:r>
    </w:p>
    <w:p>
      <w:pPr>
        <w:pStyle w:val="ListParagraph"/>
        <w:numPr>
          <w:ilvl w:val="0"/>
          <w:numId w:val="2"/>
        </w:numPr>
        <w:spacing w:after="60"/>
      </w:pPr>
      <w:r>
        <w:t xml:space="preserve">Paiement : API Flutterwave, CinetPay ou PayPal selon disponibilité locale</w:t>
      </w:r>
    </w:p>
    <w:p>
      <w:pPr>
        <w:pStyle w:val="ListParagraph"/>
        <w:numPr>
          <w:ilvl w:val="0"/>
          <w:numId w:val="2"/>
        </w:numPr>
        <w:spacing w:after="60"/>
      </w:pPr>
      <w:r>
        <w:t xml:space="preserve">Cookies : bandeau de consentement sur mesure</w:t>
      </w:r>
    </w:p>
    <w:p>
      <w:pPr>
        <w:pStyle w:val="ListParagraph"/>
        <w:numPr>
          <w:ilvl w:val="0"/>
          <w:numId w:val="2"/>
        </w:numPr>
        <w:spacing w:after="60"/>
      </w:pPr>
      <w:r>
        <w:t xml:space="preserve">Qualité : ESLint, Prettier, Vitest, Playwright (tests de bout en bout)</w:t>
      </w:r>
    </w:p>
    <w:p>
      <w:pPr>
        <w:pStyle w:val="ListParagraph"/>
        <w:numPr>
          <w:ilvl w:val="0"/>
          <w:numId w:val="2"/>
        </w:numPr>
        <w:spacing w:after="60"/>
      </w:pPr>
      <w:r>
        <w:t xml:space="preserve">Versionnement : Git (dépôt privé), intégration continue</w:t>
      </w:r>
    </w:p>
    <w:p>
      <w:pPr>
        <w:pStyle w:val="Heading2"/>
      </w:pPr>
      <w:r>
        <w:t xml:space="preserve">6.3 Modèle de données (tables principales)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BBBBB" w:sz="4"/>
              <w:left w:val="single" w:color="BBBBBB" w:sz="4"/>
              <w:bottom w:val="single" w:color="BBBBBB" w:sz="4"/>
              <w:right w:val="single" w:color="BBBBBB" w:sz="4"/>
            </w:tcBorders>
            <w:shd w:fill="1F3A5F" w:color="auto" w:val="clear"/>
            <w:tcMar>
              <w:top w:type="dxa" w:w="70"/>
              <w:left w:type="dxa" w:w="100"/>
              <w:bottom w:type="dxa" w:w="70"/>
              <w:right w:type="dxa" w:w="100"/>
            </w:tcMar>
          </w:tcPr>
          <w:p>
            <w:r>
              <w:rPr>
                <w:b/>
                <w:bCs/>
                <w:color w:val="FFFFFF"/>
                <w:sz w:val="19"/>
                <w:szCs w:val="19"/>
              </w:rPr>
              <w:t xml:space="preserve">Table</w:t>
            </w:r>
          </w:p>
        </w:tc>
        <w:tc>
          <w:tcPr>
            <w:tcW w:type="dxa" w:w="6760"/>
            <w:tcBorders>
              <w:top w:val="single" w:color="BBBBBB" w:sz="4"/>
              <w:left w:val="single" w:color="BBBBBB" w:sz="4"/>
              <w:bottom w:val="single" w:color="BBBBBB" w:sz="4"/>
              <w:right w:val="single" w:color="BBBBBB" w:sz="4"/>
            </w:tcBorders>
            <w:shd w:fill="1F3A5F" w:color="auto" w:val="clear"/>
            <w:tcMar>
              <w:top w:type="dxa" w:w="70"/>
              <w:left w:type="dxa" w:w="100"/>
              <w:bottom w:type="dxa" w:w="70"/>
              <w:right w:type="dxa" w:w="100"/>
            </w:tcMar>
          </w:tcPr>
          <w:p>
            <w:r>
              <w:rPr>
                <w:b/>
                <w:bCs/>
                <w:color w:val="FFFFFF"/>
                <w:sz w:val="19"/>
                <w:szCs w:val="19"/>
              </w:rPr>
              <w:t xml:space="preserve">Contenu</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users, roles</w:t>
            </w:r>
          </w:p>
        </w:tc>
        <w:tc>
          <w:tcPr>
            <w:tcW w:type="dxa" w:w="67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Comptes du back-office et leurs droits</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pages</w:t>
            </w:r>
          </w:p>
        </w:tc>
        <w:tc>
          <w:tcPr>
            <w:tcW w:type="dxa" w:w="67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Pages de contenu (titre, slug, contenu, langue, statut, SEO)</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announcements</w:t>
            </w:r>
          </w:p>
        </w:tc>
        <w:tc>
          <w:tcPr>
            <w:tcW w:type="dxa" w:w="67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Annonces paroissiales (titre, texte, dates de publication)</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bulletins</w:t>
            </w:r>
          </w:p>
        </w:tc>
        <w:tc>
          <w:tcPr>
            <w:tcW w:type="dxa" w:w="67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Bulletins hebdomadaires (date, fichier PDF)</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events, event_categories</w:t>
            </w:r>
          </w:p>
        </w:tc>
        <w:tc>
          <w:tcPr>
            <w:tcW w:type="dxa" w:w="67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Calendrier : messes, célébrations, événements</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mass_schedules</w:t>
            </w:r>
          </w:p>
        </w:tc>
        <w:tc>
          <w:tcPr>
            <w:tcW w:type="dxa" w:w="67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Horaires des messes et confessions</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staff</w:t>
            </w:r>
          </w:p>
        </w:tc>
        <w:tc>
          <w:tcPr>
            <w:tcW w:type="dxa" w:w="67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Personnel pastoral (nom, fonction, photo, biographie)</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homilies</w:t>
            </w:r>
          </w:p>
        </w:tc>
        <w:tc>
          <w:tcPr>
            <w:tcW w:type="dxa" w:w="67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Homélies (texte, audio, lien vidéo)</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media</w:t>
            </w:r>
          </w:p>
        </w:tc>
        <w:tc>
          <w:tcPr>
            <w:tcW w:type="dxa" w:w="67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Fichiers téléversés (images, PDF, vidéos)</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form_submissions</w:t>
            </w:r>
          </w:p>
        </w:tc>
        <w:tc>
          <w:tcPr>
            <w:tcW w:type="dxa" w:w="67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Soumissions : contact, adhésion, catéchisme, sacrements, intentions de messe</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donations, campaigns</w:t>
            </w:r>
          </w:p>
        </w:tc>
        <w:tc>
          <w:tcPr>
            <w:tcW w:type="dxa" w:w="67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Dons (montant, statut, référence de paiement) et campagnes</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subscribers</w:t>
            </w:r>
          </w:p>
        </w:tc>
        <w:tc>
          <w:tcPr>
            <w:tcW w:type="dxa" w:w="67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Abonnés à la newsletter</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settings</w:t>
            </w:r>
          </w:p>
        </w:tc>
        <w:tc>
          <w:tcPr>
            <w:tcW w:type="dxa" w:w="67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Paramètres du site (coordonnées, réseaux sociaux)</w:t>
            </w:r>
          </w:p>
        </w:tc>
      </w:tr>
    </w:tbl>
    <w:p>
      <w:pPr>
        <w:pStyle w:val="Heading2"/>
      </w:pPr>
      <w:r>
        <w:t xml:space="preserve">6.4 Design et charte graphique</w:t>
      </w:r>
    </w:p>
    <w:p>
      <w:pPr>
        <w:spacing w:after="100"/>
      </w:pPr>
      <w:r>
        <w:t xml:space="preserve">Une maquette graphique (desktop et mobile), réalisée sous Figma, sera proposée au client pour validation avant le développement. La charte s'appuiera sur les couleurs, symboles et éléments identitaires de la paroisse (patronage de Sainte Lucie, couleurs liturgiques, logo existant ou à créer).</w:t>
      </w:r>
    </w:p>
    <w:p>
      <w:pPr>
        <w:pStyle w:val="Heading2"/>
      </w:pPr>
      <w:r>
        <w:t xml:space="preserve">6.5 Compatibilité et performance</w:t>
      </w:r>
    </w:p>
    <w:p>
      <w:pPr>
        <w:pStyle w:val="ListParagraph"/>
        <w:numPr>
          <w:ilvl w:val="0"/>
          <w:numId w:val="2"/>
        </w:numPr>
        <w:spacing w:after="60"/>
      </w:pPr>
      <w:r>
        <w:t xml:space="preserve">Compatible avec Chrome, Firefox, Safari et Edge</w:t>
      </w:r>
    </w:p>
    <w:p>
      <w:pPr>
        <w:pStyle w:val="ListParagraph"/>
        <w:numPr>
          <w:ilvl w:val="0"/>
          <w:numId w:val="2"/>
        </w:numPr>
        <w:spacing w:after="60"/>
      </w:pPr>
      <w:r>
        <w:t xml:space="preserve">Affichage mobile-first, adapté aux connexions à faible débit</w:t>
      </w:r>
    </w:p>
    <w:p>
      <w:pPr>
        <w:pStyle w:val="ListParagraph"/>
        <w:numPr>
          <w:ilvl w:val="0"/>
          <w:numId w:val="2"/>
        </w:numPr>
        <w:spacing w:after="60"/>
      </w:pPr>
      <w:r>
        <w:t xml:space="preserve">Temps de chargement optimisé (rendu serveur, images compressées, mise en cache)</w:t>
      </w:r>
    </w:p>
    <w:p>
      <w:pPr>
        <w:pStyle w:val="ListParagraph"/>
        <w:numPr>
          <w:ilvl w:val="0"/>
          <w:numId w:val="2"/>
        </w:numPr>
        <w:spacing w:after="60"/>
      </w:pPr>
      <w:r>
        <w:t xml:space="preserve">Objectif de score Lighthouse supérieur à 85 (performance, accessibilité, SEO)</w:t>
      </w:r>
    </w:p>
    <w:p>
      <w:pPr>
        <w:pStyle w:val="Heading1"/>
      </w:pPr>
      <w:r>
        <w:t xml:space="preserve">7. Hébergement, nom de domaine et infrastructure</w:t>
      </w:r>
    </w:p>
    <w:p>
      <w:pPr>
        <w:pStyle w:val="Heading2"/>
      </w:pPr>
      <w:r>
        <w:t xml:space="preserve">7.1 Nom de domaine</w:t>
      </w:r>
    </w:p>
    <w:p>
      <w:pPr>
        <w:pStyle w:val="ListParagraph"/>
        <w:numPr>
          <w:ilvl w:val="0"/>
          <w:numId w:val="2"/>
        </w:numPr>
        <w:spacing w:after="60"/>
      </w:pPr>
      <w:r>
        <w:t xml:space="preserve">Nom de domaine retenu : www.paroissesaintelucie-baguida.org (disponibilité à confirmer avant réservation)</w:t>
      </w:r>
    </w:p>
    <w:p>
      <w:pPr>
        <w:pStyle w:val="ListParagraph"/>
        <w:numPr>
          <w:ilvl w:val="0"/>
          <w:numId w:val="2"/>
        </w:numPr>
        <w:spacing w:after="60"/>
      </w:pPr>
      <w:r>
        <w:t xml:space="preserve">Durée de réservation initiale : 1 an, renouvelable annuellement</w:t>
      </w:r>
    </w:p>
    <w:p>
      <w:pPr>
        <w:pStyle w:val="ListParagraph"/>
        <w:numPr>
          <w:ilvl w:val="0"/>
          <w:numId w:val="2"/>
        </w:numPr>
        <w:spacing w:after="60"/>
      </w:pPr>
      <w:r>
        <w:t xml:space="preserve">Il est recommandé de réserver aussi la variante .com pour éviter toute confusion</w:t>
      </w:r>
    </w:p>
    <w:p>
      <w:pPr>
        <w:pStyle w:val="ListParagraph"/>
        <w:numPr>
          <w:ilvl w:val="0"/>
          <w:numId w:val="2"/>
        </w:numPr>
        <w:spacing w:after="60"/>
      </w:pPr>
      <w:r>
        <w:t xml:space="preserve">Le nom de domaine sera enregistré au nom de la Paroisse, qui en restera propriétaire</w:t>
      </w:r>
    </w:p>
    <w:p>
      <w:pPr>
        <w:pStyle w:val="Heading2"/>
      </w:pPr>
      <w:r>
        <w:t xml:space="preserve">7.2 Hébergement recommandé : VPS Contabo</w:t>
      </w:r>
    </w:p>
    <w:p>
      <w:pPr>
        <w:spacing w:after="100"/>
      </w:pPr>
      <w:r>
        <w:t xml:space="preserve">Une application Node.js nécessite un serveur dédié ou un VPS : l'hébergement mutualisé prévu en version 1.0 n'est plus adapté.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4560"/>
        <w:gridCol w:w="2100"/>
      </w:tblGrid>
      <w:tr>
        <w:trPr>
          <w:tblHeader/>
        </w:trPr>
        <w:tc>
          <w:tcPr>
            <w:tcW w:type="dxa" w:w="2700"/>
            <w:tcBorders>
              <w:top w:val="single" w:color="BBBBBB" w:sz="4"/>
              <w:left w:val="single" w:color="BBBBBB" w:sz="4"/>
              <w:bottom w:val="single" w:color="BBBBBB" w:sz="4"/>
              <w:right w:val="single" w:color="BBBBBB" w:sz="4"/>
            </w:tcBorders>
            <w:shd w:fill="1F3A5F" w:color="auto" w:val="clear"/>
            <w:tcMar>
              <w:top w:type="dxa" w:w="70"/>
              <w:left w:type="dxa" w:w="100"/>
              <w:bottom w:type="dxa" w:w="70"/>
              <w:right w:type="dxa" w:w="100"/>
            </w:tcMar>
          </w:tcPr>
          <w:p>
            <w:r>
              <w:rPr>
                <w:b/>
                <w:bCs/>
                <w:color w:val="FFFFFF"/>
                <w:sz w:val="19"/>
                <w:szCs w:val="19"/>
              </w:rPr>
              <w:t xml:space="preserve">Formule</w:t>
            </w:r>
          </w:p>
        </w:tc>
        <w:tc>
          <w:tcPr>
            <w:tcW w:type="dxa" w:w="4560"/>
            <w:tcBorders>
              <w:top w:val="single" w:color="BBBBBB" w:sz="4"/>
              <w:left w:val="single" w:color="BBBBBB" w:sz="4"/>
              <w:bottom w:val="single" w:color="BBBBBB" w:sz="4"/>
              <w:right w:val="single" w:color="BBBBBB" w:sz="4"/>
            </w:tcBorders>
            <w:shd w:fill="1F3A5F" w:color="auto" w:val="clear"/>
            <w:tcMar>
              <w:top w:type="dxa" w:w="70"/>
              <w:left w:type="dxa" w:w="100"/>
              <w:bottom w:type="dxa" w:w="70"/>
              <w:right w:type="dxa" w:w="100"/>
            </w:tcMar>
          </w:tcPr>
          <w:p>
            <w:r>
              <w:rPr>
                <w:b/>
                <w:bCs/>
                <w:color w:val="FFFFFF"/>
                <w:sz w:val="19"/>
                <w:szCs w:val="19"/>
              </w:rPr>
              <w:t xml:space="preserve">Caractéristiques indicatives</w:t>
            </w:r>
          </w:p>
        </w:tc>
        <w:tc>
          <w:tcPr>
            <w:tcW w:type="dxa" w:w="2100"/>
            <w:tcBorders>
              <w:top w:val="single" w:color="BBBBBB" w:sz="4"/>
              <w:left w:val="single" w:color="BBBBBB" w:sz="4"/>
              <w:bottom w:val="single" w:color="BBBBBB" w:sz="4"/>
              <w:right w:val="single" w:color="BBBBBB" w:sz="4"/>
            </w:tcBorders>
            <w:shd w:fill="1F3A5F" w:color="auto" w:val="clear"/>
            <w:tcMar>
              <w:top w:type="dxa" w:w="70"/>
              <w:left w:type="dxa" w:w="100"/>
              <w:bottom w:type="dxa" w:w="70"/>
              <w:right w:type="dxa" w:w="100"/>
            </w:tcMar>
          </w:tcPr>
          <w:p>
            <w:r>
              <w:rPr>
                <w:b/>
                <w:bCs/>
                <w:color w:val="FFFFFF"/>
                <w:sz w:val="19"/>
                <w:szCs w:val="19"/>
              </w:rPr>
              <w:t xml:space="preserve">Coût indicatif*</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Cloud VPS 10 (Contabo)</w:t>
            </w:r>
          </w:p>
        </w:tc>
        <w:tc>
          <w:tcPr>
            <w:tcW w:type="dxa" w:w="45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4 vCPU, 8 Go RAM, 75 Go NVMe, trafic illimité en entrée. Suffisant pour le site, l'API et MySQL.</w:t>
            </w:r>
          </w:p>
        </w:tc>
        <w:tc>
          <w:tcPr>
            <w:tcW w:type="dxa" w:w="21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 4,50 à 8 €/mois</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Cloud VPS supérieur (option)</w:t>
            </w:r>
          </w:p>
        </w:tc>
        <w:tc>
          <w:tcPr>
            <w:tcW w:type="dxa" w:w="45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Plus de ressources si forte audience ou multi-sites.</w:t>
            </w:r>
          </w:p>
        </w:tc>
        <w:tc>
          <w:tcPr>
            <w:tcW w:type="dxa" w:w="21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Selon la grille Contabo</w:t>
            </w:r>
          </w:p>
        </w:tc>
      </w:tr>
    </w:tbl>
    <w:p>
      <w:pPr>
        <w:spacing w:after="100"/>
        <w:rPr>
          <w:i/>
          <w:iCs/>
          <w:sz w:val="18"/>
          <w:szCs w:val="18"/>
        </w:rPr>
      </w:pPr>
      <w:r>
        <w:rPr>
          <w:i/>
          <w:iCs/>
          <w:sz w:val="18"/>
          <w:szCs w:val="18"/>
        </w:rPr>
        <w:t xml:space="preserve">*Tarifs indicatifs, à reconfirmer sur contabo.com avant souscription.</w:t>
      </w:r>
    </w:p>
    <w:p>
      <w:pPr>
        <w:pStyle w:val="Heading2"/>
      </w:pPr>
      <w:r>
        <w:t xml:space="preserve">7.3 Éléments inclus dans la prestation d'hébergement</w:t>
      </w:r>
    </w:p>
    <w:p>
      <w:pPr>
        <w:pStyle w:val="ListParagraph"/>
        <w:numPr>
          <w:ilvl w:val="0"/>
          <w:numId w:val="2"/>
        </w:numPr>
        <w:spacing w:after="60"/>
      </w:pPr>
      <w:r>
        <w:t xml:space="preserve">Installation et sécurisation du serveur (Ubuntu LTS, pare-feu, accès SSH par clé)</w:t>
      </w:r>
    </w:p>
    <w:p>
      <w:pPr>
        <w:pStyle w:val="ListParagraph"/>
        <w:numPr>
          <w:ilvl w:val="0"/>
          <w:numId w:val="2"/>
        </w:numPr>
        <w:spacing w:after="60"/>
      </w:pPr>
      <w:r>
        <w:t xml:space="preserve">Installation de Node.js, MySQL, Nginx (reverse proxy) et PM2 (ou Docker)</w:t>
      </w:r>
    </w:p>
    <w:p>
      <w:pPr>
        <w:pStyle w:val="ListParagraph"/>
        <w:numPr>
          <w:ilvl w:val="0"/>
          <w:numId w:val="2"/>
        </w:numPr>
        <w:spacing w:after="60"/>
      </w:pPr>
      <w:r>
        <w:t xml:space="preserve">Certificat SSL (HTTPS) gratuit Let's Encrypt avec renouvellement automatique</w:t>
      </w:r>
    </w:p>
    <w:p>
      <w:pPr>
        <w:pStyle w:val="ListParagraph"/>
        <w:numPr>
          <w:ilvl w:val="0"/>
          <w:numId w:val="2"/>
        </w:numPr>
        <w:spacing w:after="60"/>
      </w:pPr>
      <w:r>
        <w:t xml:space="preserve">E-mails professionnels liés au domaine (ex. contact@paroissesaintelucie-baguida.org)</w:t>
      </w:r>
    </w:p>
    <w:p>
      <w:pPr>
        <w:pStyle w:val="ListParagraph"/>
        <w:numPr>
          <w:ilvl w:val="0"/>
          <w:numId w:val="2"/>
        </w:numPr>
        <w:spacing w:after="60"/>
      </w:pPr>
      <w:r>
        <w:t xml:space="preserve">Sauvegardes automatiques quotidiennes de la base MySQL et des fichiers, avec copie externe</w:t>
      </w:r>
    </w:p>
    <w:p>
      <w:pPr>
        <w:pStyle w:val="ListParagraph"/>
        <w:numPr>
          <w:ilvl w:val="0"/>
          <w:numId w:val="2"/>
        </w:numPr>
        <w:spacing w:after="60"/>
      </w:pPr>
      <w:r>
        <w:t xml:space="preserve">Surveillance de la disponibilité du site</w:t>
      </w:r>
    </w:p>
    <w:p>
      <w:pPr>
        <w:pStyle w:val="ListParagraph"/>
        <w:numPr>
          <w:ilvl w:val="0"/>
          <w:numId w:val="2"/>
        </w:numPr>
        <w:spacing w:after="60"/>
      </w:pPr>
      <w:r>
        <w:t xml:space="preserve">Suivi de la première année d'hébergement et accompagnement au renouvellement</w:t>
      </w:r>
    </w:p>
    <w:p>
      <w:pPr>
        <w:pStyle w:val="Heading2"/>
      </w:pPr>
      <w:r>
        <w:t xml:space="preserve">7.4 Propriété des accès</w:t>
      </w:r>
    </w:p>
    <w:p>
      <w:pPr>
        <w:spacing w:after="100"/>
      </w:pPr>
      <w:r>
        <w:t xml:space="preserve">L'ensemble des accès (hébergement, nom de domaine, back-office, dépôt de code) sera créé au nom et sous le contrôle exclusif de la Paroisse Sainte Lucie de Baguida, qui en recevra tous les identifiants à l'issue du projet. Le code source et une documentation technique lui seront remis.</w:t>
      </w:r>
    </w:p>
    <w:p>
      <w:pPr>
        <w:pStyle w:val="Heading1"/>
      </w:pPr>
      <w:r>
        <w:t xml:space="preserve">8. Méthodologie et planning prévisionnel</w:t>
      </w:r>
    </w:p>
    <w:p>
      <w:pPr>
        <w:spacing w:after="100"/>
      </w:pPr>
      <w:r>
        <w:t xml:space="preserve">Le projet suit une méthode itérative avec livraisons intermédiaires, présentées au client sur un environnement de préproduction.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460"/>
        <w:gridCol w:w="1800"/>
        <w:gridCol w:w="2300"/>
      </w:tblGrid>
      <w:tr>
        <w:trPr>
          <w:tblHeader/>
        </w:trPr>
        <w:tc>
          <w:tcPr>
            <w:tcW w:type="dxa" w:w="800"/>
            <w:tcBorders>
              <w:top w:val="single" w:color="BBBBBB" w:sz="4"/>
              <w:left w:val="single" w:color="BBBBBB" w:sz="4"/>
              <w:bottom w:val="single" w:color="BBBBBB" w:sz="4"/>
              <w:right w:val="single" w:color="BBBBBB" w:sz="4"/>
            </w:tcBorders>
            <w:shd w:fill="1F3A5F" w:color="auto" w:val="clear"/>
            <w:tcMar>
              <w:top w:type="dxa" w:w="70"/>
              <w:left w:type="dxa" w:w="100"/>
              <w:bottom w:type="dxa" w:w="70"/>
              <w:right w:type="dxa" w:w="100"/>
            </w:tcMar>
          </w:tcPr>
          <w:p>
            <w:r>
              <w:rPr>
                <w:b/>
                <w:bCs/>
                <w:color w:val="FFFFFF"/>
                <w:sz w:val="19"/>
                <w:szCs w:val="19"/>
              </w:rPr>
              <w:t xml:space="preserve">Étape</w:t>
            </w:r>
          </w:p>
        </w:tc>
        <w:tc>
          <w:tcPr>
            <w:tcW w:type="dxa" w:w="4460"/>
            <w:tcBorders>
              <w:top w:val="single" w:color="BBBBBB" w:sz="4"/>
              <w:left w:val="single" w:color="BBBBBB" w:sz="4"/>
              <w:bottom w:val="single" w:color="BBBBBB" w:sz="4"/>
              <w:right w:val="single" w:color="BBBBBB" w:sz="4"/>
            </w:tcBorders>
            <w:shd w:fill="1F3A5F" w:color="auto" w:val="clear"/>
            <w:tcMar>
              <w:top w:type="dxa" w:w="70"/>
              <w:left w:type="dxa" w:w="100"/>
              <w:bottom w:type="dxa" w:w="70"/>
              <w:right w:type="dxa" w:w="100"/>
            </w:tcMar>
          </w:tcPr>
          <w:p>
            <w:r>
              <w:rPr>
                <w:b/>
                <w:bCs/>
                <w:color w:val="FFFFFF"/>
                <w:sz w:val="19"/>
                <w:szCs w:val="19"/>
              </w:rPr>
              <w:t xml:space="preserve">Livrable</w:t>
            </w:r>
          </w:p>
        </w:tc>
        <w:tc>
          <w:tcPr>
            <w:tcW w:type="dxa" w:w="1800"/>
            <w:tcBorders>
              <w:top w:val="single" w:color="BBBBBB" w:sz="4"/>
              <w:left w:val="single" w:color="BBBBBB" w:sz="4"/>
              <w:bottom w:val="single" w:color="BBBBBB" w:sz="4"/>
              <w:right w:val="single" w:color="BBBBBB" w:sz="4"/>
            </w:tcBorders>
            <w:shd w:fill="1F3A5F" w:color="auto" w:val="clear"/>
            <w:tcMar>
              <w:top w:type="dxa" w:w="70"/>
              <w:left w:type="dxa" w:w="100"/>
              <w:bottom w:type="dxa" w:w="70"/>
              <w:right w:type="dxa" w:w="100"/>
            </w:tcMar>
          </w:tcPr>
          <w:p>
            <w:r>
              <w:rPr>
                <w:b/>
                <w:bCs/>
                <w:color w:val="FFFFFF"/>
                <w:sz w:val="19"/>
                <w:szCs w:val="19"/>
              </w:rPr>
              <w:t xml:space="preserve">Durée estimée</w:t>
            </w:r>
          </w:p>
        </w:tc>
        <w:tc>
          <w:tcPr>
            <w:tcW w:type="dxa" w:w="2300"/>
            <w:tcBorders>
              <w:top w:val="single" w:color="BBBBBB" w:sz="4"/>
              <w:left w:val="single" w:color="BBBBBB" w:sz="4"/>
              <w:bottom w:val="single" w:color="BBBBBB" w:sz="4"/>
              <w:right w:val="single" w:color="BBBBBB" w:sz="4"/>
            </w:tcBorders>
            <w:shd w:fill="1F3A5F" w:color="auto" w:val="clear"/>
            <w:tcMar>
              <w:top w:type="dxa" w:w="70"/>
              <w:left w:type="dxa" w:w="100"/>
              <w:bottom w:type="dxa" w:w="70"/>
              <w:right w:type="dxa" w:w="100"/>
            </w:tcMar>
          </w:tcPr>
          <w:p>
            <w:r>
              <w:rPr>
                <w:b/>
                <w:bCs/>
                <w:color w:val="FFFFFF"/>
                <w:sz w:val="19"/>
                <w:szCs w:val="19"/>
              </w:rPr>
              <w:t xml:space="preserve">Responsable</w:t>
            </w:r>
          </w:p>
        </w:tc>
      </w:tr>
      <w:tr>
        <w:trPr>
          <w:cantSplit/>
        </w:trPr>
        <w:tc>
          <w:tcPr>
            <w:tcW w:type="dxa" w:w="8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1</w:t>
            </w:r>
          </w:p>
        </w:tc>
        <w:tc>
          <w:tcPr>
            <w:tcW w:type="dxa" w:w="44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Cadrage : atelier client, validation de l'arborescence et des fonctionnalités</w:t>
            </w:r>
          </w:p>
        </w:tc>
        <w:tc>
          <w:tcPr>
            <w:tcW w:type="dxa" w:w="18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1 semaine</w:t>
            </w:r>
          </w:p>
        </w:tc>
        <w:tc>
          <w:tcPr>
            <w:tcW w:type="dxa" w:w="23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PMO + Client</w:t>
            </w:r>
          </w:p>
        </w:tc>
      </w:tr>
      <w:tr>
        <w:trPr>
          <w:cantSplit/>
        </w:trPr>
        <w:tc>
          <w:tcPr>
            <w:tcW w:type="dxa" w:w="8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2</w:t>
            </w:r>
          </w:p>
        </w:tc>
        <w:tc>
          <w:tcPr>
            <w:tcW w:type="dxa" w:w="44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Maquette graphique (desktop et mobile) et validation</w:t>
            </w:r>
          </w:p>
        </w:tc>
        <w:tc>
          <w:tcPr>
            <w:tcW w:type="dxa" w:w="18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1 à 2 semaines</w:t>
            </w:r>
          </w:p>
        </w:tc>
        <w:tc>
          <w:tcPr>
            <w:tcW w:type="dxa" w:w="23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Designer</w:t>
            </w:r>
          </w:p>
        </w:tc>
      </w:tr>
      <w:tr>
        <w:trPr>
          <w:cantSplit/>
        </w:trPr>
        <w:tc>
          <w:tcPr>
            <w:tcW w:type="dxa" w:w="8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3</w:t>
            </w:r>
          </w:p>
        </w:tc>
        <w:tc>
          <w:tcPr>
            <w:tcW w:type="dxa" w:w="44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Architecture, modèle de données, réservation du domaine et mise en place du VPS</w:t>
            </w:r>
          </w:p>
        </w:tc>
        <w:tc>
          <w:tcPr>
            <w:tcW w:type="dxa" w:w="18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1 semaine</w:t>
            </w:r>
          </w:p>
        </w:tc>
        <w:tc>
          <w:tcPr>
            <w:tcW w:type="dxa" w:w="23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Développeur</w:t>
            </w:r>
          </w:p>
        </w:tc>
      </w:tr>
      <w:tr>
        <w:trPr>
          <w:cantSplit/>
        </w:trPr>
        <w:tc>
          <w:tcPr>
            <w:tcW w:type="dxa" w:w="8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4</w:t>
            </w:r>
          </w:p>
        </w:tc>
        <w:tc>
          <w:tcPr>
            <w:tcW w:type="dxa" w:w="44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Développement du back-end : API, authentification, base de données</w:t>
            </w:r>
          </w:p>
        </w:tc>
        <w:tc>
          <w:tcPr>
            <w:tcW w:type="dxa" w:w="18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3 semaines</w:t>
            </w:r>
          </w:p>
        </w:tc>
        <w:tc>
          <w:tcPr>
            <w:tcW w:type="dxa" w:w="23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Développeur</w:t>
            </w:r>
          </w:p>
        </w:tc>
      </w:tr>
      <w:tr>
        <w:trPr>
          <w:cantSplit/>
        </w:trPr>
        <w:tc>
          <w:tcPr>
            <w:tcW w:type="dxa" w:w="8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5</w:t>
            </w:r>
          </w:p>
        </w:tc>
        <w:tc>
          <w:tcPr>
            <w:tcW w:type="dxa" w:w="44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Développement du front-end Nuxt et du back-office</w:t>
            </w:r>
          </w:p>
        </w:tc>
        <w:tc>
          <w:tcPr>
            <w:tcW w:type="dxa" w:w="18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3 à 4 semaines</w:t>
            </w:r>
          </w:p>
        </w:tc>
        <w:tc>
          <w:tcPr>
            <w:tcW w:type="dxa" w:w="23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Développeur</w:t>
            </w:r>
          </w:p>
        </w:tc>
      </w:tr>
      <w:tr>
        <w:trPr>
          <w:cantSplit/>
        </w:trPr>
        <w:tc>
          <w:tcPr>
            <w:tcW w:type="dxa" w:w="8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6</w:t>
            </w:r>
          </w:p>
        </w:tc>
        <w:tc>
          <w:tcPr>
            <w:tcW w:type="dxa" w:w="44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Modules spécifiques : calendrier, formulaires, dons en ligne, multilingue</w:t>
            </w:r>
          </w:p>
        </w:tc>
        <w:tc>
          <w:tcPr>
            <w:tcW w:type="dxa" w:w="18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2 semaines</w:t>
            </w:r>
          </w:p>
        </w:tc>
        <w:tc>
          <w:tcPr>
            <w:tcW w:type="dxa" w:w="23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Développeur</w:t>
            </w:r>
          </w:p>
        </w:tc>
      </w:tr>
      <w:tr>
        <w:trPr>
          <w:cantSplit/>
        </w:trPr>
        <w:tc>
          <w:tcPr>
            <w:tcW w:type="dxa" w:w="8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7</w:t>
            </w:r>
          </w:p>
        </w:tc>
        <w:tc>
          <w:tcPr>
            <w:tcW w:type="dxa" w:w="44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Intégration des contenus fournis par la paroisse (textes, photos, PDF)</w:t>
            </w:r>
          </w:p>
        </w:tc>
        <w:tc>
          <w:tcPr>
            <w:tcW w:type="dxa" w:w="18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1 semaine</w:t>
            </w:r>
          </w:p>
        </w:tc>
        <w:tc>
          <w:tcPr>
            <w:tcW w:type="dxa" w:w="23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PMO + Client</w:t>
            </w:r>
          </w:p>
        </w:tc>
      </w:tr>
      <w:tr>
        <w:trPr>
          <w:cantSplit/>
        </w:trPr>
        <w:tc>
          <w:tcPr>
            <w:tcW w:type="dxa" w:w="8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8</w:t>
            </w:r>
          </w:p>
        </w:tc>
        <w:tc>
          <w:tcPr>
            <w:tcW w:type="dxa" w:w="44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Tests, corrections, sécurité, SEO et recette avec le client</w:t>
            </w:r>
          </w:p>
        </w:tc>
        <w:tc>
          <w:tcPr>
            <w:tcW w:type="dxa" w:w="18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1 à 2 semaines</w:t>
            </w:r>
          </w:p>
        </w:tc>
        <w:tc>
          <w:tcPr>
            <w:tcW w:type="dxa" w:w="23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PMO + Client</w:t>
            </w:r>
          </w:p>
        </w:tc>
      </w:tr>
      <w:tr>
        <w:trPr>
          <w:cantSplit/>
        </w:trPr>
        <w:tc>
          <w:tcPr>
            <w:tcW w:type="dxa" w:w="8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9</w:t>
            </w:r>
          </w:p>
        </w:tc>
        <w:tc>
          <w:tcPr>
            <w:tcW w:type="dxa" w:w="44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Mise en production et vérifications finales</w:t>
            </w:r>
          </w:p>
        </w:tc>
        <w:tc>
          <w:tcPr>
            <w:tcW w:type="dxa" w:w="18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2 à 3 jours</w:t>
            </w:r>
          </w:p>
        </w:tc>
        <w:tc>
          <w:tcPr>
            <w:tcW w:type="dxa" w:w="23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Développeur</w:t>
            </w:r>
          </w:p>
        </w:tc>
      </w:tr>
      <w:tr>
        <w:trPr>
          <w:cantSplit/>
        </w:trPr>
        <w:tc>
          <w:tcPr>
            <w:tcW w:type="dxa" w:w="8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10</w:t>
            </w:r>
          </w:p>
        </w:tc>
        <w:tc>
          <w:tcPr>
            <w:tcW w:type="dxa" w:w="44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Formation du personnel paroissial et remise de la documentation</w:t>
            </w:r>
          </w:p>
        </w:tc>
        <w:tc>
          <w:tcPr>
            <w:tcW w:type="dxa" w:w="18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1 journée</w:t>
            </w:r>
          </w:p>
        </w:tc>
        <w:tc>
          <w:tcPr>
            <w:tcW w:type="dxa" w:w="23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PMO</w:t>
            </w:r>
          </w:p>
        </w:tc>
      </w:tr>
    </w:tbl>
    <w:p>
      <w:pPr>
        <w:spacing w:after="100"/>
      </w:pPr>
      <w:r>
        <w:t xml:space="preserve"/>
      </w:r>
    </w:p>
    <w:p>
      <w:pPr>
        <w:spacing w:after="100"/>
      </w:pPr>
      <w:r>
        <w:t xml:space="preserve">Durée totale estimée : environ 12 à 14 semaines à compter de la validation du cahier des charges et du versement de l'acompte, sous réserve de la réactivité du client pour la fourniture des contenus et les validations. Certaines étapes peuvent se chevaucher.</w:t>
      </w:r>
    </w:p>
    <w:p>
      <w:pPr>
        <w:pStyle w:val="Heading1"/>
      </w:pPr>
      <w:r>
        <w:t xml:space="preserve">9. Devis et modalités de paiement</w:t>
      </w:r>
    </w:p>
    <w:p>
      <w:pPr>
        <w:spacing w:after="100"/>
        <w:rPr>
          <w:i/>
          <w:iCs/>
        </w:rPr>
      </w:pPr>
      <w:r>
        <w:rPr>
          <w:i/>
          <w:iCs/>
        </w:rPr>
        <w:t xml:space="preserve">Les montants ci-dessous sont une proposition révisée pour la nouvelle stack. Ils sont à valider par le client.</w:t>
      </w:r>
    </w:p>
    <w:p>
      <w:pPr>
        <w:pStyle w:val="Heading2"/>
      </w:pPr>
      <w:r>
        <w:t xml:space="preserve">9.1 Devis détaillé – Conception et développement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60"/>
        <w:gridCol w:w="2100"/>
        <w:gridCol w:w="2100"/>
      </w:tblGrid>
      <w:tr>
        <w:trPr>
          <w:tblHeader/>
        </w:trPr>
        <w:tc>
          <w:tcPr>
            <w:tcW w:type="dxa" w:w="5160"/>
            <w:tcBorders>
              <w:top w:val="single" w:color="BBBBBB" w:sz="4"/>
              <w:left w:val="single" w:color="BBBBBB" w:sz="4"/>
              <w:bottom w:val="single" w:color="BBBBBB" w:sz="4"/>
              <w:right w:val="single" w:color="BBBBBB" w:sz="4"/>
            </w:tcBorders>
            <w:shd w:fill="1F3A5F" w:color="auto" w:val="clear"/>
            <w:tcMar>
              <w:top w:type="dxa" w:w="70"/>
              <w:left w:type="dxa" w:w="100"/>
              <w:bottom w:type="dxa" w:w="70"/>
              <w:right w:type="dxa" w:w="100"/>
            </w:tcMar>
          </w:tcPr>
          <w:p>
            <w:r>
              <w:rPr>
                <w:b/>
                <w:bCs/>
                <w:color w:val="FFFFFF"/>
                <w:sz w:val="19"/>
                <w:szCs w:val="19"/>
              </w:rPr>
              <w:t xml:space="preserve">Poste</w:t>
            </w:r>
          </w:p>
        </w:tc>
        <w:tc>
          <w:tcPr>
            <w:tcW w:type="dxa" w:w="2100"/>
            <w:tcBorders>
              <w:top w:val="single" w:color="BBBBBB" w:sz="4"/>
              <w:left w:val="single" w:color="BBBBBB" w:sz="4"/>
              <w:bottom w:val="single" w:color="BBBBBB" w:sz="4"/>
              <w:right w:val="single" w:color="BBBBBB" w:sz="4"/>
            </w:tcBorders>
            <w:shd w:fill="1F3A5F" w:color="auto" w:val="clear"/>
            <w:tcMar>
              <w:top w:type="dxa" w:w="70"/>
              <w:left w:type="dxa" w:w="100"/>
              <w:bottom w:type="dxa" w:w="70"/>
              <w:right w:type="dxa" w:w="100"/>
            </w:tcMar>
          </w:tcPr>
          <w:p>
            <w:r>
              <w:rPr>
                <w:b/>
                <w:bCs/>
                <w:color w:val="FFFFFF"/>
                <w:sz w:val="19"/>
                <w:szCs w:val="19"/>
              </w:rPr>
              <w:t xml:space="preserve">Montant (FCFA)</w:t>
            </w:r>
          </w:p>
        </w:tc>
        <w:tc>
          <w:tcPr>
            <w:tcW w:type="dxa" w:w="2100"/>
            <w:tcBorders>
              <w:top w:val="single" w:color="BBBBBB" w:sz="4"/>
              <w:left w:val="single" w:color="BBBBBB" w:sz="4"/>
              <w:bottom w:val="single" w:color="BBBBBB" w:sz="4"/>
              <w:right w:val="single" w:color="BBBBBB" w:sz="4"/>
            </w:tcBorders>
            <w:shd w:fill="1F3A5F" w:color="auto" w:val="clear"/>
            <w:tcMar>
              <w:top w:type="dxa" w:w="70"/>
              <w:left w:type="dxa" w:w="100"/>
              <w:bottom w:type="dxa" w:w="70"/>
              <w:right w:type="dxa" w:w="100"/>
            </w:tcMar>
          </w:tcPr>
          <w:p>
            <w:r>
              <w:rPr>
                <w:b/>
                <w:bCs/>
                <w:color w:val="FFFFFF"/>
                <w:sz w:val="19"/>
                <w:szCs w:val="19"/>
              </w:rPr>
              <w:t xml:space="preserve">Montant (EUR)*</w:t>
            </w:r>
          </w:p>
        </w:tc>
      </w:tr>
      <w:tr>
        <w:trPr>
          <w:cantSplit/>
        </w:trPr>
        <w:tc>
          <w:tcPr>
            <w:tcW w:type="dxa" w:w="51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Cadrage, atelier de conception et arborescence</w:t>
            </w:r>
          </w:p>
        </w:tc>
        <w:tc>
          <w:tcPr>
            <w:tcW w:type="dxa" w:w="21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100 000</w:t>
            </w:r>
          </w:p>
        </w:tc>
        <w:tc>
          <w:tcPr>
            <w:tcW w:type="dxa" w:w="21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 152 €</w:t>
            </w:r>
          </w:p>
        </w:tc>
      </w:tr>
      <w:tr>
        <w:trPr>
          <w:cantSplit/>
        </w:trPr>
        <w:tc>
          <w:tcPr>
            <w:tcW w:type="dxa" w:w="51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Design graphique / maquette (desktop + mobile)</w:t>
            </w:r>
          </w:p>
        </w:tc>
        <w:tc>
          <w:tcPr>
            <w:tcW w:type="dxa" w:w="21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200 000</w:t>
            </w:r>
          </w:p>
        </w:tc>
        <w:tc>
          <w:tcPr>
            <w:tcW w:type="dxa" w:w="21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 305 €</w:t>
            </w:r>
          </w:p>
        </w:tc>
      </w:tr>
      <w:tr>
        <w:trPr>
          <w:cantSplit/>
        </w:trPr>
        <w:tc>
          <w:tcPr>
            <w:tcW w:type="dxa" w:w="51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Architecture technique et modèle de données</w:t>
            </w:r>
          </w:p>
        </w:tc>
        <w:tc>
          <w:tcPr>
            <w:tcW w:type="dxa" w:w="21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150 000</w:t>
            </w:r>
          </w:p>
        </w:tc>
        <w:tc>
          <w:tcPr>
            <w:tcW w:type="dxa" w:w="21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 229 €</w:t>
            </w:r>
          </w:p>
        </w:tc>
      </w:tr>
      <w:tr>
        <w:trPr>
          <w:cantSplit/>
        </w:trPr>
        <w:tc>
          <w:tcPr>
            <w:tcW w:type="dxa" w:w="51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Développement front-end Nuxt (pages, composants, SEO)</w:t>
            </w:r>
          </w:p>
        </w:tc>
        <w:tc>
          <w:tcPr>
            <w:tcW w:type="dxa" w:w="21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400 000</w:t>
            </w:r>
          </w:p>
        </w:tc>
        <w:tc>
          <w:tcPr>
            <w:tcW w:type="dxa" w:w="21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 610 €</w:t>
            </w:r>
          </w:p>
        </w:tc>
      </w:tr>
      <w:tr>
        <w:trPr>
          <w:cantSplit/>
        </w:trPr>
        <w:tc>
          <w:tcPr>
            <w:tcW w:type="dxa" w:w="51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Développement back-end : API, authentification, back-office</w:t>
            </w:r>
          </w:p>
        </w:tc>
        <w:tc>
          <w:tcPr>
            <w:tcW w:type="dxa" w:w="21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600 000</w:t>
            </w:r>
          </w:p>
        </w:tc>
        <w:tc>
          <w:tcPr>
            <w:tcW w:type="dxa" w:w="21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 915 €</w:t>
            </w:r>
          </w:p>
        </w:tc>
      </w:tr>
      <w:tr>
        <w:trPr>
          <w:cantSplit/>
        </w:trPr>
        <w:tc>
          <w:tcPr>
            <w:tcW w:type="dxa" w:w="51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Modules spécifiques (calendrier, formulaires, dons en ligne, multilingue)</w:t>
            </w:r>
          </w:p>
        </w:tc>
        <w:tc>
          <w:tcPr>
            <w:tcW w:type="dxa" w:w="21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350 000</w:t>
            </w:r>
          </w:p>
        </w:tc>
        <w:tc>
          <w:tcPr>
            <w:tcW w:type="dxa" w:w="21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 534 €</w:t>
            </w:r>
          </w:p>
        </w:tc>
      </w:tr>
      <w:tr>
        <w:trPr>
          <w:cantSplit/>
        </w:trPr>
        <w:tc>
          <w:tcPr>
            <w:tcW w:type="dxa" w:w="51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Intégration des contenus initiaux</w:t>
            </w:r>
          </w:p>
        </w:tc>
        <w:tc>
          <w:tcPr>
            <w:tcW w:type="dxa" w:w="21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80 000</w:t>
            </w:r>
          </w:p>
        </w:tc>
        <w:tc>
          <w:tcPr>
            <w:tcW w:type="dxa" w:w="21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 122 €</w:t>
            </w:r>
          </w:p>
        </w:tc>
      </w:tr>
      <w:tr>
        <w:trPr>
          <w:cantSplit/>
        </w:trPr>
        <w:tc>
          <w:tcPr>
            <w:tcW w:type="dxa" w:w="51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Tests, recette, optimisation SEO et sécurité</w:t>
            </w:r>
          </w:p>
        </w:tc>
        <w:tc>
          <w:tcPr>
            <w:tcW w:type="dxa" w:w="21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100 000</w:t>
            </w:r>
          </w:p>
        </w:tc>
        <w:tc>
          <w:tcPr>
            <w:tcW w:type="dxa" w:w="21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 152 €</w:t>
            </w:r>
          </w:p>
        </w:tc>
      </w:tr>
      <w:tr>
        <w:trPr>
          <w:cantSplit/>
        </w:trPr>
        <w:tc>
          <w:tcPr>
            <w:tcW w:type="dxa" w:w="51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Mise en production, documentation et formation</w:t>
            </w:r>
          </w:p>
        </w:tc>
        <w:tc>
          <w:tcPr>
            <w:tcW w:type="dxa" w:w="21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70 000</w:t>
            </w:r>
          </w:p>
        </w:tc>
        <w:tc>
          <w:tcPr>
            <w:tcW w:type="dxa" w:w="21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 107 €</w:t>
            </w:r>
          </w:p>
        </w:tc>
      </w:tr>
      <w:tr>
        <w:trPr>
          <w:cantSplit/>
        </w:trPr>
        <w:tc>
          <w:tcPr>
            <w:tcW w:type="dxa" w:w="5160"/>
            <w:tcBorders>
              <w:top w:val="single" w:color="BBBBBB" w:sz="4"/>
              <w:left w:val="single" w:color="BBBBBB" w:sz="4"/>
              <w:bottom w:val="single" w:color="BBBBBB" w:sz="4"/>
              <w:right w:val="single" w:color="BBBBBB" w:sz="4"/>
            </w:tcBorders>
            <w:shd w:fill="F3E9CF" w:color="auto" w:val="clear"/>
            <w:tcMar>
              <w:top w:type="dxa" w:w="70"/>
              <w:left w:type="dxa" w:w="100"/>
              <w:bottom w:type="dxa" w:w="70"/>
              <w:right w:type="dxa" w:w="100"/>
            </w:tcMar>
          </w:tcPr>
          <w:p>
            <w:r>
              <w:rPr>
                <w:b/>
                <w:bCs/>
                <w:sz w:val="19"/>
                <w:szCs w:val="19"/>
              </w:rPr>
              <w:t xml:space="preserve">SOUS-TOTAL Conception &amp; développement</w:t>
            </w:r>
          </w:p>
        </w:tc>
        <w:tc>
          <w:tcPr>
            <w:tcW w:type="dxa" w:w="2100"/>
            <w:tcBorders>
              <w:top w:val="single" w:color="BBBBBB" w:sz="4"/>
              <w:left w:val="single" w:color="BBBBBB" w:sz="4"/>
              <w:bottom w:val="single" w:color="BBBBBB" w:sz="4"/>
              <w:right w:val="single" w:color="BBBBBB" w:sz="4"/>
            </w:tcBorders>
            <w:shd w:fill="F3E9CF" w:color="auto" w:val="clear"/>
            <w:tcMar>
              <w:top w:type="dxa" w:w="70"/>
              <w:left w:type="dxa" w:w="100"/>
              <w:bottom w:type="dxa" w:w="70"/>
              <w:right w:type="dxa" w:w="100"/>
            </w:tcMar>
          </w:tcPr>
          <w:p>
            <w:r>
              <w:rPr>
                <w:b/>
                <w:bCs/>
                <w:sz w:val="19"/>
                <w:szCs w:val="19"/>
              </w:rPr>
              <w:t xml:space="preserve">2 050 000</w:t>
            </w:r>
          </w:p>
        </w:tc>
        <w:tc>
          <w:tcPr>
            <w:tcW w:type="dxa" w:w="2100"/>
            <w:tcBorders>
              <w:top w:val="single" w:color="BBBBBB" w:sz="4"/>
              <w:left w:val="single" w:color="BBBBBB" w:sz="4"/>
              <w:bottom w:val="single" w:color="BBBBBB" w:sz="4"/>
              <w:right w:val="single" w:color="BBBBBB" w:sz="4"/>
            </w:tcBorders>
            <w:shd w:fill="F3E9CF" w:color="auto" w:val="clear"/>
            <w:tcMar>
              <w:top w:type="dxa" w:w="70"/>
              <w:left w:type="dxa" w:w="100"/>
              <w:bottom w:type="dxa" w:w="70"/>
              <w:right w:type="dxa" w:w="100"/>
            </w:tcMar>
          </w:tcPr>
          <w:p>
            <w:r>
              <w:rPr>
                <w:b/>
                <w:bCs/>
                <w:sz w:val="19"/>
                <w:szCs w:val="19"/>
              </w:rPr>
              <w:t xml:space="preserve">≈ 3 125 €</w:t>
            </w:r>
          </w:p>
        </w:tc>
      </w:tr>
    </w:tbl>
    <w:p>
      <w:pPr>
        <w:pStyle w:val="Heading2"/>
      </w:pPr>
      <w:r>
        <w:t xml:space="preserve">9.2 Frais annuels récurrents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60"/>
        <w:gridCol w:w="2100"/>
        <w:gridCol w:w="2100"/>
      </w:tblGrid>
      <w:tr>
        <w:trPr>
          <w:tblHeader/>
        </w:trPr>
        <w:tc>
          <w:tcPr>
            <w:tcW w:type="dxa" w:w="5160"/>
            <w:tcBorders>
              <w:top w:val="single" w:color="BBBBBB" w:sz="4"/>
              <w:left w:val="single" w:color="BBBBBB" w:sz="4"/>
              <w:bottom w:val="single" w:color="BBBBBB" w:sz="4"/>
              <w:right w:val="single" w:color="BBBBBB" w:sz="4"/>
            </w:tcBorders>
            <w:shd w:fill="1F3A5F" w:color="auto" w:val="clear"/>
            <w:tcMar>
              <w:top w:type="dxa" w:w="70"/>
              <w:left w:type="dxa" w:w="100"/>
              <w:bottom w:type="dxa" w:w="70"/>
              <w:right w:type="dxa" w:w="100"/>
            </w:tcMar>
          </w:tcPr>
          <w:p>
            <w:r>
              <w:rPr>
                <w:b/>
                <w:bCs/>
                <w:color w:val="FFFFFF"/>
                <w:sz w:val="19"/>
                <w:szCs w:val="19"/>
              </w:rPr>
              <w:t xml:space="preserve">Poste</w:t>
            </w:r>
          </w:p>
        </w:tc>
        <w:tc>
          <w:tcPr>
            <w:tcW w:type="dxa" w:w="2100"/>
            <w:tcBorders>
              <w:top w:val="single" w:color="BBBBBB" w:sz="4"/>
              <w:left w:val="single" w:color="BBBBBB" w:sz="4"/>
              <w:bottom w:val="single" w:color="BBBBBB" w:sz="4"/>
              <w:right w:val="single" w:color="BBBBBB" w:sz="4"/>
            </w:tcBorders>
            <w:shd w:fill="1F3A5F" w:color="auto" w:val="clear"/>
            <w:tcMar>
              <w:top w:type="dxa" w:w="70"/>
              <w:left w:type="dxa" w:w="100"/>
              <w:bottom w:type="dxa" w:w="70"/>
              <w:right w:type="dxa" w:w="100"/>
            </w:tcMar>
          </w:tcPr>
          <w:p>
            <w:r>
              <w:rPr>
                <w:b/>
                <w:bCs/>
                <w:color w:val="FFFFFF"/>
                <w:sz w:val="19"/>
                <w:szCs w:val="19"/>
              </w:rPr>
              <w:t xml:space="preserve">Montant / an (FCFA)</w:t>
            </w:r>
          </w:p>
        </w:tc>
        <w:tc>
          <w:tcPr>
            <w:tcW w:type="dxa" w:w="2100"/>
            <w:tcBorders>
              <w:top w:val="single" w:color="BBBBBB" w:sz="4"/>
              <w:left w:val="single" w:color="BBBBBB" w:sz="4"/>
              <w:bottom w:val="single" w:color="BBBBBB" w:sz="4"/>
              <w:right w:val="single" w:color="BBBBBB" w:sz="4"/>
            </w:tcBorders>
            <w:shd w:fill="1F3A5F" w:color="auto" w:val="clear"/>
            <w:tcMar>
              <w:top w:type="dxa" w:w="70"/>
              <w:left w:type="dxa" w:w="100"/>
              <w:bottom w:type="dxa" w:w="70"/>
              <w:right w:type="dxa" w:w="100"/>
            </w:tcMar>
          </w:tcPr>
          <w:p>
            <w:r>
              <w:rPr>
                <w:b/>
                <w:bCs/>
                <w:color w:val="FFFFFF"/>
                <w:sz w:val="19"/>
                <w:szCs w:val="19"/>
              </w:rPr>
              <w:t xml:space="preserve">Montant / an (EUR)*</w:t>
            </w:r>
          </w:p>
        </w:tc>
      </w:tr>
      <w:tr>
        <w:trPr>
          <w:cantSplit/>
        </w:trPr>
        <w:tc>
          <w:tcPr>
            <w:tcW w:type="dxa" w:w="51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Nom de domaine (.org)</w:t>
            </w:r>
          </w:p>
        </w:tc>
        <w:tc>
          <w:tcPr>
            <w:tcW w:type="dxa" w:w="21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10 000 – 15 000</w:t>
            </w:r>
          </w:p>
        </w:tc>
        <w:tc>
          <w:tcPr>
            <w:tcW w:type="dxa" w:w="21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 15 – 23 €</w:t>
            </w:r>
          </w:p>
        </w:tc>
      </w:tr>
      <w:tr>
        <w:trPr>
          <w:cantSplit/>
        </w:trPr>
        <w:tc>
          <w:tcPr>
            <w:tcW w:type="dxa" w:w="51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Hébergement VPS Contabo (Cloud VPS 10)</w:t>
            </w:r>
          </w:p>
        </w:tc>
        <w:tc>
          <w:tcPr>
            <w:tcW w:type="dxa" w:w="21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35 000 – 63 000</w:t>
            </w:r>
          </w:p>
        </w:tc>
        <w:tc>
          <w:tcPr>
            <w:tcW w:type="dxa" w:w="21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 54 – 96 €</w:t>
            </w:r>
          </w:p>
        </w:tc>
      </w:tr>
      <w:tr>
        <w:trPr>
          <w:cantSplit/>
        </w:trPr>
        <w:tc>
          <w:tcPr>
            <w:tcW w:type="dxa" w:w="51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Maintenance annuelle (mises à jour, sauvegardes, support) – optionnelle</w:t>
            </w:r>
          </w:p>
        </w:tc>
        <w:tc>
          <w:tcPr>
            <w:tcW w:type="dxa" w:w="21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180 000</w:t>
            </w:r>
          </w:p>
        </w:tc>
        <w:tc>
          <w:tcPr>
            <w:tcW w:type="dxa" w:w="21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 274 €</w:t>
            </w:r>
          </w:p>
        </w:tc>
      </w:tr>
    </w:tbl>
    <w:p>
      <w:pPr>
        <w:spacing w:after="100"/>
        <w:rPr>
          <w:i/>
          <w:iCs/>
          <w:sz w:val="18"/>
          <w:szCs w:val="18"/>
        </w:rPr>
      </w:pPr>
      <w:r>
        <w:rPr>
          <w:i/>
          <w:iCs/>
          <w:sz w:val="18"/>
          <w:szCs w:val="18"/>
        </w:rPr>
        <w:t xml:space="preserve">*Montants en euros indicatifs. Le devis contractuel reste celui exprimé en FCFA.</w:t>
      </w:r>
    </w:p>
    <w:p>
      <w:pPr>
        <w:pStyle w:val="Heading2"/>
      </w:pPr>
      <w:r>
        <w:t xml:space="preserve">9.3 Échéancier de paiement proposé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260"/>
        <w:gridCol w:w="1400"/>
        <w:gridCol w:w="2000"/>
      </w:tblGrid>
      <w:tr>
        <w:trPr>
          <w:tblHeader/>
        </w:trPr>
        <w:tc>
          <w:tcPr>
            <w:tcW w:type="dxa" w:w="1700"/>
            <w:tcBorders>
              <w:top w:val="single" w:color="BBBBBB" w:sz="4"/>
              <w:left w:val="single" w:color="BBBBBB" w:sz="4"/>
              <w:bottom w:val="single" w:color="BBBBBB" w:sz="4"/>
              <w:right w:val="single" w:color="BBBBBB" w:sz="4"/>
            </w:tcBorders>
            <w:shd w:fill="1F3A5F" w:color="auto" w:val="clear"/>
            <w:tcMar>
              <w:top w:type="dxa" w:w="70"/>
              <w:left w:type="dxa" w:w="100"/>
              <w:bottom w:type="dxa" w:w="70"/>
              <w:right w:type="dxa" w:w="100"/>
            </w:tcMar>
          </w:tcPr>
          <w:p>
            <w:r>
              <w:rPr>
                <w:b/>
                <w:bCs/>
                <w:color w:val="FFFFFF"/>
                <w:sz w:val="19"/>
                <w:szCs w:val="19"/>
              </w:rPr>
              <w:t xml:space="preserve">Tranche</w:t>
            </w:r>
          </w:p>
        </w:tc>
        <w:tc>
          <w:tcPr>
            <w:tcW w:type="dxa" w:w="4260"/>
            <w:tcBorders>
              <w:top w:val="single" w:color="BBBBBB" w:sz="4"/>
              <w:left w:val="single" w:color="BBBBBB" w:sz="4"/>
              <w:bottom w:val="single" w:color="BBBBBB" w:sz="4"/>
              <w:right w:val="single" w:color="BBBBBB" w:sz="4"/>
            </w:tcBorders>
            <w:shd w:fill="1F3A5F" w:color="auto" w:val="clear"/>
            <w:tcMar>
              <w:top w:type="dxa" w:w="70"/>
              <w:left w:type="dxa" w:w="100"/>
              <w:bottom w:type="dxa" w:w="70"/>
              <w:right w:type="dxa" w:w="100"/>
            </w:tcMar>
          </w:tcPr>
          <w:p>
            <w:r>
              <w:rPr>
                <w:b/>
                <w:bCs/>
                <w:color w:val="FFFFFF"/>
                <w:sz w:val="19"/>
                <w:szCs w:val="19"/>
              </w:rPr>
              <w:t xml:space="preserve">Échéance</w:t>
            </w:r>
          </w:p>
        </w:tc>
        <w:tc>
          <w:tcPr>
            <w:tcW w:type="dxa" w:w="1400"/>
            <w:tcBorders>
              <w:top w:val="single" w:color="BBBBBB" w:sz="4"/>
              <w:left w:val="single" w:color="BBBBBB" w:sz="4"/>
              <w:bottom w:val="single" w:color="BBBBBB" w:sz="4"/>
              <w:right w:val="single" w:color="BBBBBB" w:sz="4"/>
            </w:tcBorders>
            <w:shd w:fill="1F3A5F" w:color="auto" w:val="clear"/>
            <w:tcMar>
              <w:top w:type="dxa" w:w="70"/>
              <w:left w:type="dxa" w:w="100"/>
              <w:bottom w:type="dxa" w:w="70"/>
              <w:right w:type="dxa" w:w="100"/>
            </w:tcMar>
          </w:tcPr>
          <w:p>
            <w:r>
              <w:rPr>
                <w:b/>
                <w:bCs/>
                <w:color w:val="FFFFFF"/>
                <w:sz w:val="19"/>
                <w:szCs w:val="19"/>
              </w:rPr>
              <w:t xml:space="preserve">%</w:t>
            </w:r>
          </w:p>
        </w:tc>
        <w:tc>
          <w:tcPr>
            <w:tcW w:type="dxa" w:w="2000"/>
            <w:tcBorders>
              <w:top w:val="single" w:color="BBBBBB" w:sz="4"/>
              <w:left w:val="single" w:color="BBBBBB" w:sz="4"/>
              <w:bottom w:val="single" w:color="BBBBBB" w:sz="4"/>
              <w:right w:val="single" w:color="BBBBBB" w:sz="4"/>
            </w:tcBorders>
            <w:shd w:fill="1F3A5F" w:color="auto" w:val="clear"/>
            <w:tcMar>
              <w:top w:type="dxa" w:w="70"/>
              <w:left w:type="dxa" w:w="100"/>
              <w:bottom w:type="dxa" w:w="70"/>
              <w:right w:type="dxa" w:w="100"/>
            </w:tcMar>
          </w:tcPr>
          <w:p>
            <w:r>
              <w:rPr>
                <w:b/>
                <w:bCs/>
                <w:color w:val="FFFFFF"/>
                <w:sz w:val="19"/>
                <w:szCs w:val="19"/>
              </w:rPr>
              <w:t xml:space="preserve">Montant (FCFA)</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1ère tranche</w:t>
            </w:r>
          </w:p>
        </w:tc>
        <w:tc>
          <w:tcPr>
            <w:tcW w:type="dxa" w:w="42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À la signature du cahier des charges / bon de commande (acompte de démarrage)</w:t>
            </w:r>
          </w:p>
        </w:tc>
        <w:tc>
          <w:tcPr>
            <w:tcW w:type="dxa" w:w="14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40 %</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820 000</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2ème tranche</w:t>
            </w:r>
          </w:p>
        </w:tc>
        <w:tc>
          <w:tcPr>
            <w:tcW w:type="dxa" w:w="42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À la validation de la maquette graphique, avant le développement</w:t>
            </w:r>
          </w:p>
        </w:tc>
        <w:tc>
          <w:tcPr>
            <w:tcW w:type="dxa" w:w="14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30 %</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615 000</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3ème tranche</w:t>
            </w:r>
          </w:p>
        </w:tc>
        <w:tc>
          <w:tcPr>
            <w:tcW w:type="dxa" w:w="42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À la recette finale, avant la mise en ligne définitive et la remise des accès</w:t>
            </w:r>
          </w:p>
        </w:tc>
        <w:tc>
          <w:tcPr>
            <w:tcW w:type="dxa" w:w="14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30 %</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615 000</w:t>
            </w:r>
          </w:p>
        </w:tc>
      </w:tr>
    </w:tbl>
    <w:p>
      <w:pPr>
        <w:spacing w:after="100"/>
      </w:pPr>
      <w:r>
        <w:t xml:space="preserve">Les frais annuels récurrents sont facturés séparément, à l'activation du service puis chaque année à la date anniversaire.</w:t>
      </w:r>
    </w:p>
    <w:p>
      <w:pPr>
        <w:pStyle w:val="Heading2"/>
      </w:pPr>
      <w:r>
        <w:t xml:space="preserve">9.4 Moyens de paiement acceptés</w:t>
      </w:r>
    </w:p>
    <w:p>
      <w:pPr>
        <w:pStyle w:val="ListParagraph"/>
        <w:numPr>
          <w:ilvl w:val="0"/>
          <w:numId w:val="2"/>
        </w:numPr>
        <w:spacing w:after="60"/>
      </w:pPr>
      <w:r>
        <w:t xml:space="preserve">Virement bancaire</w:t>
      </w:r>
    </w:p>
    <w:p>
      <w:pPr>
        <w:pStyle w:val="ListParagraph"/>
        <w:numPr>
          <w:ilvl w:val="0"/>
          <w:numId w:val="2"/>
        </w:numPr>
        <w:spacing w:after="60"/>
      </w:pPr>
      <w:r>
        <w:t xml:space="preserve">Mobile Money (opérateur à préciser)</w:t>
      </w:r>
    </w:p>
    <w:p>
      <w:pPr>
        <w:pStyle w:val="ListParagraph"/>
        <w:numPr>
          <w:ilvl w:val="0"/>
          <w:numId w:val="2"/>
        </w:numPr>
        <w:spacing w:after="60"/>
      </w:pPr>
      <w:r>
        <w:t xml:space="preserve">Chèque (sur accord préalable)</w:t>
      </w:r>
    </w:p>
    <w:p>
      <w:pPr>
        <w:pStyle w:val="Heading2"/>
      </w:pPr>
      <w:r>
        <w:t xml:space="preserve">9.5 Modalités complémentaires</w:t>
      </w:r>
    </w:p>
    <w:p>
      <w:pPr>
        <w:pStyle w:val="ListParagraph"/>
        <w:numPr>
          <w:ilvl w:val="0"/>
          <w:numId w:val="2"/>
        </w:numPr>
        <w:spacing w:after="60"/>
      </w:pPr>
      <w:r>
        <w:t xml:space="preserve">Toute fonctionnalité non prévue dans ce cahier des charges fait l'objet d'un avenant chiffré séparément.</w:t>
      </w:r>
    </w:p>
    <w:p>
      <w:pPr>
        <w:pStyle w:val="ListParagraph"/>
        <w:numPr>
          <w:ilvl w:val="0"/>
          <w:numId w:val="2"/>
        </w:numPr>
        <w:spacing w:after="60"/>
      </w:pPr>
      <w:r>
        <w:t xml:space="preserve">Les révisions mineures de contenu (texte, images) sont incluses jusqu'à la recette finale ; au-delà, elles relèvent du contrat de maintenance.</w:t>
      </w:r>
    </w:p>
    <w:p>
      <w:pPr>
        <w:pStyle w:val="ListParagraph"/>
        <w:numPr>
          <w:ilvl w:val="0"/>
          <w:numId w:val="2"/>
        </w:numPr>
        <w:spacing w:after="60"/>
      </w:pPr>
      <w:r>
        <w:t xml:space="preserve">Une garantie de correction des anomalies de 30 jours est offerte après la mise en ligne, hors nouvelles fonctionnalités.</w:t>
      </w:r>
    </w:p>
    <w:p>
      <w:pPr>
        <w:pStyle w:val="ListParagraph"/>
        <w:numPr>
          <w:ilvl w:val="0"/>
          <w:numId w:val="2"/>
        </w:numPr>
        <w:spacing w:after="60"/>
      </w:pPr>
      <w:r>
        <w:t xml:space="preserve">Les frais de services tiers (passerelle de paiement, envoi d'e-mails en masse) sont à la charge de la paroisse.</w:t>
      </w:r>
    </w:p>
    <w:p>
      <w:pPr>
        <w:pStyle w:val="Heading1"/>
      </w:pPr>
      <w:r>
        <w:t xml:space="preserve">10. Maintenance et évolutions</w:t>
      </w:r>
    </w:p>
    <w:p>
      <w:pPr>
        <w:spacing w:after="100"/>
      </w:pPr>
      <w:r>
        <w:t xml:space="preserve">Le site étant une application sur mesure, un contrat de maintenance annuel est fortement recommandé. Il comprend :</w:t>
      </w:r>
    </w:p>
    <w:p>
      <w:pPr>
        <w:pStyle w:val="ListParagraph"/>
        <w:numPr>
          <w:ilvl w:val="0"/>
          <w:numId w:val="2"/>
        </w:numPr>
        <w:spacing w:after="60"/>
      </w:pPr>
      <w:r>
        <w:t xml:space="preserve">Mises à jour de sécurité de Node.js, des dépendances, de Nuxt et du serveur</w:t>
      </w:r>
    </w:p>
    <w:p>
      <w:pPr>
        <w:pStyle w:val="ListParagraph"/>
        <w:numPr>
          <w:ilvl w:val="0"/>
          <w:numId w:val="2"/>
        </w:numPr>
        <w:spacing w:after="60"/>
      </w:pPr>
      <w:r>
        <w:t xml:space="preserve">Sauvegardes automatiques et vérification de leur intégrité</w:t>
      </w:r>
    </w:p>
    <w:p>
      <w:pPr>
        <w:pStyle w:val="ListParagraph"/>
        <w:numPr>
          <w:ilvl w:val="0"/>
          <w:numId w:val="2"/>
        </w:numPr>
        <w:spacing w:after="60"/>
      </w:pPr>
      <w:r>
        <w:t xml:space="preserve">Surveillance de la sécurité et de la disponibilité du site</w:t>
      </w:r>
    </w:p>
    <w:p>
      <w:pPr>
        <w:pStyle w:val="ListParagraph"/>
        <w:numPr>
          <w:ilvl w:val="0"/>
          <w:numId w:val="2"/>
        </w:numPr>
        <w:spacing w:after="60"/>
      </w:pPr>
      <w:r>
        <w:t xml:space="preserve">Support technique par e-mail / téléphone (nombre d'heures à définir)</w:t>
      </w:r>
    </w:p>
    <w:p>
      <w:pPr>
        <w:pStyle w:val="ListParagraph"/>
        <w:numPr>
          <w:ilvl w:val="0"/>
          <w:numId w:val="2"/>
        </w:numPr>
        <w:spacing w:after="60"/>
      </w:pPr>
      <w:r>
        <w:t xml:space="preserve">Assistance ponctuelle pour la publication de contenu</w:t>
      </w:r>
    </w:p>
    <w:p>
      <w:pPr>
        <w:pStyle w:val="ListParagraph"/>
        <w:numPr>
          <w:ilvl w:val="0"/>
          <w:numId w:val="2"/>
        </w:numPr>
        <w:spacing w:after="60"/>
      </w:pPr>
      <w:r>
        <w:t xml:space="preserve">Correctifs et petites évolutions (hors nouvelles fonctionnalités, chiffrées à part)</w:t>
      </w:r>
    </w:p>
    <w:p>
      <w:pPr>
        <w:pStyle w:val="Heading1"/>
      </w:pPr>
      <w:r>
        <w:t xml:space="preserve">11. Propriété intellectuelle, mentions légales et protection des données</w:t>
      </w:r>
    </w:p>
    <w:p>
      <w:pPr>
        <w:pStyle w:val="ListParagraph"/>
        <w:numPr>
          <w:ilvl w:val="0"/>
          <w:numId w:val="2"/>
        </w:numPr>
        <w:spacing w:after="60"/>
      </w:pPr>
      <w:r>
        <w:t xml:space="preserve">Le site, une fois livré et soldé, ainsi que ses contenus (textes, photos fournies, base de données) et son code source, deviennent la pleine propriété de la Paroisse Sainte Lucie de Baguida.</w:t>
      </w:r>
    </w:p>
    <w:p>
      <w:pPr>
        <w:pStyle w:val="ListParagraph"/>
        <w:numPr>
          <w:ilvl w:val="0"/>
          <w:numId w:val="2"/>
        </w:numPr>
        <w:spacing w:after="60"/>
      </w:pPr>
      <w:r>
        <w:t xml:space="preserve">Le nom de domaine et le compte d'hébergement seront enregistrés directement au nom de la Paroisse.</w:t>
      </w:r>
    </w:p>
    <w:p>
      <w:pPr>
        <w:pStyle w:val="ListParagraph"/>
        <w:numPr>
          <w:ilvl w:val="0"/>
          <w:numId w:val="2"/>
        </w:numPr>
        <w:spacing w:after="60"/>
      </w:pPr>
      <w:r>
        <w:t xml:space="preserve">Les bibliothèques open source utilisées restent soumises à leurs licences respectives (MIT, Apache, etc.).</w:t>
      </w:r>
    </w:p>
    <w:p>
      <w:pPr>
        <w:pStyle w:val="ListParagraph"/>
        <w:numPr>
          <w:ilvl w:val="0"/>
          <w:numId w:val="2"/>
        </w:numPr>
        <w:spacing w:after="60"/>
      </w:pPr>
      <w:r>
        <w:t xml:space="preserve">Un bandeau de consentement aux cookies et une politique de confidentialité seront mis en place. Les données personnelles collectées (formulaires, dons) seront limitées au nécessaire, stockées de manière sécurisée et jamais revendues.</w:t>
      </w:r>
    </w:p>
    <w:p>
      <w:pPr>
        <w:pStyle w:val="ListParagraph"/>
        <w:numPr>
          <w:ilvl w:val="0"/>
          <w:numId w:val="2"/>
        </w:numPr>
        <w:spacing w:after="60"/>
      </w:pPr>
      <w:r>
        <w:t xml:space="preserve">Le prestataire s'engage à la confidentialité des informations transmises par le client.</w:t>
      </w:r>
    </w:p>
    <w:p>
      <w:pPr>
        <w:pStyle w:val="Heading1"/>
      </w:pPr>
      <w:r>
        <w:t xml:space="preserve">12. Validation du cahier des charges</w:t>
      </w:r>
    </w:p>
    <w:p>
      <w:pPr>
        <w:spacing w:after="100"/>
      </w:pPr>
      <w:r>
        <w:t xml:space="preserve">Le présent cahier des charges constitue la base contractuelle du projet. Il devra être relu, complété si nécessaire (contenus exacts, identité visuelle, choix définitifs de fonctionnalités et de moyens de paiement), puis validé par les deux parties avant le démarrage des travaux.</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4"/>
              <w:left w:val="single" w:color="BBBBBB" w:sz="4"/>
              <w:bottom w:val="single" w:color="BBBBBB" w:sz="4"/>
              <w:right w:val="single" w:color="BBBBBB" w:sz="4"/>
            </w:tcBorders>
            <w:shd w:fill="1F3A5F" w:color="auto" w:val="clear"/>
            <w:tcMar>
              <w:top w:type="dxa" w:w="70"/>
              <w:left w:type="dxa" w:w="100"/>
              <w:bottom w:type="dxa" w:w="70"/>
              <w:right w:type="dxa" w:w="100"/>
            </w:tcMar>
          </w:tcPr>
          <w:p>
            <w:r>
              <w:rPr>
                <w:b/>
                <w:bCs/>
                <w:color w:val="FFFFFF"/>
                <w:sz w:val="19"/>
                <w:szCs w:val="19"/>
              </w:rPr>
              <w:t xml:space="preserve">Pour la Paroisse Sainte Lucie de Baguida</w:t>
            </w:r>
          </w:p>
        </w:tc>
        <w:tc>
          <w:tcPr>
            <w:tcW w:type="dxa" w:w="4680"/>
            <w:tcBorders>
              <w:top w:val="single" w:color="BBBBBB" w:sz="4"/>
              <w:left w:val="single" w:color="BBBBBB" w:sz="4"/>
              <w:bottom w:val="single" w:color="BBBBBB" w:sz="4"/>
              <w:right w:val="single" w:color="BBBBBB" w:sz="4"/>
            </w:tcBorders>
            <w:shd w:fill="1F3A5F" w:color="auto" w:val="clear"/>
            <w:tcMar>
              <w:top w:type="dxa" w:w="70"/>
              <w:left w:type="dxa" w:w="100"/>
              <w:bottom w:type="dxa" w:w="70"/>
              <w:right w:type="dxa" w:w="100"/>
            </w:tcMar>
          </w:tcPr>
          <w:p>
            <w:r>
              <w:rPr>
                <w:b/>
                <w:bCs/>
                <w:color w:val="FFFFFF"/>
                <w:sz w:val="19"/>
                <w:szCs w:val="19"/>
              </w:rPr>
              <w:t xml:space="preserve">Pour le prestataire</w:t>
            </w:r>
          </w:p>
        </w:tc>
      </w:tr>
      <w:tr>
        <w:trPr>
          <w:cantSplit/>
        </w:trPr>
        <w:tc>
          <w:tcPr>
            <w:tcW w:type="dxa" w:w="468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Nom, fonction et signature :</w:t>
            </w:r>
          </w:p>
        </w:tc>
        <w:tc>
          <w:tcPr>
            <w:tcW w:type="dxa" w:w="468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Nom, fonction et signature : ALOWANOU Dove Leonce, PMO</w:t>
            </w:r>
          </w:p>
        </w:tc>
      </w:tr>
      <w:tr>
        <w:trPr>
          <w:cantSplit/>
        </w:trPr>
        <w:tc>
          <w:tcPr>
            <w:tcW w:type="dxa" w:w="468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Date : ______________________</w:t>
            </w:r>
          </w:p>
        </w:tc>
        <w:tc>
          <w:tcPr>
            <w:tcW w:type="dxa" w:w="468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Date : ______________________</w:t>
            </w:r>
          </w:p>
        </w:tc>
      </w:tr>
    </w:tbl>
    <w:sectPr>
      <w:footerReference w:type="default" r:id="rId6"/>
      <w:pgSz w:w="11906" w:h="16838" w:orient="portrait"/>
      <w:pgMar w:top="1300" w:right="1273" w:bottom="1300" w:left="1273"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Cahier des charges – Site web Paroisse Sainte Lucie de Baguida  |  Page </w:t>
    </w:r>
    <w:r>
      <w:rPr>
        <w:color w:val="777777"/>
        <w:sz w:val="18"/>
        <w:szCs w:val="18"/>
      </w:rPr>
      <w:fldChar w:fldCharType="begin"/>
      <w:instrText xml:space="preserve">PAGE</w:instrText>
      <w:fldChar w:fldCharType="separate"/>
      <w:fldChar w:fldCharType="end"/>
    </w:r>
    <w:r>
      <w:rPr>
        <w:color w:val="777777"/>
        <w:sz w:val="18"/>
        <w:szCs w:val="18"/>
      </w:rPr>
      <w:t xml:space="preserve"> / </w:t>
    </w:r>
    <w:r>
      <w:rPr>
        <w:color w:val="77777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1F3A5F"/>
      <w:sz w:val="32"/>
      <w:szCs w:val="32"/>
    </w:rPr>
  </w:style>
  <w:style w:type="paragraph" w:styleId="Heading2">
    <w:name w:val="Heading 2"/>
    <w:basedOn w:val="Normal"/>
    <w:next w:val="Normal"/>
    <w:qFormat/>
    <w:pPr>
      <w:keepNext/>
      <w:spacing w:after="100" w:before="240"/>
      <w:outlineLvl w:val="1"/>
    </w:pPr>
    <w:rPr>
      <w:rFonts w:ascii="Calibri" w:cs="Calibri" w:eastAsia="Calibri" w:hAnsi="Calibri"/>
      <w:b/>
      <w:bCs/>
      <w:color w:val="B8860B"/>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 Site web Paroisse Sainte Lucie de Baguida</dc:title>
  <dc:creator>ALOWANOU Dove Leonce</dc:creator>
  <cp:lastModifiedBy>Un-named</cp:lastModifiedBy>
  <cp:revision>1</cp:revision>
  <dcterms:created xsi:type="dcterms:W3CDTF">2026-10-05T10:56:59.409Z</dcterms:created>
  <dcterms:modified xsi:type="dcterms:W3CDTF">2026-10-05T10:56:59.411Z</dcterms:modified>
</cp:coreProperties>
</file>

<file path=docProps/custom.xml><?xml version="1.0" encoding="utf-8"?>
<Properties xmlns="http://schemas.openxmlformats.org/officeDocument/2006/custom-properties" xmlns:vt="http://schemas.openxmlformats.org/officeDocument/2006/docPropsVTypes"/>
</file>