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6E685" w14:textId="4D37E89B" w:rsidR="00202E08" w:rsidRPr="00B7560F" w:rsidRDefault="00202E08" w:rsidP="00B7560F">
      <w:pPr>
        <w:snapToGrid w:val="0"/>
        <w:rPr>
          <w:rFonts w:ascii="微軟正黑體" w:eastAsia="微軟正黑體" w:hAnsi="微軟正黑體"/>
        </w:rPr>
      </w:pPr>
      <w:r w:rsidRPr="00B7560F">
        <w:rPr>
          <w:rFonts w:ascii="微軟正黑體" w:eastAsia="微軟正黑體" w:hAnsi="微軟正黑體" w:hint="eastAsia"/>
        </w:rPr>
        <w:t>TCC Group Holdings在環境（E）、社會（S）與治理（G）三大面向上的關鍵弱點和風險主要集中在環境的碳排放表現和公司治理的結構問題，儘管社會表現整體優於同業</w:t>
      </w:r>
    </w:p>
    <w:p w14:paraId="43398450" w14:textId="7F5A7491" w:rsidR="00202E08" w:rsidRPr="00202E08" w:rsidRDefault="00202E08" w:rsidP="00B7560F">
      <w:pPr>
        <w:snapToGrid w:val="0"/>
        <w:rPr>
          <w:rFonts w:ascii="微軟正黑體" w:eastAsia="微軟正黑體" w:hAnsi="微軟正黑體"/>
        </w:rPr>
      </w:pPr>
      <w:r w:rsidRPr="00202E08">
        <w:rPr>
          <w:rFonts w:ascii="微軟正黑體" w:eastAsia="微軟正黑體" w:hAnsi="微軟正黑體"/>
        </w:rPr>
        <w:t>以下是針對這三</w:t>
      </w:r>
      <w:proofErr w:type="gramStart"/>
      <w:r w:rsidRPr="00202E08">
        <w:rPr>
          <w:rFonts w:ascii="微軟正黑體" w:eastAsia="微軟正黑體" w:hAnsi="微軟正黑體"/>
        </w:rPr>
        <w:t>個</w:t>
      </w:r>
      <w:proofErr w:type="gramEnd"/>
      <w:r w:rsidRPr="00202E08">
        <w:rPr>
          <w:rFonts w:ascii="微軟正黑體" w:eastAsia="微軟正黑體" w:hAnsi="微軟正黑體"/>
        </w:rPr>
        <w:t>面向的關鍵弱點與風險：</w:t>
      </w:r>
    </w:p>
    <w:p w14:paraId="1095D40C" w14:textId="77777777" w:rsidR="00202E08" w:rsidRPr="00202E08" w:rsidRDefault="00202E08" w:rsidP="00B7560F">
      <w:pPr>
        <w:snapToGrid w:val="0"/>
        <w:rPr>
          <w:rFonts w:ascii="微軟正黑體" w:eastAsia="微軟正黑體" w:hAnsi="微軟正黑體"/>
          <w:b/>
          <w:bCs/>
          <w:bdr w:val="single" w:sz="4" w:space="0" w:color="auto"/>
        </w:rPr>
      </w:pPr>
      <w:r w:rsidRPr="00202E08">
        <w:rPr>
          <w:rFonts w:ascii="微軟正黑體" w:eastAsia="微軟正黑體" w:hAnsi="微軟正黑體"/>
          <w:b/>
          <w:bCs/>
          <w:bdr w:val="single" w:sz="4" w:space="0" w:color="auto"/>
        </w:rPr>
        <w:t>一、 環境（E）面向的關鍵弱點與風險</w:t>
      </w:r>
      <w:proofErr w:type="gramStart"/>
      <w:r w:rsidRPr="00202E08">
        <w:rPr>
          <w:rFonts w:ascii="微軟正黑體" w:eastAsia="微軟正黑體" w:hAnsi="微軟正黑體"/>
          <w:b/>
          <w:bCs/>
          <w:bdr w:val="single" w:sz="4" w:space="0" w:color="auto"/>
        </w:rPr>
        <w:t>（</w:t>
      </w:r>
      <w:proofErr w:type="gramEnd"/>
      <w:r w:rsidRPr="00202E08">
        <w:rPr>
          <w:rFonts w:ascii="微軟正黑體" w:eastAsia="微軟正黑體" w:hAnsi="微軟正黑體"/>
          <w:b/>
          <w:bCs/>
          <w:bdr w:val="single" w:sz="4" w:space="0" w:color="auto"/>
        </w:rPr>
        <w:t>分數：3.4/10，權重 39%</w:t>
      </w:r>
      <w:proofErr w:type="gramStart"/>
      <w:r w:rsidRPr="00202E08">
        <w:rPr>
          <w:rFonts w:ascii="微軟正黑體" w:eastAsia="微軟正黑體" w:hAnsi="微軟正黑體"/>
          <w:b/>
          <w:bCs/>
          <w:bdr w:val="single" w:sz="4" w:space="0" w:color="auto"/>
        </w:rPr>
        <w:t>）</w:t>
      </w:r>
      <w:proofErr w:type="gramEnd"/>
    </w:p>
    <w:p w14:paraId="5EF481CF" w14:textId="15E6DD34" w:rsidR="00202E08" w:rsidRPr="00202E08" w:rsidRDefault="00202E08" w:rsidP="00B7560F">
      <w:pPr>
        <w:snapToGrid w:val="0"/>
        <w:rPr>
          <w:rFonts w:ascii="微軟正黑體" w:eastAsia="微軟正黑體" w:hAnsi="微軟正黑體"/>
        </w:rPr>
      </w:pPr>
      <w:r w:rsidRPr="00202E08">
        <w:rPr>
          <w:rFonts w:ascii="微軟正黑體" w:eastAsia="微軟正黑體" w:hAnsi="微軟正黑體"/>
          <w:highlight w:val="yellow"/>
        </w:rPr>
        <w:t>TCC 在環境層面的分數（3.4）低於行業平均（3.9），顯示出</w:t>
      </w:r>
      <w:r w:rsidR="006828C9">
        <w:rPr>
          <w:rFonts w:ascii="微軟正黑體" w:eastAsia="微軟正黑體" w:hAnsi="微軟正黑體" w:hint="eastAsia"/>
          <w:highlight w:val="yellow"/>
        </w:rPr>
        <w:t>較</w:t>
      </w:r>
      <w:r w:rsidRPr="00202E08">
        <w:rPr>
          <w:rFonts w:ascii="微軟正黑體" w:eastAsia="微軟正黑體" w:hAnsi="微軟正黑體"/>
          <w:highlight w:val="yellow"/>
        </w:rPr>
        <w:t>重大風險。</w:t>
      </w:r>
    </w:p>
    <w:p w14:paraId="6524DDE7" w14:textId="27B412BA" w:rsidR="00202E08" w:rsidRPr="00202E08" w:rsidRDefault="00202E08" w:rsidP="00B7560F">
      <w:pPr>
        <w:snapToGrid w:val="0"/>
        <w:rPr>
          <w:rFonts w:ascii="微軟正黑體" w:eastAsia="微軟正黑體" w:hAnsi="微軟正黑體"/>
          <w:b/>
          <w:bCs/>
          <w:color w:val="FF0000"/>
        </w:rPr>
      </w:pPr>
      <w:r w:rsidRPr="00202E08">
        <w:rPr>
          <w:rFonts w:ascii="微軟正黑體" w:eastAsia="微軟正黑體" w:hAnsi="微軟正黑體"/>
          <w:b/>
          <w:bCs/>
        </w:rPr>
        <w:t>1. 碳排放（Carbon Emissions）</w:t>
      </w:r>
      <w:r w:rsidR="006828C9" w:rsidRPr="006828C9">
        <w:rPr>
          <w:rFonts w:ascii="微軟正黑體" w:eastAsia="微軟正黑體" w:hAnsi="微軟正黑體" w:hint="eastAsia"/>
          <w:b/>
          <w:bCs/>
        </w:rPr>
        <w:t>權重20%</w:t>
      </w:r>
      <w:r w:rsidR="006828C9">
        <w:rPr>
          <w:rFonts w:ascii="微軟正黑體" w:eastAsia="微軟正黑體" w:hAnsi="微軟正黑體" w:hint="eastAsia"/>
          <w:b/>
          <w:bCs/>
        </w:rPr>
        <w:t xml:space="preserve"> </w:t>
      </w:r>
      <w:r w:rsidR="006828C9" w:rsidRPr="006828C9">
        <w:rPr>
          <w:rFonts w:ascii="微軟正黑體" w:eastAsia="微軟正黑體" w:hAnsi="微軟正黑體" w:hint="eastAsia"/>
          <w:b/>
          <w:bCs/>
          <w:color w:val="FF0000"/>
        </w:rPr>
        <w:t>台泥分數為3分，行業平均為4</w:t>
      </w:r>
      <w:r w:rsidR="006828C9" w:rsidRPr="006828C9">
        <w:rPr>
          <w:rFonts w:ascii="微軟正黑體" w:eastAsia="微軟正黑體" w:hAnsi="微軟正黑體"/>
          <w:b/>
          <w:bCs/>
          <w:color w:val="FF0000"/>
        </w:rPr>
        <w:t>.7</w:t>
      </w:r>
      <w:r w:rsidR="006828C9" w:rsidRPr="006828C9">
        <w:rPr>
          <w:rFonts w:ascii="微軟正黑體" w:eastAsia="微軟正黑體" w:hAnsi="微軟正黑體" w:hint="eastAsia"/>
          <w:b/>
          <w:bCs/>
          <w:color w:val="FF0000"/>
        </w:rPr>
        <w:t>分</w:t>
      </w:r>
    </w:p>
    <w:p w14:paraId="5261E2D9" w14:textId="0DD9BB50" w:rsidR="00202E08" w:rsidRPr="00B7560F" w:rsidRDefault="00202E08" w:rsidP="00B7560F">
      <w:pPr>
        <w:snapToGrid w:val="0"/>
        <w:rPr>
          <w:rFonts w:ascii="微軟正黑體" w:eastAsia="微軟正黑體" w:hAnsi="微軟正黑體"/>
        </w:rPr>
      </w:pPr>
      <w:commentRangeStart w:id="0"/>
      <w:proofErr w:type="gramStart"/>
      <w:r w:rsidRPr="00202E08">
        <w:rPr>
          <w:rFonts w:ascii="微軟正黑體" w:eastAsia="微軟正黑體" w:hAnsi="微軟正黑體"/>
        </w:rPr>
        <w:t>•</w:t>
      </w:r>
      <w:proofErr w:type="gramEnd"/>
      <w:r w:rsidRPr="00202E08">
        <w:rPr>
          <w:rFonts w:ascii="微軟正黑體" w:eastAsia="微軟正黑體" w:hAnsi="微軟正黑體"/>
        </w:rPr>
        <w:t xml:space="preserve"> </w:t>
      </w:r>
      <w:r w:rsidRPr="00202E08">
        <w:rPr>
          <w:rFonts w:ascii="微軟正黑體" w:eastAsia="微軟正黑體" w:hAnsi="微軟正黑體"/>
          <w:b/>
          <w:bCs/>
        </w:rPr>
        <w:t>高碳排放強度：</w:t>
      </w:r>
      <w:r w:rsidRPr="00202E08">
        <w:rPr>
          <w:rFonts w:ascii="微軟正黑體" w:eastAsia="微軟正黑體" w:hAnsi="微軟正黑體"/>
        </w:rPr>
        <w:t xml:space="preserve"> 根據評估模型，水泥製造和火力發電業務通常是高碳排放密集的業務。TCC 在 2024 年的範疇 1 和 2 溫室氣體（GHG）強度為 9,210 噸二氧化碳當量/百萬美元銷售額，</w:t>
      </w:r>
      <w:r w:rsidRPr="00202E08">
        <w:rPr>
          <w:rFonts w:ascii="微軟正黑體" w:eastAsia="微軟正黑體" w:hAnsi="微軟正黑體"/>
          <w:b/>
          <w:bCs/>
        </w:rPr>
        <w:t>高於行業平均值 4,354</w:t>
      </w:r>
      <w:r w:rsidRPr="00202E08">
        <w:rPr>
          <w:rFonts w:ascii="微軟正黑體" w:eastAsia="微軟正黑體" w:hAnsi="微軟正黑體"/>
        </w:rPr>
        <w:t>。</w:t>
      </w:r>
      <w:commentRangeEnd w:id="0"/>
      <w:r w:rsidR="00365F69">
        <w:rPr>
          <w:rStyle w:val="a3"/>
        </w:rPr>
        <w:commentReference w:id="0"/>
      </w:r>
    </w:p>
    <w:p w14:paraId="74F3B677" w14:textId="37E48C32" w:rsidR="00CC502D" w:rsidRPr="00202E08" w:rsidRDefault="00CC502D" w:rsidP="00B7560F">
      <w:pPr>
        <w:snapToGrid w:val="0"/>
        <w:rPr>
          <w:rFonts w:ascii="微軟正黑體" w:eastAsia="微軟正黑體" w:hAnsi="微軟正黑體" w:hint="eastAsia"/>
        </w:rPr>
      </w:pPr>
      <w:r w:rsidRPr="00B7560F">
        <w:rPr>
          <w:rFonts w:ascii="微軟正黑體" w:eastAsia="微軟正黑體" w:hAnsi="微軟正黑體"/>
        </w:rPr>
        <w:drawing>
          <wp:inline distT="0" distB="0" distL="0" distR="0" wp14:anchorId="55E3385A" wp14:editId="1EE21A47">
            <wp:extent cx="5877270" cy="1054100"/>
            <wp:effectExtent l="0" t="0" r="9525"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22508" cy="1062213"/>
                    </a:xfrm>
                    <a:prstGeom prst="rect">
                      <a:avLst/>
                    </a:prstGeom>
                  </pic:spPr>
                </pic:pic>
              </a:graphicData>
            </a:graphic>
          </wp:inline>
        </w:drawing>
      </w:r>
    </w:p>
    <w:p w14:paraId="1048894F" w14:textId="1E2AFC24" w:rsidR="00202E08" w:rsidRPr="00202E08" w:rsidRDefault="00202E08" w:rsidP="00B7560F">
      <w:pPr>
        <w:snapToGrid w:val="0"/>
        <w:rPr>
          <w:rFonts w:ascii="微軟正黑體" w:eastAsia="微軟正黑體" w:hAnsi="微軟正黑體"/>
        </w:rPr>
      </w:pPr>
      <w:proofErr w:type="gramStart"/>
      <w:r w:rsidRPr="00202E08">
        <w:rPr>
          <w:rFonts w:ascii="微軟正黑體" w:eastAsia="微軟正黑體" w:hAnsi="微軟正黑體"/>
        </w:rPr>
        <w:t>•</w:t>
      </w:r>
      <w:proofErr w:type="gramEnd"/>
      <w:r w:rsidRPr="00202E08">
        <w:rPr>
          <w:rFonts w:ascii="微軟正黑體" w:eastAsia="微軟正黑體" w:hAnsi="微軟正黑體"/>
        </w:rPr>
        <w:t xml:space="preserve"> </w:t>
      </w:r>
      <w:r w:rsidRPr="00202E08">
        <w:rPr>
          <w:rFonts w:ascii="微軟正黑體" w:eastAsia="微軟正黑體" w:hAnsi="微軟正黑體"/>
          <w:b/>
          <w:bCs/>
        </w:rPr>
        <w:t>業務集中</w:t>
      </w:r>
      <w:r w:rsidR="00DA05A0">
        <w:rPr>
          <w:rFonts w:ascii="微軟正黑體" w:eastAsia="微軟正黑體" w:hAnsi="微軟正黑體" w:hint="eastAsia"/>
          <w:b/>
          <w:bCs/>
        </w:rPr>
        <w:t>於</w:t>
      </w:r>
      <w:r w:rsidRPr="00202E08">
        <w:rPr>
          <w:rFonts w:ascii="微軟正黑體" w:eastAsia="微軟正黑體" w:hAnsi="微軟正黑體"/>
          <w:b/>
          <w:bCs/>
        </w:rPr>
        <w:t>高</w:t>
      </w:r>
      <w:r w:rsidR="00DA05A0">
        <w:rPr>
          <w:rFonts w:ascii="微軟正黑體" w:eastAsia="微軟正黑體" w:hAnsi="微軟正黑體" w:hint="eastAsia"/>
          <w:b/>
          <w:bCs/>
        </w:rPr>
        <w:t>度碳風險的業務</w:t>
      </w:r>
      <w:r w:rsidRPr="00202E08">
        <w:rPr>
          <w:rFonts w:ascii="微軟正黑體" w:eastAsia="微軟正黑體" w:hAnsi="微軟正黑體"/>
          <w:b/>
          <w:bCs/>
        </w:rPr>
        <w:t>：</w:t>
      </w:r>
      <w:r w:rsidRPr="00202E08">
        <w:rPr>
          <w:rFonts w:ascii="微軟正黑體" w:eastAsia="微軟正黑體" w:hAnsi="微軟正黑體"/>
        </w:rPr>
        <w:t xml:space="preserve"> 公司 </w:t>
      </w:r>
      <w:r w:rsidRPr="00202E08">
        <w:rPr>
          <w:rFonts w:ascii="微軟正黑體" w:eastAsia="微軟正黑體" w:hAnsi="微軟正黑體"/>
          <w:b/>
          <w:bCs/>
        </w:rPr>
        <w:t>96% 的收入</w:t>
      </w:r>
      <w:r w:rsidRPr="00202E08">
        <w:rPr>
          <w:rFonts w:ascii="微軟正黑體" w:eastAsia="微軟正黑體" w:hAnsi="微軟正黑體"/>
        </w:rPr>
        <w:t>來自於相對於同業而言碳密集度更高的業務線。</w:t>
      </w:r>
    </w:p>
    <w:p w14:paraId="49C85372" w14:textId="4656ACDC" w:rsidR="00202E08" w:rsidRPr="00B7560F" w:rsidRDefault="00202E08" w:rsidP="00B7560F">
      <w:pPr>
        <w:snapToGrid w:val="0"/>
        <w:rPr>
          <w:rFonts w:ascii="微軟正黑體" w:eastAsia="微軟正黑體" w:hAnsi="微軟正黑體"/>
        </w:rPr>
      </w:pPr>
      <w:proofErr w:type="gramStart"/>
      <w:r w:rsidRPr="00202E08">
        <w:rPr>
          <w:rFonts w:ascii="微軟正黑體" w:eastAsia="微軟正黑體" w:hAnsi="微軟正黑體"/>
        </w:rPr>
        <w:t>•</w:t>
      </w:r>
      <w:proofErr w:type="gramEnd"/>
      <w:r w:rsidRPr="00202E08">
        <w:rPr>
          <w:rFonts w:ascii="微軟正黑體" w:eastAsia="微軟正黑體" w:hAnsi="微軟正黑體"/>
        </w:rPr>
        <w:t xml:space="preserve"> </w:t>
      </w:r>
      <w:r w:rsidR="00F561FC">
        <w:rPr>
          <w:rFonts w:ascii="微軟正黑體" w:eastAsia="微軟正黑體" w:hAnsi="微軟正黑體" w:hint="eastAsia"/>
          <w:b/>
          <w:bCs/>
        </w:rPr>
        <w:t>績效</w:t>
      </w:r>
      <w:r w:rsidRPr="00202E08">
        <w:rPr>
          <w:rFonts w:ascii="微軟正黑體" w:eastAsia="微軟正黑體" w:hAnsi="微軟正黑體"/>
          <w:b/>
          <w:bCs/>
        </w:rPr>
        <w:t>不佳：</w:t>
      </w:r>
      <w:r w:rsidRPr="00202E08">
        <w:rPr>
          <w:rFonts w:ascii="微軟正黑體" w:eastAsia="微軟正黑體" w:hAnsi="微軟正黑體"/>
        </w:rPr>
        <w:t xml:space="preserve"> TCC 的碳強度和/或趨勢相對於同業較弱。其碳排放表現（Performance Score）相對於同業的評分為 0 分（滿分 10 分）。</w:t>
      </w:r>
    </w:p>
    <w:p w14:paraId="7DF3CE86" w14:textId="22D39625" w:rsidR="00202E08" w:rsidRPr="00202E08" w:rsidRDefault="00202E08" w:rsidP="00B7560F">
      <w:pPr>
        <w:snapToGrid w:val="0"/>
        <w:rPr>
          <w:rFonts w:ascii="微軟正黑體" w:eastAsia="微軟正黑體" w:hAnsi="微軟正黑體" w:hint="eastAsia"/>
        </w:rPr>
      </w:pPr>
      <w:r w:rsidRPr="00B7560F">
        <w:rPr>
          <w:rFonts w:ascii="微軟正黑體" w:eastAsia="微軟正黑體" w:hAnsi="微軟正黑體"/>
        </w:rPr>
        <w:lastRenderedPageBreak/>
        <w:drawing>
          <wp:inline distT="0" distB="0" distL="0" distR="0" wp14:anchorId="7835C3C2" wp14:editId="41A3F4B2">
            <wp:extent cx="2787793" cy="2311519"/>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87793" cy="2311519"/>
                    </a:xfrm>
                    <a:prstGeom prst="rect">
                      <a:avLst/>
                    </a:prstGeom>
                  </pic:spPr>
                </pic:pic>
              </a:graphicData>
            </a:graphic>
          </wp:inline>
        </w:drawing>
      </w:r>
      <w:r w:rsidRPr="00B7560F">
        <w:rPr>
          <w:rFonts w:ascii="微軟正黑體" w:eastAsia="微軟正黑體" w:hAnsi="微軟正黑體"/>
          <w:noProof/>
        </w:rPr>
        <w:t xml:space="preserve"> </w:t>
      </w:r>
      <w:r w:rsidRPr="00B7560F">
        <w:rPr>
          <w:rFonts w:ascii="微軟正黑體" w:eastAsia="微軟正黑體" w:hAnsi="微軟正黑體"/>
        </w:rPr>
        <w:drawing>
          <wp:inline distT="0" distB="0" distL="0" distR="0" wp14:anchorId="6CE1B07F" wp14:editId="293CF6C4">
            <wp:extent cx="2711589" cy="213371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11589" cy="2133710"/>
                    </a:xfrm>
                    <a:prstGeom prst="rect">
                      <a:avLst/>
                    </a:prstGeom>
                  </pic:spPr>
                </pic:pic>
              </a:graphicData>
            </a:graphic>
          </wp:inline>
        </w:drawing>
      </w:r>
    </w:p>
    <w:p w14:paraId="0DCAFEAF" w14:textId="7280FF6F" w:rsidR="006828C9" w:rsidRPr="00202E08" w:rsidRDefault="00202E08" w:rsidP="006828C9">
      <w:pPr>
        <w:snapToGrid w:val="0"/>
        <w:rPr>
          <w:rFonts w:ascii="微軟正黑體" w:eastAsia="微軟正黑體" w:hAnsi="微軟正黑體"/>
          <w:b/>
          <w:bCs/>
          <w:color w:val="FF0000"/>
          <w:bdr w:val="single" w:sz="4" w:space="0" w:color="auto"/>
        </w:rPr>
      </w:pPr>
      <w:r w:rsidRPr="00202E08">
        <w:rPr>
          <w:rFonts w:ascii="微軟正黑體" w:eastAsia="微軟正黑體" w:hAnsi="微軟正黑體"/>
          <w:b/>
          <w:bCs/>
          <w:bdr w:val="single" w:sz="4" w:space="0" w:color="auto"/>
        </w:rPr>
        <w:t>2. 有毒排放與廢棄物（Toxic Emissions &amp; Waste）</w:t>
      </w:r>
      <w:r w:rsidR="006828C9" w:rsidRPr="00A23C47">
        <w:rPr>
          <w:rFonts w:ascii="微軟正黑體" w:eastAsia="微軟正黑體" w:hAnsi="微軟正黑體" w:hint="eastAsia"/>
          <w:b/>
          <w:bCs/>
          <w:bdr w:val="single" w:sz="4" w:space="0" w:color="auto"/>
        </w:rPr>
        <w:t>權重</w:t>
      </w:r>
      <w:r w:rsidR="006828C9" w:rsidRPr="00A23C47">
        <w:rPr>
          <w:rFonts w:ascii="微軟正黑體" w:eastAsia="微軟正黑體" w:hAnsi="微軟正黑體"/>
          <w:b/>
          <w:bCs/>
          <w:bdr w:val="single" w:sz="4" w:space="0" w:color="auto"/>
        </w:rPr>
        <w:t>19</w:t>
      </w:r>
      <w:r w:rsidR="006828C9" w:rsidRPr="00A23C47">
        <w:rPr>
          <w:rFonts w:ascii="微軟正黑體" w:eastAsia="微軟正黑體" w:hAnsi="微軟正黑體" w:hint="eastAsia"/>
          <w:b/>
          <w:bCs/>
          <w:bdr w:val="single" w:sz="4" w:space="0" w:color="auto"/>
        </w:rPr>
        <w:t>%</w:t>
      </w:r>
      <w:r w:rsidR="006828C9" w:rsidRPr="00A23C47">
        <w:rPr>
          <w:rFonts w:ascii="微軟正黑體" w:eastAsia="微軟正黑體" w:hAnsi="微軟正黑體" w:hint="eastAsia"/>
          <w:b/>
          <w:bCs/>
          <w:bdr w:val="single" w:sz="4" w:space="0" w:color="auto"/>
        </w:rPr>
        <w:t xml:space="preserve"> </w:t>
      </w:r>
      <w:r w:rsidR="006828C9" w:rsidRPr="00A23C47">
        <w:rPr>
          <w:rFonts w:ascii="微軟正黑體" w:eastAsia="微軟正黑體" w:hAnsi="微軟正黑體" w:hint="eastAsia"/>
          <w:b/>
          <w:bCs/>
          <w:color w:val="FF0000"/>
          <w:bdr w:val="single" w:sz="4" w:space="0" w:color="auto"/>
        </w:rPr>
        <w:t>台泥分數為3</w:t>
      </w:r>
      <w:r w:rsidR="006828C9" w:rsidRPr="00A23C47">
        <w:rPr>
          <w:rFonts w:ascii="微軟正黑體" w:eastAsia="微軟正黑體" w:hAnsi="微軟正黑體"/>
          <w:b/>
          <w:bCs/>
          <w:color w:val="FF0000"/>
          <w:bdr w:val="single" w:sz="4" w:space="0" w:color="auto"/>
        </w:rPr>
        <w:t>.9</w:t>
      </w:r>
      <w:r w:rsidR="006828C9" w:rsidRPr="00A23C47">
        <w:rPr>
          <w:rFonts w:ascii="微軟正黑體" w:eastAsia="微軟正黑體" w:hAnsi="微軟正黑體" w:hint="eastAsia"/>
          <w:b/>
          <w:bCs/>
          <w:color w:val="FF0000"/>
          <w:bdr w:val="single" w:sz="4" w:space="0" w:color="auto"/>
        </w:rPr>
        <w:t>分，行業平均為</w:t>
      </w:r>
      <w:r w:rsidR="006828C9" w:rsidRPr="00A23C47">
        <w:rPr>
          <w:rFonts w:ascii="微軟正黑體" w:eastAsia="微軟正黑體" w:hAnsi="微軟正黑體"/>
          <w:b/>
          <w:bCs/>
          <w:color w:val="FF0000"/>
          <w:bdr w:val="single" w:sz="4" w:space="0" w:color="auto"/>
        </w:rPr>
        <w:t>3.2</w:t>
      </w:r>
      <w:r w:rsidR="006828C9" w:rsidRPr="00A23C47">
        <w:rPr>
          <w:rFonts w:ascii="微軟正黑體" w:eastAsia="微軟正黑體" w:hAnsi="微軟正黑體" w:hint="eastAsia"/>
          <w:b/>
          <w:bCs/>
          <w:color w:val="FF0000"/>
          <w:bdr w:val="single" w:sz="4" w:space="0" w:color="auto"/>
        </w:rPr>
        <w:t>分</w:t>
      </w:r>
    </w:p>
    <w:p w14:paraId="25361BA6" w14:textId="3F99452F" w:rsidR="00202E08" w:rsidRPr="00202E08" w:rsidRDefault="00253B82" w:rsidP="00B7560F">
      <w:pPr>
        <w:snapToGrid w:val="0"/>
        <w:rPr>
          <w:rFonts w:ascii="微軟正黑體" w:eastAsia="微軟正黑體" w:hAnsi="微軟正黑體"/>
        </w:rPr>
      </w:pPr>
      <w:r w:rsidRPr="00253B82">
        <w:rPr>
          <w:rFonts w:ascii="微軟正黑體" w:eastAsia="微軟正黑體" w:hAnsi="微軟正黑體" w:hint="eastAsia"/>
          <w:highlight w:val="yellow"/>
        </w:rPr>
        <w:t>目前數據僅追蹤到2023年</w:t>
      </w:r>
    </w:p>
    <w:p w14:paraId="27CF83FA" w14:textId="400A5080" w:rsidR="00202E08" w:rsidRDefault="00202E08" w:rsidP="00B7560F">
      <w:pPr>
        <w:snapToGrid w:val="0"/>
        <w:rPr>
          <w:rFonts w:ascii="微軟正黑體" w:eastAsia="微軟正黑體" w:hAnsi="微軟正黑體"/>
        </w:rPr>
      </w:pPr>
      <w:proofErr w:type="gramStart"/>
      <w:r w:rsidRPr="00202E08">
        <w:rPr>
          <w:rFonts w:ascii="微軟正黑體" w:eastAsia="微軟正黑體" w:hAnsi="微軟正黑體"/>
        </w:rPr>
        <w:t>•</w:t>
      </w:r>
      <w:proofErr w:type="gramEnd"/>
      <w:r w:rsidRPr="00202E08">
        <w:rPr>
          <w:rFonts w:ascii="微軟正黑體" w:eastAsia="微軟正黑體" w:hAnsi="微軟正黑體"/>
        </w:rPr>
        <w:t xml:space="preserve"> </w:t>
      </w:r>
      <w:r w:rsidR="00574468" w:rsidRPr="00574468">
        <w:rPr>
          <w:rFonts w:ascii="微軟正黑體" w:eastAsia="微軟正黑體" w:hAnsi="微軟正黑體" w:hint="eastAsia"/>
          <w:b/>
          <w:bCs/>
        </w:rPr>
        <w:t>業務集中於高風險的業務</w:t>
      </w:r>
      <w:r w:rsidRPr="00202E08">
        <w:rPr>
          <w:rFonts w:ascii="微軟正黑體" w:eastAsia="微軟正黑體" w:hAnsi="微軟正黑體"/>
          <w:b/>
          <w:bCs/>
        </w:rPr>
        <w:t>：</w:t>
      </w:r>
      <w:r w:rsidRPr="00202E08">
        <w:rPr>
          <w:rFonts w:ascii="微軟正黑體" w:eastAsia="微軟正黑體" w:hAnsi="微軟正黑體"/>
        </w:rPr>
        <w:t xml:space="preserve"> TCC </w:t>
      </w:r>
      <w:r w:rsidRPr="00202E08">
        <w:rPr>
          <w:rFonts w:ascii="微軟正黑體" w:eastAsia="微軟正黑體" w:hAnsi="微軟正黑體"/>
          <w:b/>
          <w:bCs/>
        </w:rPr>
        <w:t>9</w:t>
      </w:r>
      <w:r w:rsidR="006D5244">
        <w:rPr>
          <w:rFonts w:ascii="微軟正黑體" w:eastAsia="微軟正黑體" w:hAnsi="微軟正黑體"/>
          <w:b/>
          <w:bCs/>
        </w:rPr>
        <w:t>9.7</w:t>
      </w:r>
      <w:r w:rsidRPr="00202E08">
        <w:rPr>
          <w:rFonts w:ascii="微軟正黑體" w:eastAsia="微軟正黑體" w:hAnsi="微軟正黑體"/>
          <w:b/>
          <w:bCs/>
        </w:rPr>
        <w:t>% 的收入</w:t>
      </w:r>
      <w:r w:rsidRPr="00202E08">
        <w:rPr>
          <w:rFonts w:ascii="微軟正黑體" w:eastAsia="微軟正黑體" w:hAnsi="微軟正黑體"/>
        </w:rPr>
        <w:t>來自於具有相對較高有毒排放和廢棄物強度的業務線。這些高風險業務類型包括水泥、</w:t>
      </w:r>
      <w:r w:rsidR="00BC1D9D">
        <w:rPr>
          <w:rFonts w:ascii="微軟正黑體" w:eastAsia="微軟正黑體" w:hAnsi="微軟正黑體" w:hint="eastAsia"/>
        </w:rPr>
        <w:t>燃</w:t>
      </w:r>
      <w:r w:rsidRPr="00202E08">
        <w:rPr>
          <w:rFonts w:ascii="微軟正黑體" w:eastAsia="微軟正黑體" w:hAnsi="微軟正黑體"/>
        </w:rPr>
        <w:t>煤發電、儲能電池和發電。</w:t>
      </w:r>
      <w:r w:rsidR="006D5244" w:rsidRPr="006D5244">
        <w:rPr>
          <w:rFonts w:ascii="微軟正黑體" w:eastAsia="微軟正黑體" w:hAnsi="微軟正黑體" w:hint="eastAsia"/>
          <w:b/>
          <w:bCs/>
        </w:rPr>
        <w:t>0</w:t>
      </w:r>
      <w:r w:rsidR="006D5244" w:rsidRPr="006D5244">
        <w:rPr>
          <w:rFonts w:ascii="微軟正黑體" w:eastAsia="微軟正黑體" w:hAnsi="微軟正黑體"/>
          <w:b/>
          <w:bCs/>
        </w:rPr>
        <w:t>.3</w:t>
      </w:r>
      <w:r w:rsidR="006D5244" w:rsidRPr="006D5244">
        <w:rPr>
          <w:rFonts w:ascii="微軟正黑體" w:eastAsia="微軟正黑體" w:hAnsi="微軟正黑體" w:hint="eastAsia"/>
          <w:b/>
          <w:bCs/>
        </w:rPr>
        <w:t>%</w:t>
      </w:r>
      <w:r w:rsidR="006D5244">
        <w:rPr>
          <w:rFonts w:ascii="微軟正黑體" w:eastAsia="微軟正黑體" w:hAnsi="微軟正黑體" w:hint="eastAsia"/>
        </w:rPr>
        <w:t>來自低風險的太陽能&amp;風力發電</w:t>
      </w:r>
    </w:p>
    <w:p w14:paraId="2E53329B" w14:textId="4E6D1E45" w:rsidR="002E4E52" w:rsidRDefault="002E4E52" w:rsidP="00B7560F">
      <w:pPr>
        <w:snapToGrid w:val="0"/>
        <w:rPr>
          <w:rFonts w:ascii="微軟正黑體" w:eastAsia="微軟正黑體" w:hAnsi="微軟正黑體"/>
        </w:rPr>
      </w:pPr>
      <w:proofErr w:type="gramStart"/>
      <w:r w:rsidRPr="00202E08">
        <w:rPr>
          <w:rFonts w:ascii="微軟正黑體" w:eastAsia="微軟正黑體" w:hAnsi="微軟正黑體"/>
        </w:rPr>
        <w:t>•</w:t>
      </w:r>
      <w:proofErr w:type="gramEnd"/>
      <w:r>
        <w:rPr>
          <w:rFonts w:ascii="微軟正黑體" w:eastAsia="微軟正黑體" w:hAnsi="微軟正黑體"/>
        </w:rPr>
        <w:t xml:space="preserve"> </w:t>
      </w:r>
      <w:r w:rsidRPr="002E4E52">
        <w:rPr>
          <w:rFonts w:ascii="微軟正黑體" w:eastAsia="微軟正黑體" w:hAnsi="微軟正黑體" w:hint="eastAsia"/>
          <w:b/>
          <w:bCs/>
        </w:rPr>
        <w:t>管理與作法分數下降</w:t>
      </w:r>
      <w:r w:rsidRPr="000A2D8B">
        <w:rPr>
          <w:rFonts w:ascii="微軟正黑體" w:eastAsia="微軟正黑體" w:hAnsi="微軟正黑體" w:hint="eastAsia"/>
        </w:rPr>
        <w:t>：2025/06 的 Management 6.7／Practices 6.1，到 2025/09 降至 6.2／5.4；即便實際績效仍佳，治理與制度化證據較弱</w:t>
      </w:r>
      <w:r w:rsidR="00A12DDD">
        <w:rPr>
          <w:rFonts w:ascii="微軟正黑體" w:eastAsia="微軟正黑體" w:hAnsi="微軟正黑體" w:hint="eastAsia"/>
        </w:rPr>
        <w:t>，如</w:t>
      </w:r>
      <w:r w:rsidR="00A12DDD" w:rsidRPr="00A12DDD">
        <w:rPr>
          <w:rFonts w:ascii="微軟正黑體" w:eastAsia="微軟正黑體" w:hAnsi="微軟正黑體" w:hint="eastAsia"/>
        </w:rPr>
        <w:t>稽核不足</w:t>
      </w:r>
      <w:r w:rsidR="00A12DDD">
        <w:rPr>
          <w:rFonts w:ascii="微軟正黑體" w:eastAsia="微軟正黑體" w:hAnsi="微軟正黑體" w:hint="eastAsia"/>
        </w:rPr>
        <w:t>，</w:t>
      </w:r>
      <w:r w:rsidR="00A12DDD" w:rsidRPr="00A12DDD">
        <w:rPr>
          <w:rFonts w:ascii="微軟正黑體" w:eastAsia="微軟正黑體" w:hAnsi="微軟正黑體" w:hint="eastAsia"/>
        </w:rPr>
        <w:t>缺乏揭露</w:t>
      </w:r>
      <w:r w:rsidR="00A12DDD" w:rsidRPr="00ED40C8">
        <w:rPr>
          <w:rFonts w:ascii="微軟正黑體" w:eastAsia="微軟正黑體" w:hAnsi="微軟正黑體" w:hint="eastAsia"/>
          <w:highlight w:val="yellow"/>
        </w:rPr>
        <w:t>年度環境影響稽核</w:t>
      </w:r>
      <w:r w:rsidR="00A12DDD" w:rsidRPr="00A12DDD">
        <w:rPr>
          <w:rFonts w:ascii="微軟正黑體" w:eastAsia="微軟正黑體" w:hAnsi="微軟正黑體" w:hint="eastAsia"/>
        </w:rPr>
        <w:t>的證據。</w:t>
      </w:r>
    </w:p>
    <w:p w14:paraId="46CCE5F6" w14:textId="16C8ADB3" w:rsidR="00574468" w:rsidRPr="00574468" w:rsidRDefault="00574468" w:rsidP="00B7560F">
      <w:pPr>
        <w:snapToGrid w:val="0"/>
        <w:rPr>
          <w:rFonts w:ascii="微軟正黑體" w:eastAsia="微軟正黑體" w:hAnsi="微軟正黑體" w:hint="eastAsia"/>
        </w:rPr>
      </w:pPr>
      <w:proofErr w:type="gramStart"/>
      <w:r w:rsidRPr="00202E08">
        <w:rPr>
          <w:rFonts w:ascii="微軟正黑體" w:eastAsia="微軟正黑體" w:hAnsi="微軟正黑體"/>
        </w:rPr>
        <w:t>•</w:t>
      </w:r>
      <w:proofErr w:type="gramEnd"/>
      <w:r>
        <w:rPr>
          <w:rFonts w:ascii="微軟正黑體" w:eastAsia="微軟正黑體" w:hAnsi="微軟正黑體" w:hint="eastAsia"/>
        </w:rPr>
        <w:t xml:space="preserve"> </w:t>
      </w:r>
      <w:r w:rsidRPr="008C1621">
        <w:rPr>
          <w:rFonts w:ascii="微軟正黑體" w:eastAsia="微軟正黑體" w:hAnsi="微軟正黑體" w:hint="eastAsia"/>
          <w:b/>
          <w:bCs/>
        </w:rPr>
        <w:t>實際績效</w:t>
      </w:r>
      <w:r w:rsidRPr="00202E08">
        <w:rPr>
          <w:rFonts w:ascii="微軟正黑體" w:eastAsia="微軟正黑體" w:hAnsi="微軟正黑體"/>
          <w:b/>
          <w:bCs/>
        </w:rPr>
        <w:t>：</w:t>
      </w:r>
      <w:r w:rsidRPr="008C1621">
        <w:rPr>
          <w:rFonts w:ascii="微軟正黑體" w:eastAsia="微軟正黑體" w:hAnsi="微軟正黑體" w:hint="eastAsia"/>
        </w:rPr>
        <w:t>Performance Score 是 7.8，表示以單位產出或內部指標衡量的實績表現優於多數同業</w:t>
      </w:r>
    </w:p>
    <w:p w14:paraId="59D649A5" w14:textId="75E8B930" w:rsidR="003A1F66" w:rsidRPr="00202E08" w:rsidRDefault="003A1F66" w:rsidP="00B7560F">
      <w:pPr>
        <w:snapToGrid w:val="0"/>
        <w:rPr>
          <w:rFonts w:ascii="微軟正黑體" w:eastAsia="微軟正黑體" w:hAnsi="微軟正黑體" w:hint="eastAsia"/>
        </w:rPr>
      </w:pPr>
      <w:r w:rsidRPr="00B7560F">
        <w:rPr>
          <w:rFonts w:ascii="微軟正黑體" w:eastAsia="微軟正黑體" w:hAnsi="微軟正黑體"/>
        </w:rPr>
        <w:lastRenderedPageBreak/>
        <w:drawing>
          <wp:inline distT="0" distB="0" distL="0" distR="0" wp14:anchorId="725F7846" wp14:editId="53961482">
            <wp:extent cx="2743341" cy="2025754"/>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3341" cy="2025754"/>
                    </a:xfrm>
                    <a:prstGeom prst="rect">
                      <a:avLst/>
                    </a:prstGeom>
                  </pic:spPr>
                </pic:pic>
              </a:graphicData>
            </a:graphic>
          </wp:inline>
        </w:drawing>
      </w:r>
      <w:r w:rsidRPr="00B7560F">
        <w:rPr>
          <w:rFonts w:ascii="微軟正黑體" w:eastAsia="微軟正黑體" w:hAnsi="微軟正黑體"/>
          <w:noProof/>
        </w:rPr>
        <w:t xml:space="preserve"> </w:t>
      </w:r>
      <w:r w:rsidRPr="00B7560F">
        <w:rPr>
          <w:rFonts w:ascii="微軟正黑體" w:eastAsia="微軟正黑體" w:hAnsi="微軟正黑體"/>
        </w:rPr>
        <w:drawing>
          <wp:inline distT="0" distB="0" distL="0" distR="0" wp14:anchorId="578F9857" wp14:editId="3AD419A6">
            <wp:extent cx="2635385" cy="1987652"/>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35385" cy="1987652"/>
                    </a:xfrm>
                    <a:prstGeom prst="rect">
                      <a:avLst/>
                    </a:prstGeom>
                  </pic:spPr>
                </pic:pic>
              </a:graphicData>
            </a:graphic>
          </wp:inline>
        </w:drawing>
      </w:r>
    </w:p>
    <w:p w14:paraId="22A80179" w14:textId="77777777" w:rsidR="00202E08" w:rsidRPr="00202E08" w:rsidRDefault="00202E08" w:rsidP="00B7560F">
      <w:pPr>
        <w:snapToGrid w:val="0"/>
        <w:rPr>
          <w:rFonts w:ascii="微軟正黑體" w:eastAsia="微軟正黑體" w:hAnsi="微軟正黑體"/>
        </w:rPr>
      </w:pPr>
      <w:r w:rsidRPr="00202E08">
        <w:rPr>
          <w:rFonts w:ascii="微軟正黑體" w:eastAsia="微軟正黑體" w:hAnsi="微軟正黑體"/>
        </w:rPr>
        <w:t xml:space="preserve">-------------------------------------------------------------------------------- </w:t>
      </w:r>
    </w:p>
    <w:p w14:paraId="224D3356" w14:textId="5F613612" w:rsidR="00202E08" w:rsidRPr="00202E08" w:rsidRDefault="00202E08" w:rsidP="00B7560F">
      <w:pPr>
        <w:snapToGrid w:val="0"/>
        <w:rPr>
          <w:rFonts w:ascii="微軟正黑體" w:eastAsia="微軟正黑體" w:hAnsi="微軟正黑體"/>
          <w:bdr w:val="single" w:sz="4" w:space="0" w:color="auto"/>
        </w:rPr>
      </w:pPr>
      <w:r w:rsidRPr="00202E08">
        <w:rPr>
          <w:rFonts w:ascii="微軟正黑體" w:eastAsia="微軟正黑體" w:hAnsi="微軟正黑體"/>
          <w:bdr w:val="single" w:sz="4" w:space="0" w:color="auto"/>
        </w:rPr>
        <w:t>二、 社會（S）面向的關鍵弱點與風險</w:t>
      </w:r>
      <w:proofErr w:type="gramStart"/>
      <w:r w:rsidRPr="00202E08">
        <w:rPr>
          <w:rFonts w:ascii="微軟正黑體" w:eastAsia="微軟正黑體" w:hAnsi="微軟正黑體"/>
          <w:bdr w:val="single" w:sz="4" w:space="0" w:color="auto"/>
        </w:rPr>
        <w:t>（</w:t>
      </w:r>
      <w:proofErr w:type="gramEnd"/>
      <w:r w:rsidRPr="00202E08">
        <w:rPr>
          <w:rFonts w:ascii="微軟正黑體" w:eastAsia="微軟正黑體" w:hAnsi="微軟正黑體"/>
          <w:bdr w:val="single" w:sz="4" w:space="0" w:color="auto"/>
        </w:rPr>
        <w:t>分數：7.6/10，權重 28%</w:t>
      </w:r>
      <w:proofErr w:type="gramStart"/>
      <w:r w:rsidR="00FD227B" w:rsidRPr="00A23C47">
        <w:rPr>
          <w:rFonts w:ascii="微軟正黑體" w:eastAsia="微軟正黑體" w:hAnsi="微軟正黑體"/>
          <w:bdr w:val="single" w:sz="4" w:space="0" w:color="auto"/>
        </w:rPr>
        <w:t>）</w:t>
      </w:r>
      <w:proofErr w:type="gramEnd"/>
      <w:r w:rsidR="00FD227B" w:rsidRPr="00A23C47">
        <w:rPr>
          <w:rFonts w:ascii="微軟正黑體" w:eastAsia="微軟正黑體" w:hAnsi="微軟正黑體" w:hint="eastAsia"/>
          <w:highlight w:val="yellow"/>
          <w:bdr w:val="single" w:sz="4" w:space="0" w:color="auto"/>
        </w:rPr>
        <w:t>目前數據僅到2023年</w:t>
      </w:r>
    </w:p>
    <w:p w14:paraId="06B71C73" w14:textId="77777777" w:rsidR="00202E08" w:rsidRPr="00202E08" w:rsidRDefault="00202E08" w:rsidP="00B7560F">
      <w:pPr>
        <w:snapToGrid w:val="0"/>
        <w:rPr>
          <w:rFonts w:ascii="微軟正黑體" w:eastAsia="微軟正黑體" w:hAnsi="微軟正黑體"/>
        </w:rPr>
      </w:pPr>
      <w:r w:rsidRPr="00202E08">
        <w:rPr>
          <w:rFonts w:ascii="微軟正黑體" w:eastAsia="微軟正黑體" w:hAnsi="微軟正黑體"/>
        </w:rPr>
        <w:t>TCC 在社會層面的表現強勁，分數（7.6）遠高於行業平均（4.2）。然而，仍存在具體的健康與安全風險。</w:t>
      </w:r>
    </w:p>
    <w:p w14:paraId="39CB0FB7" w14:textId="77777777" w:rsidR="00202E08" w:rsidRPr="00202E08" w:rsidRDefault="00202E08" w:rsidP="00B7560F">
      <w:pPr>
        <w:snapToGrid w:val="0"/>
        <w:rPr>
          <w:rFonts w:ascii="微軟正黑體" w:eastAsia="微軟正黑體" w:hAnsi="微軟正黑體"/>
          <w:b/>
          <w:bCs/>
        </w:rPr>
      </w:pPr>
      <w:r w:rsidRPr="00202E08">
        <w:rPr>
          <w:rFonts w:ascii="微軟正黑體" w:eastAsia="微軟正黑體" w:hAnsi="微軟正黑體"/>
          <w:b/>
          <w:bCs/>
        </w:rPr>
        <w:t>1. 健康與安全（Health &amp; Safety）</w:t>
      </w:r>
    </w:p>
    <w:p w14:paraId="3E26B234" w14:textId="30E0D392" w:rsidR="00202E08" w:rsidRPr="00202E08" w:rsidRDefault="00202E08" w:rsidP="00B7560F">
      <w:pPr>
        <w:snapToGrid w:val="0"/>
        <w:rPr>
          <w:rFonts w:ascii="微軟正黑體" w:eastAsia="微軟正黑體" w:hAnsi="微軟正黑體"/>
        </w:rPr>
      </w:pPr>
      <w:proofErr w:type="gramStart"/>
      <w:r w:rsidRPr="00202E08">
        <w:rPr>
          <w:rFonts w:ascii="微軟正黑體" w:eastAsia="微軟正黑體" w:hAnsi="微軟正黑體"/>
        </w:rPr>
        <w:t>•</w:t>
      </w:r>
      <w:proofErr w:type="gramEnd"/>
      <w:r w:rsidRPr="00202E08">
        <w:rPr>
          <w:rFonts w:ascii="微軟正黑體" w:eastAsia="微軟正黑體" w:hAnsi="微軟正黑體"/>
        </w:rPr>
        <w:t xml:space="preserve"> </w:t>
      </w:r>
      <w:r w:rsidR="00FD227B" w:rsidRPr="00FD227B">
        <w:rPr>
          <w:rFonts w:ascii="微軟正黑體" w:eastAsia="微軟正黑體" w:hAnsi="微軟正黑體"/>
        </w:rPr>
        <w:t>Risk Exposure</w:t>
      </w:r>
      <w:r w:rsidRPr="00202E08">
        <w:rPr>
          <w:rFonts w:ascii="微軟正黑體" w:eastAsia="微軟正黑體" w:hAnsi="微軟正黑體"/>
          <w:b/>
          <w:bCs/>
        </w:rPr>
        <w:t>潛在的事故風險：</w:t>
      </w:r>
      <w:r w:rsidRPr="00202E08">
        <w:rPr>
          <w:rFonts w:ascii="微軟正黑體" w:eastAsia="微軟正黑體" w:hAnsi="微軟正黑體"/>
        </w:rPr>
        <w:t xml:space="preserve"> 水泥製造活動通常會使員工面臨健康與安全風險。</w:t>
      </w:r>
    </w:p>
    <w:p w14:paraId="6D8F3CBF" w14:textId="77777777" w:rsidR="00202E08" w:rsidRPr="00202E08" w:rsidRDefault="00202E08" w:rsidP="00B7560F">
      <w:pPr>
        <w:snapToGrid w:val="0"/>
        <w:rPr>
          <w:rFonts w:ascii="微軟正黑體" w:eastAsia="微軟正黑體" w:hAnsi="微軟正黑體"/>
        </w:rPr>
      </w:pPr>
      <w:proofErr w:type="gramStart"/>
      <w:r w:rsidRPr="00202E08">
        <w:rPr>
          <w:rFonts w:ascii="微軟正黑體" w:eastAsia="微軟正黑體" w:hAnsi="微軟正黑體"/>
        </w:rPr>
        <w:t>•</w:t>
      </w:r>
      <w:proofErr w:type="gramEnd"/>
      <w:r w:rsidRPr="00202E08">
        <w:rPr>
          <w:rFonts w:ascii="微軟正黑體" w:eastAsia="微軟正黑體" w:hAnsi="微軟正黑體"/>
        </w:rPr>
        <w:t xml:space="preserve"> </w:t>
      </w:r>
      <w:r w:rsidRPr="00202E08">
        <w:rPr>
          <w:rFonts w:ascii="微軟正黑體" w:eastAsia="微軟正黑體" w:hAnsi="微軟正黑體"/>
          <w:b/>
          <w:bCs/>
        </w:rPr>
        <w:t>爭議事件：</w:t>
      </w:r>
      <w:r w:rsidRPr="00202E08">
        <w:rPr>
          <w:rFonts w:ascii="微軟正黑體" w:eastAsia="微軟正黑體" w:hAnsi="微軟正黑體"/>
        </w:rPr>
        <w:t xml:space="preserve"> 發生了一起</w:t>
      </w:r>
      <w:r w:rsidRPr="00202E08">
        <w:rPr>
          <w:rFonts w:ascii="微軟正黑體" w:eastAsia="微軟正黑體" w:hAnsi="微軟正黑體"/>
          <w:b/>
          <w:bCs/>
        </w:rPr>
        <w:t>輕微（Minor）電池廠爆炸和有毒氣體洩漏事件</w:t>
      </w:r>
      <w:r w:rsidRPr="00202E08">
        <w:rPr>
          <w:rFonts w:ascii="微軟正黑體" w:eastAsia="微軟正黑體" w:hAnsi="微軟正黑體"/>
        </w:rPr>
        <w:t>，造成 15 人受傷，居民要求遷廠。此事件目前狀態為「持續中」（Ongoing）。</w:t>
      </w:r>
    </w:p>
    <w:p w14:paraId="2B1A4CA5" w14:textId="77777777" w:rsidR="00202E08" w:rsidRPr="00202E08" w:rsidRDefault="00202E08" w:rsidP="00B7560F">
      <w:pPr>
        <w:snapToGrid w:val="0"/>
        <w:rPr>
          <w:rFonts w:ascii="微軟正黑體" w:eastAsia="微軟正黑體" w:hAnsi="微軟正黑體"/>
        </w:rPr>
      </w:pPr>
      <w:proofErr w:type="gramStart"/>
      <w:r w:rsidRPr="00202E08">
        <w:rPr>
          <w:rFonts w:ascii="微軟正黑體" w:eastAsia="微軟正黑體" w:hAnsi="微軟正黑體"/>
        </w:rPr>
        <w:t>•</w:t>
      </w:r>
      <w:proofErr w:type="gramEnd"/>
      <w:r w:rsidRPr="00202E08">
        <w:rPr>
          <w:rFonts w:ascii="微軟正黑體" w:eastAsia="微軟正黑體" w:hAnsi="微軟正黑體"/>
        </w:rPr>
        <w:t xml:space="preserve"> </w:t>
      </w:r>
      <w:r w:rsidRPr="00202E08">
        <w:rPr>
          <w:rFonts w:ascii="微軟正黑體" w:eastAsia="微軟正黑體" w:hAnsi="微軟正黑體"/>
          <w:b/>
          <w:bCs/>
        </w:rPr>
        <w:t>承包商死亡事故：</w:t>
      </w:r>
      <w:r w:rsidRPr="00202E08">
        <w:rPr>
          <w:rFonts w:ascii="微軟正黑體" w:eastAsia="微軟正黑體" w:hAnsi="微軟正黑體"/>
        </w:rPr>
        <w:t xml:space="preserve"> 雖然員工死亡人數為零，但在 2023 年、2021 年和 2020 </w:t>
      </w:r>
      <w:proofErr w:type="gramStart"/>
      <w:r w:rsidRPr="00202E08">
        <w:rPr>
          <w:rFonts w:ascii="微軟正黑體" w:eastAsia="微軟正黑體" w:hAnsi="微軟正黑體"/>
        </w:rPr>
        <w:t>年均有報告</w:t>
      </w:r>
      <w:proofErr w:type="gramEnd"/>
      <w:r w:rsidRPr="00202E08">
        <w:rPr>
          <w:rFonts w:ascii="微軟正黑體" w:eastAsia="微軟正黑體" w:hAnsi="微軟正黑體"/>
          <w:b/>
          <w:bCs/>
        </w:rPr>
        <w:t>承包商（Contractor）死亡事故</w:t>
      </w:r>
      <w:r w:rsidRPr="00202E08">
        <w:rPr>
          <w:rFonts w:ascii="微軟正黑體" w:eastAsia="微軟正黑體" w:hAnsi="微軟正黑體"/>
        </w:rPr>
        <w:t>（每年各 1 例）。</w:t>
      </w:r>
    </w:p>
    <w:p w14:paraId="2AFB2717" w14:textId="77777777" w:rsidR="00202E08" w:rsidRPr="00202E08" w:rsidRDefault="00202E08" w:rsidP="00B7560F">
      <w:pPr>
        <w:snapToGrid w:val="0"/>
        <w:rPr>
          <w:rFonts w:ascii="微軟正黑體" w:eastAsia="微軟正黑體" w:hAnsi="微軟正黑體"/>
          <w:b/>
          <w:bCs/>
        </w:rPr>
      </w:pPr>
      <w:r w:rsidRPr="00202E08">
        <w:rPr>
          <w:rFonts w:ascii="微軟正黑體" w:eastAsia="微軟正黑體" w:hAnsi="微軟正黑體"/>
          <w:b/>
          <w:bCs/>
        </w:rPr>
        <w:t>2. 勞工管理（Labor Management）</w:t>
      </w:r>
    </w:p>
    <w:p w14:paraId="00176C56" w14:textId="2247CEFB" w:rsidR="00202E08" w:rsidRDefault="00202E08" w:rsidP="00B7560F">
      <w:pPr>
        <w:snapToGrid w:val="0"/>
        <w:rPr>
          <w:rFonts w:ascii="微軟正黑體" w:eastAsia="微軟正黑體" w:hAnsi="微軟正黑體"/>
        </w:rPr>
      </w:pPr>
      <w:proofErr w:type="gramStart"/>
      <w:r w:rsidRPr="00202E08">
        <w:rPr>
          <w:rFonts w:ascii="微軟正黑體" w:eastAsia="微軟正黑體" w:hAnsi="微軟正黑體"/>
        </w:rPr>
        <w:t>•</w:t>
      </w:r>
      <w:proofErr w:type="gramEnd"/>
      <w:r w:rsidRPr="00202E08">
        <w:rPr>
          <w:rFonts w:ascii="微軟正黑體" w:eastAsia="微軟正黑體" w:hAnsi="微軟正黑體"/>
        </w:rPr>
        <w:t xml:space="preserve"> TCC 在勞工管理和激勵計劃的實施上領先於同業。</w:t>
      </w:r>
    </w:p>
    <w:p w14:paraId="37DC26A9" w14:textId="70BE3A7C" w:rsidR="00F0737F" w:rsidRPr="00202E08" w:rsidRDefault="00F0737F" w:rsidP="00B7560F">
      <w:pPr>
        <w:snapToGrid w:val="0"/>
        <w:rPr>
          <w:rFonts w:ascii="微軟正黑體" w:eastAsia="微軟正黑體" w:hAnsi="微軟正黑體" w:hint="eastAsia"/>
        </w:rPr>
      </w:pPr>
      <w:r w:rsidRPr="00F0737F">
        <w:rPr>
          <w:rFonts w:ascii="微軟正黑體" w:eastAsia="微軟正黑體" w:hAnsi="微軟正黑體"/>
        </w:rPr>
        <w:lastRenderedPageBreak/>
        <w:drawing>
          <wp:inline distT="0" distB="0" distL="0" distR="0" wp14:anchorId="446D8058" wp14:editId="37E18C95">
            <wp:extent cx="3410125" cy="2514729"/>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10125" cy="2514729"/>
                    </a:xfrm>
                    <a:prstGeom prst="rect">
                      <a:avLst/>
                    </a:prstGeom>
                  </pic:spPr>
                </pic:pic>
              </a:graphicData>
            </a:graphic>
          </wp:inline>
        </w:drawing>
      </w:r>
      <w:r w:rsidRPr="00F0737F">
        <w:rPr>
          <w:rFonts w:ascii="微軟正黑體" w:eastAsia="微軟正黑體" w:hAnsi="微軟正黑體"/>
        </w:rPr>
        <w:drawing>
          <wp:inline distT="0" distB="0" distL="0" distR="0" wp14:anchorId="4CD697E3" wp14:editId="5F8DCE95">
            <wp:extent cx="3416476" cy="2324219"/>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16476" cy="2324219"/>
                    </a:xfrm>
                    <a:prstGeom prst="rect">
                      <a:avLst/>
                    </a:prstGeom>
                  </pic:spPr>
                </pic:pic>
              </a:graphicData>
            </a:graphic>
          </wp:inline>
        </w:drawing>
      </w:r>
    </w:p>
    <w:p w14:paraId="1DA3BD97" w14:textId="77777777" w:rsidR="00202E08" w:rsidRPr="00202E08" w:rsidRDefault="00202E08" w:rsidP="00B7560F">
      <w:pPr>
        <w:snapToGrid w:val="0"/>
        <w:rPr>
          <w:rFonts w:ascii="微軟正黑體" w:eastAsia="微軟正黑體" w:hAnsi="微軟正黑體"/>
        </w:rPr>
      </w:pPr>
      <w:r w:rsidRPr="00202E08">
        <w:rPr>
          <w:rFonts w:ascii="微軟正黑體" w:eastAsia="微軟正黑體" w:hAnsi="微軟正黑體"/>
        </w:rPr>
        <w:t xml:space="preserve">-------------------------------------------------------------------------------- </w:t>
      </w:r>
    </w:p>
    <w:p w14:paraId="2DAD12FD" w14:textId="77777777" w:rsidR="00202E08" w:rsidRPr="00202E08" w:rsidRDefault="00202E08" w:rsidP="00B7560F">
      <w:pPr>
        <w:snapToGrid w:val="0"/>
        <w:rPr>
          <w:rFonts w:ascii="微軟正黑體" w:eastAsia="微軟正黑體" w:hAnsi="微軟正黑體"/>
          <w:b/>
          <w:bCs/>
          <w:bdr w:val="single" w:sz="4" w:space="0" w:color="auto"/>
        </w:rPr>
      </w:pPr>
      <w:r w:rsidRPr="00202E08">
        <w:rPr>
          <w:rFonts w:ascii="微軟正黑體" w:eastAsia="微軟正黑體" w:hAnsi="微軟正黑體"/>
          <w:b/>
          <w:bCs/>
          <w:bdr w:val="single" w:sz="4" w:space="0" w:color="auto"/>
        </w:rPr>
        <w:t>三、 治理（G）面向的關鍵弱點與風險</w:t>
      </w:r>
      <w:proofErr w:type="gramStart"/>
      <w:r w:rsidRPr="00202E08">
        <w:rPr>
          <w:rFonts w:ascii="微軟正黑體" w:eastAsia="微軟正黑體" w:hAnsi="微軟正黑體"/>
          <w:b/>
          <w:bCs/>
          <w:bdr w:val="single" w:sz="4" w:space="0" w:color="auto"/>
        </w:rPr>
        <w:t>（</w:t>
      </w:r>
      <w:proofErr w:type="gramEnd"/>
      <w:r w:rsidRPr="00202E08">
        <w:rPr>
          <w:rFonts w:ascii="微軟正黑體" w:eastAsia="微軟正黑體" w:hAnsi="微軟正黑體"/>
          <w:b/>
          <w:bCs/>
          <w:bdr w:val="single" w:sz="4" w:space="0" w:color="auto"/>
        </w:rPr>
        <w:t>分數：4.0/10，權重 33%</w:t>
      </w:r>
      <w:proofErr w:type="gramStart"/>
      <w:r w:rsidRPr="00202E08">
        <w:rPr>
          <w:rFonts w:ascii="微軟正黑體" w:eastAsia="微軟正黑體" w:hAnsi="微軟正黑體"/>
          <w:b/>
          <w:bCs/>
          <w:bdr w:val="single" w:sz="4" w:space="0" w:color="auto"/>
        </w:rPr>
        <w:t>）</w:t>
      </w:r>
      <w:proofErr w:type="gramEnd"/>
    </w:p>
    <w:p w14:paraId="63BE3FD0" w14:textId="6B611927" w:rsidR="00202E08" w:rsidRPr="00202E08" w:rsidRDefault="00202E08" w:rsidP="00B7560F">
      <w:pPr>
        <w:snapToGrid w:val="0"/>
        <w:rPr>
          <w:rFonts w:ascii="微軟正黑體" w:eastAsia="微軟正黑體" w:hAnsi="微軟正黑體"/>
        </w:rPr>
      </w:pPr>
      <w:r w:rsidRPr="00202E08">
        <w:rPr>
          <w:rFonts w:ascii="微軟正黑體" w:eastAsia="微軟正黑體" w:hAnsi="微軟正黑體"/>
        </w:rPr>
        <w:t>TCC 的公司治理實踐落後於大多數全球同業。</w:t>
      </w:r>
    </w:p>
    <w:p w14:paraId="14A2E87B" w14:textId="77777777" w:rsidR="00202E08" w:rsidRPr="00202E08" w:rsidRDefault="00202E08" w:rsidP="00B7560F">
      <w:pPr>
        <w:snapToGrid w:val="0"/>
        <w:rPr>
          <w:rFonts w:ascii="微軟正黑體" w:eastAsia="微軟正黑體" w:hAnsi="微軟正黑體"/>
          <w:b/>
          <w:bCs/>
        </w:rPr>
      </w:pPr>
      <w:r w:rsidRPr="00202E08">
        <w:rPr>
          <w:rFonts w:ascii="微軟正黑體" w:eastAsia="微軟正黑體" w:hAnsi="微軟正黑體"/>
          <w:b/>
          <w:bCs/>
        </w:rPr>
        <w:t>1. 公司治理（Corporate Governance）</w:t>
      </w:r>
    </w:p>
    <w:p w14:paraId="48BD68F6" w14:textId="77777777" w:rsidR="00202E08" w:rsidRPr="00202E08" w:rsidRDefault="00202E08" w:rsidP="00B7560F">
      <w:pPr>
        <w:snapToGrid w:val="0"/>
        <w:rPr>
          <w:rFonts w:ascii="微軟正黑體" w:eastAsia="微軟正黑體" w:hAnsi="微軟正黑體"/>
        </w:rPr>
      </w:pPr>
      <w:r w:rsidRPr="00202E08">
        <w:rPr>
          <w:rFonts w:ascii="微軟正黑體" w:eastAsia="微軟正黑體" w:hAnsi="微軟正黑體"/>
          <w:b/>
          <w:bCs/>
          <w:color w:val="FF0000"/>
        </w:rPr>
        <w:t>公司治理分數為 4.0，遠低於行業平均（5.8）</w:t>
      </w:r>
      <w:r w:rsidRPr="00202E08">
        <w:rPr>
          <w:rFonts w:ascii="微軟正黑體" w:eastAsia="微軟正黑體" w:hAnsi="微軟正黑體"/>
        </w:rPr>
        <w:t>，反映出與董事會相關的關鍵問題。</w:t>
      </w:r>
    </w:p>
    <w:p w14:paraId="28E402A1" w14:textId="563421F6" w:rsidR="00870152" w:rsidRDefault="00870152" w:rsidP="00870152">
      <w:pPr>
        <w:snapToGrid w:val="0"/>
        <w:rPr>
          <w:rFonts w:ascii="微軟正黑體" w:eastAsia="微軟正黑體" w:hAnsi="微軟正黑體" w:hint="eastAsia"/>
        </w:rPr>
      </w:pPr>
      <w:r>
        <w:rPr>
          <w:rFonts w:ascii="微軟正黑體" w:eastAsia="微軟正黑體" w:hAnsi="微軟正黑體" w:hint="eastAsia"/>
        </w:rPr>
        <w:t>台泥</w:t>
      </w:r>
      <w:r w:rsidRPr="00870152">
        <w:rPr>
          <w:rFonts w:ascii="微軟正黑體" w:eastAsia="微軟正黑體" w:hAnsi="微軟正黑體"/>
        </w:rPr>
        <w:t>在「公司治理」(Corporate Governance) 與「公司行為」(Corporate Behavior) 這兩項治理指標上的表現呈現顯著的差異。整體而言，TCC 在</w:t>
      </w:r>
      <w:r w:rsidRPr="00870152">
        <w:rPr>
          <w:rFonts w:ascii="微軟正黑體" w:eastAsia="微軟正黑體" w:hAnsi="微軟正黑體"/>
          <w:b/>
          <w:bCs/>
        </w:rPr>
        <w:t>公司治理方面表現不佳且落後於同業</w:t>
      </w:r>
      <w:r w:rsidRPr="00870152">
        <w:rPr>
          <w:rFonts w:ascii="微軟正黑體" w:eastAsia="微軟正黑體" w:hAnsi="微軟正黑體"/>
        </w:rPr>
        <w:t>，但在</w:t>
      </w:r>
      <w:r w:rsidRPr="00870152">
        <w:rPr>
          <w:rFonts w:ascii="微軟正黑體" w:eastAsia="微軟正黑體" w:hAnsi="微軟正黑體"/>
          <w:b/>
          <w:bCs/>
        </w:rPr>
        <w:t>公司行為方面則略高於行業平均水準</w:t>
      </w:r>
      <w:r w:rsidRPr="00870152">
        <w:rPr>
          <w:rFonts w:ascii="微軟正黑體" w:eastAsia="微軟正黑體" w:hAnsi="微軟正黑體"/>
        </w:rPr>
        <w:t>。</w:t>
      </w:r>
    </w:p>
    <w:p w14:paraId="7AF71F3D" w14:textId="77777777" w:rsidR="00870152" w:rsidRPr="00870152" w:rsidRDefault="00870152" w:rsidP="00870152">
      <w:pPr>
        <w:snapToGrid w:val="0"/>
        <w:rPr>
          <w:rFonts w:ascii="微軟正黑體" w:eastAsia="微軟正黑體" w:hAnsi="微軟正黑體"/>
        </w:rPr>
      </w:pPr>
      <w:proofErr w:type="gramStart"/>
      <w:r w:rsidRPr="00870152">
        <w:rPr>
          <w:rFonts w:ascii="微軟正黑體" w:eastAsia="微軟正黑體" w:hAnsi="微軟正黑體"/>
        </w:rPr>
        <w:t>•</w:t>
      </w:r>
      <w:proofErr w:type="gramEnd"/>
      <w:r w:rsidRPr="00870152">
        <w:rPr>
          <w:rFonts w:ascii="微軟正黑體" w:eastAsia="微軟正黑體" w:hAnsi="微軟正黑體"/>
        </w:rPr>
        <w:t xml:space="preserve"> </w:t>
      </w:r>
      <w:r w:rsidRPr="00870152">
        <w:rPr>
          <w:rFonts w:ascii="微軟正黑體" w:eastAsia="微軟正黑體" w:hAnsi="微軟正黑體"/>
          <w:b/>
          <w:bCs/>
        </w:rPr>
        <w:t>相對同業表現：</w:t>
      </w:r>
      <w:r w:rsidRPr="00870152">
        <w:rPr>
          <w:rFonts w:ascii="微軟正黑體" w:eastAsia="微軟正黑體" w:hAnsi="微軟正黑體"/>
        </w:rPr>
        <w:t xml:space="preserve"> TCC 的公司治理實踐</w:t>
      </w:r>
      <w:r w:rsidRPr="00870152">
        <w:rPr>
          <w:rFonts w:ascii="微軟正黑體" w:eastAsia="微軟正黑體" w:hAnsi="微軟正黑體"/>
          <w:b/>
          <w:bCs/>
        </w:rPr>
        <w:t>落後於大多數全球同業</w:t>
      </w:r>
      <w:r w:rsidRPr="00870152">
        <w:rPr>
          <w:rFonts w:ascii="微軟正黑體" w:eastAsia="微軟正黑體" w:hAnsi="微軟正黑體"/>
        </w:rPr>
        <w:t>，並且分數落入相對於全球同業的較低評分區間，這表明在一個或多個領域存在重大風險。</w:t>
      </w:r>
    </w:p>
    <w:p w14:paraId="58DE5E53" w14:textId="77777777" w:rsidR="00870152" w:rsidRPr="00870152" w:rsidRDefault="00870152" w:rsidP="00870152">
      <w:pPr>
        <w:snapToGrid w:val="0"/>
        <w:rPr>
          <w:rFonts w:ascii="微軟正黑體" w:eastAsia="微軟正黑體" w:hAnsi="微軟正黑體"/>
        </w:rPr>
      </w:pPr>
      <w:r w:rsidRPr="00870152">
        <w:rPr>
          <w:rFonts w:ascii="微軟正黑體" w:eastAsia="微軟正黑體" w:hAnsi="微軟正黑體"/>
          <w:b/>
          <w:bCs/>
        </w:rPr>
        <w:t>關鍵關注領域及扣分項目：</w:t>
      </w:r>
      <w:r w:rsidRPr="00870152">
        <w:rPr>
          <w:rFonts w:ascii="微軟正黑體" w:eastAsia="微軟正黑體" w:hAnsi="微軟正黑體"/>
        </w:rPr>
        <w:t xml:space="preserve"> 公司治理的關鍵關注領域與董事會相關。治理支柱分數 (Governance Pillar Score) 的計算方式是 10 </w:t>
      </w:r>
      <w:r w:rsidRPr="00870152">
        <w:rPr>
          <w:rFonts w:ascii="微軟正黑體" w:eastAsia="微軟正黑體" w:hAnsi="微軟正黑體"/>
        </w:rPr>
        <w:lastRenderedPageBreak/>
        <w:t>減去公司治理和公司行為的扣分總和。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0"/>
        <w:gridCol w:w="1762"/>
        <w:gridCol w:w="9326"/>
      </w:tblGrid>
      <w:tr w:rsidR="00506419" w:rsidRPr="00870152" w14:paraId="61023859" w14:textId="77777777" w:rsidTr="00870152">
        <w:tc>
          <w:tcPr>
            <w:tcW w:w="0" w:type="auto"/>
            <w:vAlign w:val="center"/>
            <w:hideMark/>
          </w:tcPr>
          <w:p w14:paraId="65D572B0" w14:textId="77777777" w:rsidR="00506419" w:rsidRPr="00870152" w:rsidRDefault="00506419" w:rsidP="00870152">
            <w:pPr>
              <w:snapToGrid w:val="0"/>
              <w:rPr>
                <w:rFonts w:ascii="微軟正黑體" w:eastAsia="微軟正黑體" w:hAnsi="微軟正黑體"/>
              </w:rPr>
            </w:pPr>
            <w:r w:rsidRPr="00870152">
              <w:rPr>
                <w:rFonts w:ascii="微軟正黑體" w:eastAsia="微軟正黑體" w:hAnsi="微軟正黑體"/>
              </w:rPr>
              <w:t>主題</w:t>
            </w:r>
          </w:p>
        </w:tc>
        <w:tc>
          <w:tcPr>
            <w:tcW w:w="0" w:type="auto"/>
            <w:vAlign w:val="center"/>
            <w:hideMark/>
          </w:tcPr>
          <w:p w14:paraId="489DB04A" w14:textId="77777777" w:rsidR="00506419" w:rsidRPr="00870152" w:rsidRDefault="00506419" w:rsidP="00870152">
            <w:pPr>
              <w:snapToGrid w:val="0"/>
              <w:rPr>
                <w:rFonts w:ascii="微軟正黑體" w:eastAsia="微軟正黑體" w:hAnsi="微軟正黑體"/>
              </w:rPr>
            </w:pPr>
            <w:r w:rsidRPr="00870152">
              <w:rPr>
                <w:rFonts w:ascii="微軟正黑體" w:eastAsia="微軟正黑體" w:hAnsi="微軟正黑體"/>
              </w:rPr>
              <w:t>全球百分位排名</w:t>
            </w:r>
          </w:p>
        </w:tc>
        <w:tc>
          <w:tcPr>
            <w:tcW w:w="0" w:type="auto"/>
            <w:vAlign w:val="center"/>
            <w:hideMark/>
          </w:tcPr>
          <w:p w14:paraId="3FEC22DC" w14:textId="77777777" w:rsidR="00506419" w:rsidRPr="00870152" w:rsidRDefault="00506419" w:rsidP="00870152">
            <w:pPr>
              <w:snapToGrid w:val="0"/>
              <w:rPr>
                <w:rFonts w:ascii="微軟正黑體" w:eastAsia="微軟正黑體" w:hAnsi="微軟正黑體"/>
              </w:rPr>
            </w:pPr>
            <w:r w:rsidRPr="00870152">
              <w:rPr>
                <w:rFonts w:ascii="微軟正黑體" w:eastAsia="微軟正黑體" w:hAnsi="微軟正黑體"/>
              </w:rPr>
              <w:t>關鍵問題/指標 (Key Areas of Concern)</w:t>
            </w:r>
          </w:p>
        </w:tc>
      </w:tr>
      <w:tr w:rsidR="00506419" w:rsidRPr="00870152" w14:paraId="092794D1" w14:textId="77777777" w:rsidTr="00870152">
        <w:tc>
          <w:tcPr>
            <w:tcW w:w="0" w:type="auto"/>
            <w:vAlign w:val="center"/>
            <w:hideMark/>
          </w:tcPr>
          <w:p w14:paraId="2D3893C9" w14:textId="77777777" w:rsidR="00506419" w:rsidRPr="00870152" w:rsidRDefault="00506419" w:rsidP="00870152">
            <w:pPr>
              <w:snapToGrid w:val="0"/>
              <w:rPr>
                <w:rFonts w:ascii="微軟正黑體" w:eastAsia="微軟正黑體" w:hAnsi="微軟正黑體"/>
              </w:rPr>
            </w:pPr>
            <w:r w:rsidRPr="00870152">
              <w:rPr>
                <w:rFonts w:ascii="微軟正黑體" w:eastAsia="微軟正黑體" w:hAnsi="微軟正黑體"/>
                <w:b/>
                <w:bCs/>
              </w:rPr>
              <w:t>董事會 (Board)</w:t>
            </w:r>
          </w:p>
        </w:tc>
        <w:tc>
          <w:tcPr>
            <w:tcW w:w="0" w:type="auto"/>
            <w:vAlign w:val="center"/>
            <w:hideMark/>
          </w:tcPr>
          <w:p w14:paraId="6E8A5D9C" w14:textId="77777777" w:rsidR="00506419" w:rsidRPr="00870152" w:rsidRDefault="00506419" w:rsidP="00870152">
            <w:pPr>
              <w:snapToGrid w:val="0"/>
              <w:rPr>
                <w:rFonts w:ascii="微軟正黑體" w:eastAsia="微軟正黑體" w:hAnsi="微軟正黑體"/>
              </w:rPr>
            </w:pPr>
            <w:r w:rsidRPr="00870152">
              <w:rPr>
                <w:rFonts w:ascii="微軟正黑體" w:eastAsia="微軟正黑體" w:hAnsi="微軟正黑體"/>
              </w:rPr>
              <w:t>19th (Below Average)</w:t>
            </w:r>
          </w:p>
        </w:tc>
        <w:tc>
          <w:tcPr>
            <w:tcW w:w="0" w:type="auto"/>
            <w:vAlign w:val="center"/>
            <w:hideMark/>
          </w:tcPr>
          <w:p w14:paraId="2E22D3E4" w14:textId="46CBB6EB" w:rsidR="00506419" w:rsidRPr="00870152" w:rsidRDefault="00506419" w:rsidP="00870152">
            <w:pPr>
              <w:snapToGrid w:val="0"/>
              <w:rPr>
                <w:rFonts w:ascii="微軟正黑體" w:eastAsia="微軟正黑體" w:hAnsi="微軟正黑體"/>
              </w:rPr>
            </w:pPr>
            <w:r w:rsidRPr="009B0538">
              <w:rPr>
                <w:rFonts w:ascii="微軟正黑體" w:eastAsia="微軟正黑體" w:hAnsi="微軟正黑體" w:hint="eastAsia"/>
              </w:rPr>
              <w:t>過多非執行董事兼任其他公開董事職位</w:t>
            </w:r>
            <w:r w:rsidRPr="00870152">
              <w:rPr>
                <w:rFonts w:ascii="微軟正黑體" w:eastAsia="微軟正黑體" w:hAnsi="微軟正黑體" w:hint="eastAsia"/>
              </w:rPr>
              <w:t>、董事會對其他利益的獨立性、關聯交易、對董事的顯著反對票等指標而調整治理分數</w:t>
            </w:r>
          </w:p>
        </w:tc>
      </w:tr>
      <w:tr w:rsidR="00506419" w:rsidRPr="00870152" w14:paraId="508BBFD9" w14:textId="77777777" w:rsidTr="00870152">
        <w:tc>
          <w:tcPr>
            <w:tcW w:w="0" w:type="auto"/>
            <w:vAlign w:val="center"/>
            <w:hideMark/>
          </w:tcPr>
          <w:p w14:paraId="4E84D83D" w14:textId="77777777" w:rsidR="00506419" w:rsidRPr="00870152" w:rsidRDefault="00506419" w:rsidP="00870152">
            <w:pPr>
              <w:snapToGrid w:val="0"/>
              <w:rPr>
                <w:rFonts w:ascii="微軟正黑體" w:eastAsia="微軟正黑體" w:hAnsi="微軟正黑體"/>
              </w:rPr>
            </w:pPr>
            <w:r w:rsidRPr="00870152">
              <w:rPr>
                <w:rFonts w:ascii="微軟正黑體" w:eastAsia="微軟正黑體" w:hAnsi="微軟正黑體"/>
                <w:b/>
                <w:bCs/>
              </w:rPr>
              <w:t>薪酬 (Pay)</w:t>
            </w:r>
          </w:p>
        </w:tc>
        <w:tc>
          <w:tcPr>
            <w:tcW w:w="0" w:type="auto"/>
            <w:vAlign w:val="center"/>
            <w:hideMark/>
          </w:tcPr>
          <w:p w14:paraId="59686C7B" w14:textId="77777777" w:rsidR="00506419" w:rsidRPr="00870152" w:rsidRDefault="00506419" w:rsidP="00870152">
            <w:pPr>
              <w:snapToGrid w:val="0"/>
              <w:rPr>
                <w:rFonts w:ascii="微軟正黑體" w:eastAsia="微軟正黑體" w:hAnsi="微軟正黑體"/>
              </w:rPr>
            </w:pPr>
            <w:r w:rsidRPr="00870152">
              <w:rPr>
                <w:rFonts w:ascii="微軟正黑體" w:eastAsia="微軟正黑體" w:hAnsi="微軟正黑體"/>
              </w:rPr>
              <w:t>21st (Below Average)</w:t>
            </w:r>
          </w:p>
        </w:tc>
        <w:tc>
          <w:tcPr>
            <w:tcW w:w="0" w:type="auto"/>
            <w:vAlign w:val="center"/>
            <w:hideMark/>
          </w:tcPr>
          <w:p w14:paraId="7D08AAC2" w14:textId="77777777" w:rsidR="00506419" w:rsidRPr="00870152" w:rsidRDefault="00506419" w:rsidP="00870152">
            <w:pPr>
              <w:snapToGrid w:val="0"/>
              <w:rPr>
                <w:rFonts w:ascii="微軟正黑體" w:eastAsia="微軟正黑體" w:hAnsi="微軟正黑體"/>
              </w:rPr>
            </w:pPr>
            <w:r w:rsidRPr="00870152">
              <w:rPr>
                <w:rFonts w:ascii="微軟正黑體" w:eastAsia="微軟正黑體" w:hAnsi="微軟正黑體"/>
              </w:rPr>
              <w:t>缺乏對高階主管薪酬的詳細揭露 (Executive Pay Disclosure)；以及缺乏有效的股票所有權指引。</w:t>
            </w:r>
          </w:p>
        </w:tc>
      </w:tr>
      <w:tr w:rsidR="00506419" w:rsidRPr="00870152" w14:paraId="42D7D19E" w14:textId="77777777" w:rsidTr="00870152">
        <w:tc>
          <w:tcPr>
            <w:tcW w:w="0" w:type="auto"/>
            <w:vAlign w:val="center"/>
            <w:hideMark/>
          </w:tcPr>
          <w:p w14:paraId="1C4BCCEA" w14:textId="77777777" w:rsidR="00506419" w:rsidRPr="00870152" w:rsidRDefault="00506419" w:rsidP="00870152">
            <w:pPr>
              <w:snapToGrid w:val="0"/>
              <w:rPr>
                <w:rFonts w:ascii="微軟正黑體" w:eastAsia="微軟正黑體" w:hAnsi="微軟正黑體"/>
              </w:rPr>
            </w:pPr>
            <w:r w:rsidRPr="00870152">
              <w:rPr>
                <w:rFonts w:ascii="微軟正黑體" w:eastAsia="微軟正黑體" w:hAnsi="微軟正黑體"/>
                <w:b/>
                <w:bCs/>
              </w:rPr>
              <w:t>所有權與控制 (Ownership &amp; Control)</w:t>
            </w:r>
          </w:p>
        </w:tc>
        <w:tc>
          <w:tcPr>
            <w:tcW w:w="0" w:type="auto"/>
            <w:vAlign w:val="center"/>
            <w:hideMark/>
          </w:tcPr>
          <w:p w14:paraId="2300E1C2" w14:textId="77777777" w:rsidR="00506419" w:rsidRPr="00870152" w:rsidRDefault="00506419" w:rsidP="00870152">
            <w:pPr>
              <w:snapToGrid w:val="0"/>
              <w:rPr>
                <w:rFonts w:ascii="微軟正黑體" w:eastAsia="微軟正黑體" w:hAnsi="微軟正黑體"/>
              </w:rPr>
            </w:pPr>
            <w:r w:rsidRPr="00870152">
              <w:rPr>
                <w:rFonts w:ascii="微軟正黑體" w:eastAsia="微軟正黑體" w:hAnsi="微軟正黑體"/>
              </w:rPr>
              <w:t>23rd (Below Average)</w:t>
            </w:r>
          </w:p>
        </w:tc>
        <w:tc>
          <w:tcPr>
            <w:tcW w:w="0" w:type="auto"/>
            <w:vAlign w:val="center"/>
            <w:hideMark/>
          </w:tcPr>
          <w:p w14:paraId="32716260" w14:textId="77777777" w:rsidR="00506419" w:rsidRPr="00870152" w:rsidRDefault="00506419" w:rsidP="00870152">
            <w:pPr>
              <w:snapToGrid w:val="0"/>
              <w:rPr>
                <w:rFonts w:ascii="微軟正黑體" w:eastAsia="微軟正黑體" w:hAnsi="微軟正黑體"/>
              </w:rPr>
            </w:pPr>
            <w:r w:rsidRPr="00870152">
              <w:rPr>
                <w:rFonts w:ascii="微軟正黑體" w:eastAsia="微軟正黑體" w:hAnsi="微軟正黑體"/>
              </w:rPr>
              <w:t>存在交叉持股關係 (Cross Shareholdings)。臺灣市場中，交叉持股的情況相對少見 (僅 7% 的公司被標記)，但 TCC 存在與嘉新水泥等公司的交叉持股安排。</w:t>
            </w:r>
          </w:p>
        </w:tc>
      </w:tr>
      <w:tr w:rsidR="00506419" w:rsidRPr="00870152" w14:paraId="5B5AC4AD" w14:textId="77777777" w:rsidTr="00870152">
        <w:tc>
          <w:tcPr>
            <w:tcW w:w="0" w:type="auto"/>
            <w:vAlign w:val="center"/>
            <w:hideMark/>
          </w:tcPr>
          <w:p w14:paraId="6C9184F2" w14:textId="77777777" w:rsidR="00506419" w:rsidRPr="00870152" w:rsidRDefault="00506419" w:rsidP="00870152">
            <w:pPr>
              <w:snapToGrid w:val="0"/>
              <w:rPr>
                <w:rFonts w:ascii="微軟正黑體" w:eastAsia="微軟正黑體" w:hAnsi="微軟正黑體"/>
              </w:rPr>
            </w:pPr>
            <w:r w:rsidRPr="00870152">
              <w:rPr>
                <w:rFonts w:ascii="微軟正黑體" w:eastAsia="微軟正黑體" w:hAnsi="微軟正黑體"/>
                <w:b/>
                <w:bCs/>
              </w:rPr>
              <w:t>會計 (Accounting)</w:t>
            </w:r>
          </w:p>
        </w:tc>
        <w:tc>
          <w:tcPr>
            <w:tcW w:w="0" w:type="auto"/>
            <w:vAlign w:val="center"/>
            <w:hideMark/>
          </w:tcPr>
          <w:p w14:paraId="25A61CFF" w14:textId="77777777" w:rsidR="00506419" w:rsidRPr="00870152" w:rsidRDefault="00506419" w:rsidP="00870152">
            <w:pPr>
              <w:snapToGrid w:val="0"/>
              <w:rPr>
                <w:rFonts w:ascii="微軟正黑體" w:eastAsia="微軟正黑體" w:hAnsi="微軟正黑體"/>
              </w:rPr>
            </w:pPr>
            <w:r w:rsidRPr="00870152">
              <w:rPr>
                <w:rFonts w:ascii="微軟正黑體" w:eastAsia="微軟正黑體" w:hAnsi="微軟正黑體"/>
              </w:rPr>
              <w:t>42nd (Average)</w:t>
            </w:r>
          </w:p>
        </w:tc>
        <w:tc>
          <w:tcPr>
            <w:tcW w:w="0" w:type="auto"/>
            <w:vAlign w:val="center"/>
            <w:hideMark/>
          </w:tcPr>
          <w:p w14:paraId="2197E5E2" w14:textId="77777777" w:rsidR="00506419" w:rsidRPr="00870152" w:rsidRDefault="00506419" w:rsidP="00870152">
            <w:pPr>
              <w:snapToGrid w:val="0"/>
              <w:rPr>
                <w:rFonts w:ascii="微軟正黑體" w:eastAsia="微軟正黑體" w:hAnsi="微軟正黑體"/>
              </w:rPr>
            </w:pPr>
            <w:r w:rsidRPr="00870152">
              <w:rPr>
                <w:rFonts w:ascii="微軟正黑體" w:eastAsia="微軟正黑體" w:hAnsi="微軟正黑體"/>
              </w:rPr>
              <w:t>外部審計師任期 (Auditor Tenure)。</w:t>
            </w:r>
          </w:p>
        </w:tc>
      </w:tr>
    </w:tbl>
    <w:p w14:paraId="4437F5D1" w14:textId="77777777" w:rsidR="00870152" w:rsidRPr="00870152" w:rsidRDefault="00870152" w:rsidP="00870152">
      <w:pPr>
        <w:snapToGrid w:val="0"/>
        <w:rPr>
          <w:rFonts w:ascii="微軟正黑體" w:eastAsia="微軟正黑體" w:hAnsi="微軟正黑體"/>
        </w:rPr>
      </w:pPr>
      <w:r w:rsidRPr="00870152">
        <w:rPr>
          <w:rFonts w:ascii="微軟正黑體" w:eastAsia="微軟正黑體" w:hAnsi="微軟正黑體"/>
          <w:b/>
          <w:bCs/>
        </w:rPr>
        <w:t>董事會結構和股東滿意度問題：</w:t>
      </w:r>
    </w:p>
    <w:p w14:paraId="31DE2C04" w14:textId="77777777" w:rsidR="00870152" w:rsidRPr="00870152" w:rsidRDefault="00870152" w:rsidP="00870152">
      <w:pPr>
        <w:snapToGrid w:val="0"/>
        <w:rPr>
          <w:rFonts w:ascii="微軟正黑體" w:eastAsia="微軟正黑體" w:hAnsi="微軟正黑體"/>
        </w:rPr>
      </w:pPr>
      <w:proofErr w:type="gramStart"/>
      <w:r w:rsidRPr="00870152">
        <w:rPr>
          <w:rFonts w:ascii="微軟正黑體" w:eastAsia="微軟正黑體" w:hAnsi="微軟正黑體"/>
        </w:rPr>
        <w:t>•</w:t>
      </w:r>
      <w:proofErr w:type="gramEnd"/>
      <w:r w:rsidRPr="00870152">
        <w:rPr>
          <w:rFonts w:ascii="微軟正黑體" w:eastAsia="微軟正黑體" w:hAnsi="微軟正黑體"/>
        </w:rPr>
        <w:t xml:space="preserve"> TCC 的董事會</w:t>
      </w:r>
      <w:r w:rsidRPr="00870152">
        <w:rPr>
          <w:rFonts w:ascii="微軟正黑體" w:eastAsia="微軟正黑體" w:hAnsi="微軟正黑體"/>
          <w:b/>
          <w:bCs/>
        </w:rPr>
        <w:t>並非多數成員獨立於其他利益</w:t>
      </w:r>
      <w:r w:rsidRPr="00870152">
        <w:rPr>
          <w:rFonts w:ascii="微軟正黑體" w:eastAsia="微軟正黑體" w:hAnsi="微軟正黑體"/>
        </w:rPr>
        <w:t>，這反映在分數的</w:t>
      </w:r>
      <w:proofErr w:type="gramStart"/>
      <w:r w:rsidRPr="00870152">
        <w:rPr>
          <w:rFonts w:ascii="微軟正黑體" w:eastAsia="微軟正黑體" w:hAnsi="微軟正黑體"/>
        </w:rPr>
        <w:t>扣減上</w:t>
      </w:r>
      <w:proofErr w:type="gramEnd"/>
      <w:r w:rsidRPr="00870152">
        <w:rPr>
          <w:rFonts w:ascii="微軟正黑體" w:eastAsia="微軟正黑體" w:hAnsi="微軟正黑體"/>
        </w:rPr>
        <w:t>。</w:t>
      </w:r>
    </w:p>
    <w:p w14:paraId="334B6E2B" w14:textId="77777777" w:rsidR="00870152" w:rsidRPr="00870152" w:rsidRDefault="00870152" w:rsidP="00870152">
      <w:pPr>
        <w:snapToGrid w:val="0"/>
        <w:rPr>
          <w:rFonts w:ascii="微軟正黑體" w:eastAsia="微軟正黑體" w:hAnsi="微軟正黑體"/>
        </w:rPr>
      </w:pPr>
      <w:proofErr w:type="gramStart"/>
      <w:r w:rsidRPr="00870152">
        <w:rPr>
          <w:rFonts w:ascii="微軟正黑體" w:eastAsia="微軟正黑體" w:hAnsi="微軟正黑體"/>
          <w:highlight w:val="yellow"/>
        </w:rPr>
        <w:t>•</w:t>
      </w:r>
      <w:proofErr w:type="gramEnd"/>
      <w:r w:rsidRPr="00870152">
        <w:rPr>
          <w:rFonts w:ascii="微軟正黑體" w:eastAsia="微軟正黑體" w:hAnsi="微軟正黑體"/>
          <w:highlight w:val="yellow"/>
        </w:rPr>
        <w:t xml:space="preserve"> 在 2025 年的股東常會 (AGM) 上，有針對董事選舉的</w:t>
      </w:r>
      <w:r w:rsidRPr="00870152">
        <w:rPr>
          <w:rFonts w:ascii="微軟正黑體" w:eastAsia="微軟正黑體" w:hAnsi="微軟正黑體"/>
          <w:b/>
          <w:bCs/>
          <w:highlight w:val="yellow"/>
        </w:rPr>
        <w:t>顯著反對票</w:t>
      </w:r>
      <w:r w:rsidRPr="00870152">
        <w:rPr>
          <w:rFonts w:ascii="微軟正黑體" w:eastAsia="微軟正黑體" w:hAnsi="微軟正黑體"/>
          <w:highlight w:val="yellow"/>
        </w:rPr>
        <w:t>，這表明股東存在一些不滿。例如，Man-Jung Chan 在 2025 年的選舉中，獲得 79.8% 的贊成票，但有 20.2% 的反對、棄權或保留票。</w:t>
      </w:r>
    </w:p>
    <w:p w14:paraId="6FCE43DB" w14:textId="77777777" w:rsidR="00870152" w:rsidRPr="00870152" w:rsidRDefault="00870152" w:rsidP="00870152">
      <w:pPr>
        <w:snapToGrid w:val="0"/>
        <w:rPr>
          <w:rFonts w:ascii="微軟正黑體" w:eastAsia="微軟正黑體" w:hAnsi="微軟正黑體"/>
        </w:rPr>
      </w:pPr>
      <w:proofErr w:type="gramStart"/>
      <w:r w:rsidRPr="00870152">
        <w:rPr>
          <w:rFonts w:ascii="微軟正黑體" w:eastAsia="微軟正黑體" w:hAnsi="微軟正黑體"/>
        </w:rPr>
        <w:t>•</w:t>
      </w:r>
      <w:proofErr w:type="gramEnd"/>
      <w:r w:rsidRPr="00870152">
        <w:rPr>
          <w:rFonts w:ascii="微軟正黑體" w:eastAsia="微軟正黑體" w:hAnsi="微軟正黑體"/>
        </w:rPr>
        <w:t xml:space="preserve"> 該公司也曾因董事會可能涉及某些關聯方交易而被標記，這些交易可能與非持續性股東利益不符。在 2024 </w:t>
      </w:r>
      <w:proofErr w:type="gramStart"/>
      <w:r w:rsidRPr="00870152">
        <w:rPr>
          <w:rFonts w:ascii="微軟正黑體" w:eastAsia="微軟正黑體" w:hAnsi="微軟正黑體"/>
        </w:rPr>
        <w:t>財年</w:t>
      </w:r>
      <w:proofErr w:type="gramEnd"/>
      <w:r w:rsidRPr="00870152">
        <w:rPr>
          <w:rFonts w:ascii="微軟正黑體" w:eastAsia="微軟正黑體" w:hAnsi="微軟正黑體"/>
        </w:rPr>
        <w:t>，TCC 與關聯方的交易總價值</w:t>
      </w:r>
      <w:proofErr w:type="gramStart"/>
      <w:r w:rsidRPr="00870152">
        <w:rPr>
          <w:rFonts w:ascii="微軟正黑體" w:eastAsia="微軟正黑體" w:hAnsi="微軟正黑體"/>
        </w:rPr>
        <w:t>佔</w:t>
      </w:r>
      <w:proofErr w:type="gramEnd"/>
      <w:r w:rsidRPr="00870152">
        <w:rPr>
          <w:rFonts w:ascii="微軟正黑體" w:eastAsia="微軟正黑體" w:hAnsi="微軟正黑體"/>
        </w:rPr>
        <w:t>總收入的 1.844%。</w:t>
      </w:r>
    </w:p>
    <w:p w14:paraId="570E1966" w14:textId="77777777" w:rsidR="00870152" w:rsidRPr="00870152" w:rsidRDefault="00870152" w:rsidP="00870152">
      <w:pPr>
        <w:snapToGrid w:val="0"/>
        <w:rPr>
          <w:rFonts w:ascii="微軟正黑體" w:eastAsia="微軟正黑體" w:hAnsi="微軟正黑體"/>
        </w:rPr>
      </w:pPr>
      <w:r w:rsidRPr="00870152">
        <w:rPr>
          <w:rFonts w:ascii="微軟正黑體" w:eastAsia="微軟正黑體" w:hAnsi="微軟正黑體"/>
        </w:rPr>
        <w:t xml:space="preserve">-------------------------------------------------------------------------------- </w:t>
      </w:r>
    </w:p>
    <w:p w14:paraId="52F14D2C" w14:textId="77777777" w:rsidR="00870152" w:rsidRPr="00870152" w:rsidRDefault="00870152" w:rsidP="00870152">
      <w:pPr>
        <w:snapToGrid w:val="0"/>
        <w:rPr>
          <w:rFonts w:ascii="微軟正黑體" w:eastAsia="微軟正黑體" w:hAnsi="微軟正黑體"/>
        </w:rPr>
      </w:pPr>
      <w:r w:rsidRPr="00870152">
        <w:rPr>
          <w:rFonts w:ascii="微軟正黑體" w:eastAsia="微軟正黑體" w:hAnsi="微軟正黑體"/>
        </w:rPr>
        <w:t>2. 公司行為 (Corporate Behavior)</w:t>
      </w:r>
    </w:p>
    <w:p w14:paraId="0E2A7923" w14:textId="77777777" w:rsidR="00870152" w:rsidRPr="00870152" w:rsidRDefault="00870152" w:rsidP="00870152">
      <w:pPr>
        <w:snapToGrid w:val="0"/>
        <w:rPr>
          <w:rFonts w:ascii="微軟正黑體" w:eastAsia="微軟正黑體" w:hAnsi="微軟正黑體"/>
        </w:rPr>
      </w:pPr>
      <w:r w:rsidRPr="00870152">
        <w:rPr>
          <w:rFonts w:ascii="微軟正黑體" w:eastAsia="微軟正黑體" w:hAnsi="微軟正黑體"/>
          <w:b/>
          <w:bCs/>
        </w:rPr>
        <w:t>表現概況與評分：</w:t>
      </w:r>
      <w:r w:rsidRPr="00870152">
        <w:rPr>
          <w:rFonts w:ascii="微軟正黑體" w:eastAsia="微軟正黑體" w:hAnsi="微軟正黑體"/>
        </w:rPr>
        <w:t xml:space="preserve"> TCC 在公司行為方面的表現相對穩健，分數高於行業平均。</w:t>
      </w:r>
    </w:p>
    <w:p w14:paraId="0E75F9A0" w14:textId="77777777" w:rsidR="00870152" w:rsidRPr="00870152" w:rsidRDefault="00870152" w:rsidP="00870152">
      <w:pPr>
        <w:snapToGrid w:val="0"/>
        <w:rPr>
          <w:rFonts w:ascii="微軟正黑體" w:eastAsia="微軟正黑體" w:hAnsi="微軟正黑體"/>
        </w:rPr>
      </w:pPr>
      <w:proofErr w:type="gramStart"/>
      <w:r w:rsidRPr="00870152">
        <w:rPr>
          <w:rFonts w:ascii="微軟正黑體" w:eastAsia="微軟正黑體" w:hAnsi="微軟正黑體"/>
        </w:rPr>
        <w:t>•</w:t>
      </w:r>
      <w:proofErr w:type="gramEnd"/>
      <w:r w:rsidRPr="00870152">
        <w:rPr>
          <w:rFonts w:ascii="微軟正黑體" w:eastAsia="微軟正黑體" w:hAnsi="微軟正黑體"/>
        </w:rPr>
        <w:t xml:space="preserve"> </w:t>
      </w:r>
      <w:r w:rsidRPr="00870152">
        <w:rPr>
          <w:rFonts w:ascii="微軟正黑體" w:eastAsia="微軟正黑體" w:hAnsi="微軟正黑體"/>
          <w:b/>
          <w:bCs/>
        </w:rPr>
        <w:t>評分 (Score):</w:t>
      </w:r>
      <w:r w:rsidRPr="00870152">
        <w:rPr>
          <w:rFonts w:ascii="微軟正黑體" w:eastAsia="微軟正黑體" w:hAnsi="微軟正黑體"/>
        </w:rPr>
        <w:t xml:space="preserve"> 6.6 (滿分 10 分)。</w:t>
      </w:r>
    </w:p>
    <w:p w14:paraId="5EF634A8" w14:textId="77777777" w:rsidR="00870152" w:rsidRPr="00870152" w:rsidRDefault="00870152" w:rsidP="00870152">
      <w:pPr>
        <w:snapToGrid w:val="0"/>
        <w:rPr>
          <w:rFonts w:ascii="微軟正黑體" w:eastAsia="微軟正黑體" w:hAnsi="微軟正黑體"/>
        </w:rPr>
      </w:pPr>
      <w:proofErr w:type="gramStart"/>
      <w:r w:rsidRPr="00870152">
        <w:rPr>
          <w:rFonts w:ascii="微軟正黑體" w:eastAsia="微軟正黑體" w:hAnsi="微軟正黑體"/>
        </w:rPr>
        <w:lastRenderedPageBreak/>
        <w:t>•</w:t>
      </w:r>
      <w:proofErr w:type="gramEnd"/>
      <w:r w:rsidRPr="00870152">
        <w:rPr>
          <w:rFonts w:ascii="微軟正黑體" w:eastAsia="微軟正黑體" w:hAnsi="微軟正黑體"/>
        </w:rPr>
        <w:t xml:space="preserve"> </w:t>
      </w:r>
      <w:r w:rsidRPr="00870152">
        <w:rPr>
          <w:rFonts w:ascii="微軟正黑體" w:eastAsia="微軟正黑體" w:hAnsi="微軟正黑體"/>
          <w:b/>
          <w:bCs/>
        </w:rPr>
        <w:t>行業平均分 (Industry Average):</w:t>
      </w:r>
      <w:r w:rsidRPr="00870152">
        <w:rPr>
          <w:rFonts w:ascii="微軟正黑體" w:eastAsia="微軟正黑體" w:hAnsi="微軟正黑體"/>
        </w:rPr>
        <w:t xml:space="preserve"> 4.9。</w:t>
      </w:r>
    </w:p>
    <w:p w14:paraId="264F0074" w14:textId="77777777" w:rsidR="00870152" w:rsidRPr="00870152" w:rsidRDefault="00870152" w:rsidP="00870152">
      <w:pPr>
        <w:snapToGrid w:val="0"/>
        <w:rPr>
          <w:rFonts w:ascii="微軟正黑體" w:eastAsia="微軟正黑體" w:hAnsi="微軟正黑體"/>
        </w:rPr>
      </w:pPr>
      <w:proofErr w:type="gramStart"/>
      <w:r w:rsidRPr="00870152">
        <w:rPr>
          <w:rFonts w:ascii="微軟正黑體" w:eastAsia="微軟正黑體" w:hAnsi="微軟正黑體"/>
        </w:rPr>
        <w:t>•</w:t>
      </w:r>
      <w:proofErr w:type="gramEnd"/>
      <w:r w:rsidRPr="00870152">
        <w:rPr>
          <w:rFonts w:ascii="微軟正黑體" w:eastAsia="微軟正黑體" w:hAnsi="微軟正黑體"/>
        </w:rPr>
        <w:t xml:space="preserve"> </w:t>
      </w:r>
      <w:r w:rsidRPr="00870152">
        <w:rPr>
          <w:rFonts w:ascii="微軟正黑體" w:eastAsia="微軟正黑體" w:hAnsi="微軟正黑體"/>
          <w:b/>
          <w:bCs/>
        </w:rPr>
        <w:t>相對同業表現：</w:t>
      </w:r>
      <w:r w:rsidRPr="00870152">
        <w:rPr>
          <w:rFonts w:ascii="微軟正黑體" w:eastAsia="微軟正黑體" w:hAnsi="微軟正黑體"/>
        </w:rPr>
        <w:t xml:space="preserve"> 該公司在商業道德和反腐敗政策方面有詳細的證據，且分數相對於全球和本地同業均屬於</w:t>
      </w:r>
      <w:r w:rsidRPr="00870152">
        <w:rPr>
          <w:rFonts w:ascii="微軟正黑體" w:eastAsia="微軟正黑體" w:hAnsi="微軟正黑體"/>
          <w:b/>
          <w:bCs/>
        </w:rPr>
        <w:t>平均水準</w:t>
      </w:r>
      <w:r w:rsidRPr="00870152">
        <w:rPr>
          <w:rFonts w:ascii="微軟正黑體" w:eastAsia="微軟正黑體" w:hAnsi="微軟正黑體"/>
        </w:rPr>
        <w:t xml:space="preserve"> (Global Percentile Rank: 55th; Home Market Percentile Rank: 54th)。</w:t>
      </w:r>
    </w:p>
    <w:p w14:paraId="3FD11970" w14:textId="77777777" w:rsidR="00870152" w:rsidRPr="00870152" w:rsidRDefault="00870152" w:rsidP="00870152">
      <w:pPr>
        <w:snapToGrid w:val="0"/>
        <w:rPr>
          <w:rFonts w:ascii="微軟正黑體" w:eastAsia="微軟正黑體" w:hAnsi="微軟正黑體"/>
        </w:rPr>
      </w:pPr>
      <w:proofErr w:type="gramStart"/>
      <w:r w:rsidRPr="00870152">
        <w:rPr>
          <w:rFonts w:ascii="微軟正黑體" w:eastAsia="微軟正黑體" w:hAnsi="微軟正黑體"/>
        </w:rPr>
        <w:t>•</w:t>
      </w:r>
      <w:proofErr w:type="gramEnd"/>
      <w:r w:rsidRPr="00870152">
        <w:rPr>
          <w:rFonts w:ascii="微軟正黑體" w:eastAsia="微軟正黑體" w:hAnsi="微軟正黑體"/>
        </w:rPr>
        <w:t xml:space="preserve"> </w:t>
      </w:r>
      <w:r w:rsidRPr="00870152">
        <w:rPr>
          <w:rFonts w:ascii="微軟正黑體" w:eastAsia="微軟正黑體" w:hAnsi="微軟正黑體"/>
          <w:b/>
          <w:bCs/>
        </w:rPr>
        <w:t>評分趨勢：</w:t>
      </w:r>
      <w:r w:rsidRPr="00870152">
        <w:rPr>
          <w:rFonts w:ascii="微軟正黑體" w:eastAsia="微軟正黑體" w:hAnsi="微軟正黑體"/>
        </w:rPr>
        <w:t xml:space="preserve"> 評分自上次評級行動以來</w:t>
      </w:r>
      <w:r w:rsidRPr="00870152">
        <w:rPr>
          <w:rFonts w:ascii="微軟正黑體" w:eastAsia="微軟正黑體" w:hAnsi="微軟正黑體"/>
          <w:b/>
          <w:bCs/>
        </w:rPr>
        <w:t>沒有變化</w:t>
      </w:r>
      <w:r w:rsidRPr="00870152">
        <w:rPr>
          <w:rFonts w:ascii="微軟正黑體" w:eastAsia="微軟正黑體" w:hAnsi="微軟正黑體"/>
        </w:rPr>
        <w:t xml:space="preserve"> (0.0)。</w:t>
      </w:r>
    </w:p>
    <w:p w14:paraId="53C9B979" w14:textId="77777777" w:rsidR="00870152" w:rsidRPr="00870152" w:rsidRDefault="00870152" w:rsidP="00870152">
      <w:pPr>
        <w:snapToGrid w:val="0"/>
        <w:rPr>
          <w:rFonts w:ascii="微軟正黑體" w:eastAsia="微軟正黑體" w:hAnsi="微軟正黑體"/>
        </w:rPr>
      </w:pPr>
      <w:r w:rsidRPr="00870152">
        <w:rPr>
          <w:rFonts w:ascii="微軟正黑體" w:eastAsia="微軟正黑體" w:hAnsi="微軟正黑體"/>
          <w:b/>
          <w:bCs/>
        </w:rPr>
        <w:t>關鍵關注領域及扣分項目：</w:t>
      </w:r>
      <w:r w:rsidRPr="00870152">
        <w:rPr>
          <w:rFonts w:ascii="微軟正黑體" w:eastAsia="微軟正黑體" w:hAnsi="微軟正黑體"/>
        </w:rPr>
        <w:t xml:space="preserve"> 雖然整體表現尚可，但仍存在扣分項。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4"/>
        <w:gridCol w:w="2281"/>
        <w:gridCol w:w="6150"/>
      </w:tblGrid>
      <w:tr w:rsidR="00EB232B" w:rsidRPr="00870152" w14:paraId="5F4D3697" w14:textId="77777777" w:rsidTr="00870152">
        <w:tc>
          <w:tcPr>
            <w:tcW w:w="0" w:type="auto"/>
            <w:vAlign w:val="center"/>
            <w:hideMark/>
          </w:tcPr>
          <w:p w14:paraId="7CDD4459" w14:textId="77777777" w:rsidR="00EB232B" w:rsidRPr="00870152" w:rsidRDefault="00EB232B" w:rsidP="00870152">
            <w:pPr>
              <w:snapToGrid w:val="0"/>
              <w:rPr>
                <w:rFonts w:ascii="微軟正黑體" w:eastAsia="微軟正黑體" w:hAnsi="微軟正黑體"/>
              </w:rPr>
            </w:pPr>
            <w:r w:rsidRPr="00870152">
              <w:rPr>
                <w:rFonts w:ascii="微軟正黑體" w:eastAsia="微軟正黑體" w:hAnsi="微軟正黑體"/>
              </w:rPr>
              <w:t>主題</w:t>
            </w:r>
          </w:p>
        </w:tc>
        <w:tc>
          <w:tcPr>
            <w:tcW w:w="0" w:type="auto"/>
            <w:vAlign w:val="center"/>
            <w:hideMark/>
          </w:tcPr>
          <w:p w14:paraId="4F941207" w14:textId="77777777" w:rsidR="00EB232B" w:rsidRPr="00870152" w:rsidRDefault="00EB232B" w:rsidP="00870152">
            <w:pPr>
              <w:snapToGrid w:val="0"/>
              <w:rPr>
                <w:rFonts w:ascii="微軟正黑體" w:eastAsia="微軟正黑體" w:hAnsi="微軟正黑體"/>
              </w:rPr>
            </w:pPr>
            <w:r w:rsidRPr="00870152">
              <w:rPr>
                <w:rFonts w:ascii="微軟正黑體" w:eastAsia="微軟正黑體" w:hAnsi="微軟正黑體"/>
              </w:rPr>
              <w:t>全球百分位排名</w:t>
            </w:r>
          </w:p>
        </w:tc>
        <w:tc>
          <w:tcPr>
            <w:tcW w:w="0" w:type="auto"/>
            <w:vAlign w:val="center"/>
            <w:hideMark/>
          </w:tcPr>
          <w:p w14:paraId="39933461" w14:textId="77777777" w:rsidR="00EB232B" w:rsidRPr="00870152" w:rsidRDefault="00EB232B" w:rsidP="00870152">
            <w:pPr>
              <w:snapToGrid w:val="0"/>
              <w:rPr>
                <w:rFonts w:ascii="微軟正黑體" w:eastAsia="微軟正黑體" w:hAnsi="微軟正黑體"/>
              </w:rPr>
            </w:pPr>
            <w:r w:rsidRPr="00870152">
              <w:rPr>
                <w:rFonts w:ascii="微軟正黑體" w:eastAsia="微軟正黑體" w:hAnsi="微軟正黑體"/>
              </w:rPr>
              <w:t>關鍵問題/指標</w:t>
            </w:r>
          </w:p>
        </w:tc>
      </w:tr>
      <w:tr w:rsidR="00EB232B" w:rsidRPr="00870152" w14:paraId="03CFF31B" w14:textId="77777777" w:rsidTr="00870152">
        <w:tc>
          <w:tcPr>
            <w:tcW w:w="0" w:type="auto"/>
            <w:vAlign w:val="center"/>
            <w:hideMark/>
          </w:tcPr>
          <w:p w14:paraId="30343864" w14:textId="77777777" w:rsidR="00EB232B" w:rsidRPr="00870152" w:rsidRDefault="00EB232B" w:rsidP="00870152">
            <w:pPr>
              <w:snapToGrid w:val="0"/>
              <w:rPr>
                <w:rFonts w:ascii="微軟正黑體" w:eastAsia="微軟正黑體" w:hAnsi="微軟正黑體"/>
              </w:rPr>
            </w:pPr>
            <w:r w:rsidRPr="00870152">
              <w:rPr>
                <w:rFonts w:ascii="微軟正黑體" w:eastAsia="微軟正黑體" w:hAnsi="微軟正黑體"/>
                <w:b/>
                <w:bCs/>
              </w:rPr>
              <w:t>商業道德 (Business Ethics)</w:t>
            </w:r>
          </w:p>
        </w:tc>
        <w:tc>
          <w:tcPr>
            <w:tcW w:w="0" w:type="auto"/>
            <w:vAlign w:val="center"/>
            <w:hideMark/>
          </w:tcPr>
          <w:p w14:paraId="5E641FA1" w14:textId="77777777" w:rsidR="00EB232B" w:rsidRPr="00870152" w:rsidRDefault="00EB232B" w:rsidP="00870152">
            <w:pPr>
              <w:snapToGrid w:val="0"/>
              <w:rPr>
                <w:rFonts w:ascii="微軟正黑體" w:eastAsia="微軟正黑體" w:hAnsi="微軟正黑體"/>
              </w:rPr>
            </w:pPr>
            <w:r w:rsidRPr="00870152">
              <w:rPr>
                <w:rFonts w:ascii="微軟正黑體" w:eastAsia="微軟正黑體" w:hAnsi="微軟正黑體"/>
              </w:rPr>
              <w:t>55th (Average)</w:t>
            </w:r>
          </w:p>
        </w:tc>
        <w:tc>
          <w:tcPr>
            <w:tcW w:w="0" w:type="auto"/>
            <w:vAlign w:val="center"/>
            <w:hideMark/>
          </w:tcPr>
          <w:p w14:paraId="204B4CD9" w14:textId="0087AEAF" w:rsidR="00EB232B" w:rsidRPr="00870152" w:rsidRDefault="00EB232B" w:rsidP="00870152">
            <w:pPr>
              <w:snapToGrid w:val="0"/>
              <w:rPr>
                <w:rFonts w:ascii="微軟正黑體" w:eastAsia="微軟正黑體" w:hAnsi="微軟正黑體"/>
              </w:rPr>
            </w:pPr>
            <w:r w:rsidRPr="00870152">
              <w:rPr>
                <w:rFonts w:ascii="微軟正黑體" w:eastAsia="微軟正黑體" w:hAnsi="微軟正黑體"/>
              </w:rPr>
              <w:t>涉及商業道德政策與實踐</w:t>
            </w:r>
            <w:r>
              <w:rPr>
                <w:rFonts w:ascii="微軟正黑體" w:eastAsia="微軟正黑體" w:hAnsi="微軟正黑體" w:hint="eastAsia"/>
              </w:rPr>
              <w:t xml:space="preserve"> </w:t>
            </w:r>
            <w:r w:rsidRPr="00870152">
              <w:rPr>
                <w:rFonts w:ascii="微軟正黑體" w:eastAsia="微軟正黑體" w:hAnsi="微軟正黑體"/>
              </w:rPr>
              <w:t>及商業道德風險與爭議的扣分。</w:t>
            </w:r>
          </w:p>
        </w:tc>
      </w:tr>
      <w:tr w:rsidR="00EB232B" w:rsidRPr="00870152" w14:paraId="1D8CF0B1" w14:textId="77777777" w:rsidTr="00870152">
        <w:tc>
          <w:tcPr>
            <w:tcW w:w="0" w:type="auto"/>
            <w:vAlign w:val="center"/>
            <w:hideMark/>
          </w:tcPr>
          <w:p w14:paraId="5BAE1737" w14:textId="77777777" w:rsidR="00EB232B" w:rsidRPr="00870152" w:rsidRDefault="00EB232B" w:rsidP="00870152">
            <w:pPr>
              <w:snapToGrid w:val="0"/>
              <w:rPr>
                <w:rFonts w:ascii="微軟正黑體" w:eastAsia="微軟正黑體" w:hAnsi="微軟正黑體"/>
              </w:rPr>
            </w:pPr>
            <w:r w:rsidRPr="00870152">
              <w:rPr>
                <w:rFonts w:ascii="微軟正黑體" w:eastAsia="微軟正黑體" w:hAnsi="微軟正黑體"/>
                <w:b/>
                <w:bCs/>
              </w:rPr>
              <w:t>稅務透明度 (Tax Transparency)</w:t>
            </w:r>
          </w:p>
        </w:tc>
        <w:tc>
          <w:tcPr>
            <w:tcW w:w="0" w:type="auto"/>
            <w:vAlign w:val="center"/>
            <w:hideMark/>
          </w:tcPr>
          <w:p w14:paraId="40BD92F7" w14:textId="77777777" w:rsidR="00EB232B" w:rsidRPr="00870152" w:rsidRDefault="00EB232B" w:rsidP="00870152">
            <w:pPr>
              <w:snapToGrid w:val="0"/>
              <w:rPr>
                <w:rFonts w:ascii="微軟正黑體" w:eastAsia="微軟正黑體" w:hAnsi="微軟正黑體"/>
              </w:rPr>
            </w:pPr>
            <w:r w:rsidRPr="00870152">
              <w:rPr>
                <w:rFonts w:ascii="微軟正黑體" w:eastAsia="微軟正黑體" w:hAnsi="微軟正黑體"/>
              </w:rPr>
              <w:t xml:space="preserve">100th (Best </w:t>
            </w:r>
            <w:proofErr w:type="gramStart"/>
            <w:r w:rsidRPr="00870152">
              <w:rPr>
                <w:rFonts w:ascii="微軟正黑體" w:eastAsia="微軟正黑體" w:hAnsi="微軟正黑體"/>
              </w:rPr>
              <w:t>In</w:t>
            </w:r>
            <w:proofErr w:type="gramEnd"/>
            <w:r w:rsidRPr="00870152">
              <w:rPr>
                <w:rFonts w:ascii="微軟正黑體" w:eastAsia="微軟正黑體" w:hAnsi="微軟正黑體"/>
              </w:rPr>
              <w:t xml:space="preserve"> Class)</w:t>
            </w:r>
          </w:p>
        </w:tc>
        <w:tc>
          <w:tcPr>
            <w:tcW w:w="0" w:type="auto"/>
            <w:vAlign w:val="center"/>
            <w:hideMark/>
          </w:tcPr>
          <w:p w14:paraId="190630DB" w14:textId="77777777" w:rsidR="00EB232B" w:rsidRPr="00870152" w:rsidRDefault="00EB232B" w:rsidP="00870152">
            <w:pPr>
              <w:snapToGrid w:val="0"/>
              <w:rPr>
                <w:rFonts w:ascii="微軟正黑體" w:eastAsia="微軟正黑體" w:hAnsi="微軟正黑體"/>
              </w:rPr>
            </w:pPr>
            <w:r w:rsidRPr="00870152">
              <w:rPr>
                <w:rFonts w:ascii="微軟正黑體" w:eastAsia="微軟正黑體" w:hAnsi="微軟正黑體"/>
              </w:rPr>
              <w:t>稅務透明度評分為滿分 (10.0)，屬於同業中的最佳表現。</w:t>
            </w:r>
          </w:p>
        </w:tc>
      </w:tr>
    </w:tbl>
    <w:p w14:paraId="42FA7371" w14:textId="77777777" w:rsidR="00870152" w:rsidRPr="00870152" w:rsidRDefault="00870152" w:rsidP="00870152">
      <w:pPr>
        <w:snapToGrid w:val="0"/>
        <w:rPr>
          <w:rFonts w:ascii="微軟正黑體" w:eastAsia="微軟正黑體" w:hAnsi="微軟正黑體"/>
        </w:rPr>
      </w:pPr>
      <w:r w:rsidRPr="00870152">
        <w:rPr>
          <w:rFonts w:ascii="微軟正黑體" w:eastAsia="微軟正黑體" w:hAnsi="微軟正黑體"/>
          <w:b/>
          <w:bCs/>
        </w:rPr>
        <w:t>商業道德的具體缺點：</w:t>
      </w:r>
    </w:p>
    <w:p w14:paraId="1D2B9849" w14:textId="26086ACA" w:rsidR="00870152" w:rsidRPr="00870152" w:rsidRDefault="00870152" w:rsidP="00870152">
      <w:pPr>
        <w:snapToGrid w:val="0"/>
        <w:rPr>
          <w:rFonts w:ascii="微軟正黑體" w:eastAsia="微軟正黑體" w:hAnsi="微軟正黑體"/>
        </w:rPr>
      </w:pPr>
      <w:proofErr w:type="gramStart"/>
      <w:r w:rsidRPr="00870152">
        <w:rPr>
          <w:rFonts w:ascii="微軟正黑體" w:eastAsia="微軟正黑體" w:hAnsi="微軟正黑體"/>
        </w:rPr>
        <w:t>•</w:t>
      </w:r>
      <w:proofErr w:type="gramEnd"/>
      <w:r w:rsidRPr="00870152">
        <w:rPr>
          <w:rFonts w:ascii="微軟正黑體" w:eastAsia="微軟正黑體" w:hAnsi="微軟正黑體"/>
        </w:rPr>
        <w:t xml:space="preserve"> </w:t>
      </w:r>
      <w:r w:rsidRPr="00870152">
        <w:rPr>
          <w:rFonts w:ascii="微軟正黑體" w:eastAsia="微軟正黑體" w:hAnsi="微軟正黑體"/>
          <w:b/>
          <w:bCs/>
        </w:rPr>
        <w:t>缺乏道德標準的定期審計：</w:t>
      </w:r>
      <w:r w:rsidRPr="00870152">
        <w:rPr>
          <w:rFonts w:ascii="微軟正黑體" w:eastAsia="微軟正黑體" w:hAnsi="微軟正黑體"/>
        </w:rPr>
        <w:t>雖然公司有詳細的反腐敗政策，但似乎缺乏對</w:t>
      </w:r>
      <w:r w:rsidRPr="00870152">
        <w:rPr>
          <w:rFonts w:ascii="微軟正黑體" w:eastAsia="微軟正黑體" w:hAnsi="微軟正黑體"/>
          <w:b/>
          <w:bCs/>
        </w:rPr>
        <w:t>所有業務運營進行道德審計</w:t>
      </w:r>
      <w:r w:rsidRPr="00870152">
        <w:rPr>
          <w:rFonts w:ascii="微軟正黑體" w:eastAsia="微軟正黑體" w:hAnsi="微軟正黑體"/>
        </w:rPr>
        <w:t>的證據。審計可能存在，但沒有具體細節或沒有定期進行，導致扣分。</w:t>
      </w:r>
    </w:p>
    <w:p w14:paraId="2C7DE104" w14:textId="09BFF0F0" w:rsidR="00870152" w:rsidRPr="00870152" w:rsidRDefault="00870152" w:rsidP="00870152">
      <w:pPr>
        <w:snapToGrid w:val="0"/>
        <w:rPr>
          <w:rFonts w:ascii="微軟正黑體" w:eastAsia="微軟正黑體" w:hAnsi="微軟正黑體"/>
        </w:rPr>
      </w:pPr>
      <w:proofErr w:type="gramStart"/>
      <w:r w:rsidRPr="00870152">
        <w:rPr>
          <w:rFonts w:ascii="微軟正黑體" w:eastAsia="微軟正黑體" w:hAnsi="微軟正黑體"/>
        </w:rPr>
        <w:t>•</w:t>
      </w:r>
      <w:proofErr w:type="gramEnd"/>
      <w:r w:rsidRPr="00870152">
        <w:rPr>
          <w:rFonts w:ascii="微軟正黑體" w:eastAsia="微軟正黑體" w:hAnsi="微軟正黑體"/>
        </w:rPr>
        <w:t xml:space="preserve"> </w:t>
      </w:r>
      <w:r w:rsidRPr="00870152">
        <w:rPr>
          <w:rFonts w:ascii="微軟正黑體" w:eastAsia="微軟正黑體" w:hAnsi="微軟正黑體"/>
          <w:b/>
          <w:bCs/>
        </w:rPr>
        <w:t>員工培訓不足：</w:t>
      </w:r>
      <w:r w:rsidRPr="00870152">
        <w:rPr>
          <w:rFonts w:ascii="微軟正黑體" w:eastAsia="微軟正黑體" w:hAnsi="微軟正黑體"/>
        </w:rPr>
        <w:t xml:space="preserve"> 針對道德標準的員工培訓計劃被認為未涵蓋所有員工 (包括兼職和承包商)，導致扣分。</w:t>
      </w:r>
    </w:p>
    <w:p w14:paraId="742E2EA4" w14:textId="538D841B" w:rsidR="00870152" w:rsidRPr="00870152" w:rsidRDefault="00870152" w:rsidP="00870152">
      <w:pPr>
        <w:snapToGrid w:val="0"/>
        <w:rPr>
          <w:rFonts w:ascii="微軟正黑體" w:eastAsia="微軟正黑體" w:hAnsi="微軟正黑體"/>
        </w:rPr>
      </w:pPr>
      <w:proofErr w:type="gramStart"/>
      <w:r w:rsidRPr="00870152">
        <w:rPr>
          <w:rFonts w:ascii="微軟正黑體" w:eastAsia="微軟正黑體" w:hAnsi="微軟正黑體"/>
        </w:rPr>
        <w:t>•</w:t>
      </w:r>
      <w:proofErr w:type="gramEnd"/>
      <w:r w:rsidRPr="00870152">
        <w:rPr>
          <w:rFonts w:ascii="微軟正黑體" w:eastAsia="微軟正黑體" w:hAnsi="微軟正黑體"/>
        </w:rPr>
        <w:t xml:space="preserve"> </w:t>
      </w:r>
      <w:r w:rsidRPr="00870152">
        <w:rPr>
          <w:rFonts w:ascii="微軟正黑體" w:eastAsia="微軟正黑體" w:hAnsi="微軟正黑體"/>
          <w:b/>
          <w:bCs/>
        </w:rPr>
        <w:t>腐敗風險暴露：</w:t>
      </w:r>
      <w:r w:rsidRPr="00870152">
        <w:rPr>
          <w:rFonts w:ascii="微軟正黑體" w:eastAsia="微軟正黑體" w:hAnsi="微軟正黑體"/>
        </w:rPr>
        <w:t xml:space="preserve"> 儘管目前沒有重大爭議案件，但公司仍因</w:t>
      </w:r>
      <w:r w:rsidRPr="00870152">
        <w:rPr>
          <w:rFonts w:ascii="微軟正黑體" w:eastAsia="微軟正黑體" w:hAnsi="微軟正黑體"/>
          <w:b/>
          <w:bCs/>
        </w:rPr>
        <w:t>腐敗風險暴露</w:t>
      </w:r>
      <w:r w:rsidRPr="00870152">
        <w:rPr>
          <w:rFonts w:ascii="微軟正黑體" w:eastAsia="微軟正黑體" w:hAnsi="微軟正黑體"/>
        </w:rPr>
        <w:t xml:space="preserve">而被扣分。這主要是因為其高達 </w:t>
      </w:r>
      <w:r w:rsidRPr="00870152">
        <w:rPr>
          <w:rFonts w:ascii="微軟正黑體" w:eastAsia="微軟正黑體" w:hAnsi="微軟正黑體"/>
          <w:b/>
          <w:bCs/>
        </w:rPr>
        <w:t>97% 的營運收入</w:t>
      </w:r>
      <w:r w:rsidRPr="00870152">
        <w:rPr>
          <w:rFonts w:ascii="微軟正黑體" w:eastAsia="微軟正黑體" w:hAnsi="微軟正黑體"/>
        </w:rPr>
        <w:t>來自被認為最有可能發生賄賂的高風險業務領域 (如水泥、煤發電)，且有 74% 的營運位於亞洲和臺灣等具有中/高腐敗和政治不穩定風險的地區</w:t>
      </w:r>
    </w:p>
    <w:p w14:paraId="65A9CBC7" w14:textId="77777777" w:rsidR="00D7000D" w:rsidRPr="00870152" w:rsidRDefault="00D7000D" w:rsidP="00B7560F">
      <w:pPr>
        <w:snapToGrid w:val="0"/>
        <w:rPr>
          <w:rFonts w:ascii="微軟正黑體" w:eastAsia="微軟正黑體" w:hAnsi="微軟正黑體" w:hint="eastAsia"/>
        </w:rPr>
      </w:pPr>
    </w:p>
    <w:sectPr w:rsidR="00D7000D" w:rsidRPr="00870152" w:rsidSect="00202E08">
      <w:pgSz w:w="16838" w:h="11906" w:orient="landscape"/>
      <w:pgMar w:top="1800" w:right="1440" w:bottom="1800" w:left="144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徐培源" w:date="2025-10-03T09:35:00Z" w:initials="徐培源">
    <w:p w14:paraId="494739F3" w14:textId="5A3B617C" w:rsidR="00365F69" w:rsidRDefault="00365F69">
      <w:pPr>
        <w:pStyle w:val="a4"/>
      </w:pPr>
      <w:r>
        <w:rPr>
          <w:rStyle w:val="a3"/>
        </w:rPr>
        <w:annotationRef/>
      </w:r>
      <w:r>
        <w:rPr>
          <w:rFonts w:hint="eastAsia"/>
        </w:rPr>
        <w:t>與</w:t>
      </w:r>
      <w:r>
        <w:rPr>
          <w:rFonts w:hint="eastAsia"/>
        </w:rPr>
        <w:t>MSCI</w:t>
      </w:r>
      <w:proofErr w:type="gramStart"/>
      <w:r>
        <w:rPr>
          <w:rFonts w:hint="eastAsia"/>
        </w:rPr>
        <w:t>對皆</w:t>
      </w:r>
      <w:proofErr w:type="gramEnd"/>
      <w:r>
        <w:rPr>
          <w:rFonts w:hint="eastAsia"/>
        </w:rPr>
        <w:t xml:space="preserve">  </w:t>
      </w:r>
      <w:r>
        <w:rPr>
          <w:rFonts w:hint="eastAsia"/>
        </w:rPr>
        <w:t>提供</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4739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8A174E" w16cex:dateUtc="2025-10-03T01: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4739F3" w16cid:durableId="2C8A174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徐培源">
    <w15:presenceInfo w15:providerId="AD" w15:userId="S::peter.hsu@taiwancement.com::f272c264-10b5-49af-bd90-06e0b8f05e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08"/>
    <w:rsid w:val="000269AE"/>
    <w:rsid w:val="000751F0"/>
    <w:rsid w:val="00090C17"/>
    <w:rsid w:val="000A2D8B"/>
    <w:rsid w:val="00202E08"/>
    <w:rsid w:val="00253B82"/>
    <w:rsid w:val="002E4E52"/>
    <w:rsid w:val="00365F69"/>
    <w:rsid w:val="003A1F66"/>
    <w:rsid w:val="004A56D9"/>
    <w:rsid w:val="004E07D0"/>
    <w:rsid w:val="00506419"/>
    <w:rsid w:val="00574468"/>
    <w:rsid w:val="005C6192"/>
    <w:rsid w:val="005E42C2"/>
    <w:rsid w:val="006828C9"/>
    <w:rsid w:val="00690305"/>
    <w:rsid w:val="006D5244"/>
    <w:rsid w:val="007D7B38"/>
    <w:rsid w:val="00870152"/>
    <w:rsid w:val="008C1621"/>
    <w:rsid w:val="008E5AB7"/>
    <w:rsid w:val="009A4F4C"/>
    <w:rsid w:val="009B0538"/>
    <w:rsid w:val="00A12DDD"/>
    <w:rsid w:val="00A23C47"/>
    <w:rsid w:val="00A823C5"/>
    <w:rsid w:val="00B7560F"/>
    <w:rsid w:val="00BC1D9D"/>
    <w:rsid w:val="00CC502D"/>
    <w:rsid w:val="00CE7C98"/>
    <w:rsid w:val="00D7000D"/>
    <w:rsid w:val="00DA05A0"/>
    <w:rsid w:val="00DA5529"/>
    <w:rsid w:val="00EB232B"/>
    <w:rsid w:val="00ED40C8"/>
    <w:rsid w:val="00F05DAC"/>
    <w:rsid w:val="00F0737F"/>
    <w:rsid w:val="00F561FC"/>
    <w:rsid w:val="00FD227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9D763"/>
  <w15:chartTrackingRefBased/>
  <w15:docId w15:val="{2F570C57-4BBB-4535-A243-0F9FB8C52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365F69"/>
    <w:rPr>
      <w:sz w:val="18"/>
      <w:szCs w:val="18"/>
    </w:rPr>
  </w:style>
  <w:style w:type="paragraph" w:styleId="a4">
    <w:name w:val="annotation text"/>
    <w:basedOn w:val="a"/>
    <w:link w:val="a5"/>
    <w:uiPriority w:val="99"/>
    <w:semiHidden/>
    <w:unhideWhenUsed/>
    <w:rsid w:val="00365F69"/>
  </w:style>
  <w:style w:type="character" w:customStyle="1" w:styleId="a5">
    <w:name w:val="註解文字 字元"/>
    <w:basedOn w:val="a0"/>
    <w:link w:val="a4"/>
    <w:uiPriority w:val="99"/>
    <w:semiHidden/>
    <w:rsid w:val="00365F69"/>
  </w:style>
  <w:style w:type="paragraph" w:styleId="a6">
    <w:name w:val="annotation subject"/>
    <w:basedOn w:val="a4"/>
    <w:next w:val="a4"/>
    <w:link w:val="a7"/>
    <w:uiPriority w:val="99"/>
    <w:semiHidden/>
    <w:unhideWhenUsed/>
    <w:rsid w:val="00365F69"/>
    <w:rPr>
      <w:b/>
      <w:bCs/>
    </w:rPr>
  </w:style>
  <w:style w:type="character" w:customStyle="1" w:styleId="a7">
    <w:name w:val="註解主旨 字元"/>
    <w:basedOn w:val="a5"/>
    <w:link w:val="a6"/>
    <w:uiPriority w:val="99"/>
    <w:semiHidden/>
    <w:rsid w:val="00365F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86273">
      <w:bodyDiv w:val="1"/>
      <w:marLeft w:val="0"/>
      <w:marRight w:val="0"/>
      <w:marTop w:val="0"/>
      <w:marBottom w:val="0"/>
      <w:divBdr>
        <w:top w:val="none" w:sz="0" w:space="0" w:color="auto"/>
        <w:left w:val="none" w:sz="0" w:space="0" w:color="auto"/>
        <w:bottom w:val="none" w:sz="0" w:space="0" w:color="auto"/>
        <w:right w:val="none" w:sz="0" w:space="0" w:color="auto"/>
      </w:divBdr>
      <w:divsChild>
        <w:div w:id="1669090211">
          <w:marLeft w:val="0"/>
          <w:marRight w:val="0"/>
          <w:marTop w:val="0"/>
          <w:marBottom w:val="0"/>
          <w:divBdr>
            <w:top w:val="none" w:sz="0" w:space="0" w:color="auto"/>
            <w:left w:val="none" w:sz="0" w:space="0" w:color="auto"/>
            <w:bottom w:val="none" w:sz="0" w:space="0" w:color="auto"/>
            <w:right w:val="none" w:sz="0" w:space="0" w:color="auto"/>
          </w:divBdr>
        </w:div>
        <w:div w:id="969167156">
          <w:marLeft w:val="0"/>
          <w:marRight w:val="0"/>
          <w:marTop w:val="0"/>
          <w:marBottom w:val="0"/>
          <w:divBdr>
            <w:top w:val="none" w:sz="0" w:space="0" w:color="auto"/>
            <w:left w:val="none" w:sz="0" w:space="0" w:color="auto"/>
            <w:bottom w:val="none" w:sz="0" w:space="0" w:color="auto"/>
            <w:right w:val="none" w:sz="0" w:space="0" w:color="auto"/>
          </w:divBdr>
        </w:div>
        <w:div w:id="1311180224">
          <w:marLeft w:val="0"/>
          <w:marRight w:val="0"/>
          <w:marTop w:val="0"/>
          <w:marBottom w:val="0"/>
          <w:divBdr>
            <w:top w:val="none" w:sz="0" w:space="0" w:color="auto"/>
            <w:left w:val="none" w:sz="0" w:space="0" w:color="auto"/>
            <w:bottom w:val="none" w:sz="0" w:space="0" w:color="auto"/>
            <w:right w:val="none" w:sz="0" w:space="0" w:color="auto"/>
          </w:divBdr>
        </w:div>
        <w:div w:id="487865376">
          <w:marLeft w:val="0"/>
          <w:marRight w:val="0"/>
          <w:marTop w:val="0"/>
          <w:marBottom w:val="0"/>
          <w:divBdr>
            <w:top w:val="none" w:sz="0" w:space="0" w:color="auto"/>
            <w:left w:val="none" w:sz="0" w:space="0" w:color="auto"/>
            <w:bottom w:val="none" w:sz="0" w:space="0" w:color="auto"/>
            <w:right w:val="none" w:sz="0" w:space="0" w:color="auto"/>
          </w:divBdr>
        </w:div>
        <w:div w:id="947859976">
          <w:marLeft w:val="0"/>
          <w:marRight w:val="0"/>
          <w:marTop w:val="0"/>
          <w:marBottom w:val="0"/>
          <w:divBdr>
            <w:top w:val="none" w:sz="0" w:space="0" w:color="auto"/>
            <w:left w:val="none" w:sz="0" w:space="0" w:color="auto"/>
            <w:bottom w:val="none" w:sz="0" w:space="0" w:color="auto"/>
            <w:right w:val="none" w:sz="0" w:space="0" w:color="auto"/>
          </w:divBdr>
        </w:div>
        <w:div w:id="1634364307">
          <w:marLeft w:val="0"/>
          <w:marRight w:val="0"/>
          <w:marTop w:val="0"/>
          <w:marBottom w:val="0"/>
          <w:divBdr>
            <w:top w:val="none" w:sz="0" w:space="0" w:color="auto"/>
            <w:left w:val="none" w:sz="0" w:space="0" w:color="auto"/>
            <w:bottom w:val="none" w:sz="0" w:space="0" w:color="auto"/>
            <w:right w:val="none" w:sz="0" w:space="0" w:color="auto"/>
          </w:divBdr>
        </w:div>
        <w:div w:id="2092386735">
          <w:marLeft w:val="0"/>
          <w:marRight w:val="0"/>
          <w:marTop w:val="0"/>
          <w:marBottom w:val="0"/>
          <w:divBdr>
            <w:top w:val="none" w:sz="0" w:space="0" w:color="auto"/>
            <w:left w:val="none" w:sz="0" w:space="0" w:color="auto"/>
            <w:bottom w:val="none" w:sz="0" w:space="0" w:color="auto"/>
            <w:right w:val="none" w:sz="0" w:space="0" w:color="auto"/>
          </w:divBdr>
        </w:div>
        <w:div w:id="1702515202">
          <w:marLeft w:val="0"/>
          <w:marRight w:val="0"/>
          <w:marTop w:val="0"/>
          <w:marBottom w:val="0"/>
          <w:divBdr>
            <w:top w:val="none" w:sz="0" w:space="0" w:color="auto"/>
            <w:left w:val="none" w:sz="0" w:space="0" w:color="auto"/>
            <w:bottom w:val="none" w:sz="0" w:space="0" w:color="auto"/>
            <w:right w:val="none" w:sz="0" w:space="0" w:color="auto"/>
          </w:divBdr>
        </w:div>
        <w:div w:id="622734000">
          <w:marLeft w:val="0"/>
          <w:marRight w:val="0"/>
          <w:marTop w:val="0"/>
          <w:marBottom w:val="0"/>
          <w:divBdr>
            <w:top w:val="none" w:sz="0" w:space="0" w:color="auto"/>
            <w:left w:val="none" w:sz="0" w:space="0" w:color="auto"/>
            <w:bottom w:val="none" w:sz="0" w:space="0" w:color="auto"/>
            <w:right w:val="none" w:sz="0" w:space="0" w:color="auto"/>
          </w:divBdr>
        </w:div>
        <w:div w:id="627900856">
          <w:marLeft w:val="0"/>
          <w:marRight w:val="0"/>
          <w:marTop w:val="0"/>
          <w:marBottom w:val="0"/>
          <w:divBdr>
            <w:top w:val="none" w:sz="0" w:space="0" w:color="auto"/>
            <w:left w:val="none" w:sz="0" w:space="0" w:color="auto"/>
            <w:bottom w:val="none" w:sz="0" w:space="0" w:color="auto"/>
            <w:right w:val="none" w:sz="0" w:space="0" w:color="auto"/>
          </w:divBdr>
        </w:div>
        <w:div w:id="1927156346">
          <w:marLeft w:val="0"/>
          <w:marRight w:val="0"/>
          <w:marTop w:val="0"/>
          <w:marBottom w:val="0"/>
          <w:divBdr>
            <w:top w:val="none" w:sz="0" w:space="0" w:color="auto"/>
            <w:left w:val="none" w:sz="0" w:space="0" w:color="auto"/>
            <w:bottom w:val="none" w:sz="0" w:space="0" w:color="auto"/>
            <w:right w:val="none" w:sz="0" w:space="0" w:color="auto"/>
          </w:divBdr>
        </w:div>
        <w:div w:id="1632637582">
          <w:marLeft w:val="0"/>
          <w:marRight w:val="0"/>
          <w:marTop w:val="0"/>
          <w:marBottom w:val="0"/>
          <w:divBdr>
            <w:top w:val="none" w:sz="0" w:space="0" w:color="auto"/>
            <w:left w:val="none" w:sz="0" w:space="0" w:color="auto"/>
            <w:bottom w:val="none" w:sz="0" w:space="0" w:color="auto"/>
            <w:right w:val="none" w:sz="0" w:space="0" w:color="auto"/>
          </w:divBdr>
        </w:div>
        <w:div w:id="1820071149">
          <w:marLeft w:val="0"/>
          <w:marRight w:val="0"/>
          <w:marTop w:val="0"/>
          <w:marBottom w:val="0"/>
          <w:divBdr>
            <w:top w:val="none" w:sz="0" w:space="0" w:color="auto"/>
            <w:left w:val="none" w:sz="0" w:space="0" w:color="auto"/>
            <w:bottom w:val="none" w:sz="0" w:space="0" w:color="auto"/>
            <w:right w:val="none" w:sz="0" w:space="0" w:color="auto"/>
          </w:divBdr>
        </w:div>
        <w:div w:id="1560285338">
          <w:marLeft w:val="0"/>
          <w:marRight w:val="0"/>
          <w:marTop w:val="0"/>
          <w:marBottom w:val="0"/>
          <w:divBdr>
            <w:top w:val="none" w:sz="0" w:space="0" w:color="auto"/>
            <w:left w:val="none" w:sz="0" w:space="0" w:color="auto"/>
            <w:bottom w:val="none" w:sz="0" w:space="0" w:color="auto"/>
            <w:right w:val="none" w:sz="0" w:space="0" w:color="auto"/>
          </w:divBdr>
        </w:div>
        <w:div w:id="2018069594">
          <w:marLeft w:val="0"/>
          <w:marRight w:val="0"/>
          <w:marTop w:val="0"/>
          <w:marBottom w:val="0"/>
          <w:divBdr>
            <w:top w:val="none" w:sz="0" w:space="0" w:color="auto"/>
            <w:left w:val="none" w:sz="0" w:space="0" w:color="auto"/>
            <w:bottom w:val="none" w:sz="0" w:space="0" w:color="auto"/>
            <w:right w:val="none" w:sz="0" w:space="0" w:color="auto"/>
          </w:divBdr>
        </w:div>
        <w:div w:id="1053500366">
          <w:marLeft w:val="0"/>
          <w:marRight w:val="0"/>
          <w:marTop w:val="0"/>
          <w:marBottom w:val="0"/>
          <w:divBdr>
            <w:top w:val="none" w:sz="0" w:space="0" w:color="auto"/>
            <w:left w:val="none" w:sz="0" w:space="0" w:color="auto"/>
            <w:bottom w:val="none" w:sz="0" w:space="0" w:color="auto"/>
            <w:right w:val="none" w:sz="0" w:space="0" w:color="auto"/>
          </w:divBdr>
        </w:div>
        <w:div w:id="474570735">
          <w:marLeft w:val="0"/>
          <w:marRight w:val="0"/>
          <w:marTop w:val="0"/>
          <w:marBottom w:val="0"/>
          <w:divBdr>
            <w:top w:val="none" w:sz="0" w:space="0" w:color="auto"/>
            <w:left w:val="none" w:sz="0" w:space="0" w:color="auto"/>
            <w:bottom w:val="none" w:sz="0" w:space="0" w:color="auto"/>
            <w:right w:val="none" w:sz="0" w:space="0" w:color="auto"/>
          </w:divBdr>
        </w:div>
        <w:div w:id="2147236726">
          <w:marLeft w:val="0"/>
          <w:marRight w:val="0"/>
          <w:marTop w:val="0"/>
          <w:marBottom w:val="0"/>
          <w:divBdr>
            <w:top w:val="none" w:sz="0" w:space="0" w:color="auto"/>
            <w:left w:val="none" w:sz="0" w:space="0" w:color="auto"/>
            <w:bottom w:val="none" w:sz="0" w:space="0" w:color="auto"/>
            <w:right w:val="none" w:sz="0" w:space="0" w:color="auto"/>
          </w:divBdr>
        </w:div>
        <w:div w:id="729696474">
          <w:marLeft w:val="0"/>
          <w:marRight w:val="0"/>
          <w:marTop w:val="0"/>
          <w:marBottom w:val="0"/>
          <w:divBdr>
            <w:top w:val="none" w:sz="0" w:space="0" w:color="auto"/>
            <w:left w:val="none" w:sz="0" w:space="0" w:color="auto"/>
            <w:bottom w:val="none" w:sz="0" w:space="0" w:color="auto"/>
            <w:right w:val="none" w:sz="0" w:space="0" w:color="auto"/>
          </w:divBdr>
        </w:div>
        <w:div w:id="1742093649">
          <w:marLeft w:val="0"/>
          <w:marRight w:val="0"/>
          <w:marTop w:val="0"/>
          <w:marBottom w:val="0"/>
          <w:divBdr>
            <w:top w:val="none" w:sz="0" w:space="0" w:color="auto"/>
            <w:left w:val="none" w:sz="0" w:space="0" w:color="auto"/>
            <w:bottom w:val="none" w:sz="0" w:space="0" w:color="auto"/>
            <w:right w:val="none" w:sz="0" w:space="0" w:color="auto"/>
          </w:divBdr>
        </w:div>
        <w:div w:id="1757240535">
          <w:marLeft w:val="0"/>
          <w:marRight w:val="0"/>
          <w:marTop w:val="0"/>
          <w:marBottom w:val="0"/>
          <w:divBdr>
            <w:top w:val="none" w:sz="0" w:space="0" w:color="auto"/>
            <w:left w:val="none" w:sz="0" w:space="0" w:color="auto"/>
            <w:bottom w:val="none" w:sz="0" w:space="0" w:color="auto"/>
            <w:right w:val="none" w:sz="0" w:space="0" w:color="auto"/>
          </w:divBdr>
        </w:div>
        <w:div w:id="966855440">
          <w:marLeft w:val="0"/>
          <w:marRight w:val="0"/>
          <w:marTop w:val="0"/>
          <w:marBottom w:val="0"/>
          <w:divBdr>
            <w:top w:val="none" w:sz="0" w:space="0" w:color="auto"/>
            <w:left w:val="none" w:sz="0" w:space="0" w:color="auto"/>
            <w:bottom w:val="none" w:sz="0" w:space="0" w:color="auto"/>
            <w:right w:val="none" w:sz="0" w:space="0" w:color="auto"/>
          </w:divBdr>
        </w:div>
        <w:div w:id="2114855638">
          <w:marLeft w:val="0"/>
          <w:marRight w:val="0"/>
          <w:marTop w:val="0"/>
          <w:marBottom w:val="0"/>
          <w:divBdr>
            <w:top w:val="none" w:sz="0" w:space="0" w:color="auto"/>
            <w:left w:val="none" w:sz="0" w:space="0" w:color="auto"/>
            <w:bottom w:val="none" w:sz="0" w:space="0" w:color="auto"/>
            <w:right w:val="none" w:sz="0" w:space="0" w:color="auto"/>
          </w:divBdr>
        </w:div>
        <w:div w:id="60948976">
          <w:marLeft w:val="0"/>
          <w:marRight w:val="0"/>
          <w:marTop w:val="0"/>
          <w:marBottom w:val="0"/>
          <w:divBdr>
            <w:top w:val="none" w:sz="0" w:space="0" w:color="auto"/>
            <w:left w:val="none" w:sz="0" w:space="0" w:color="auto"/>
            <w:bottom w:val="none" w:sz="0" w:space="0" w:color="auto"/>
            <w:right w:val="none" w:sz="0" w:space="0" w:color="auto"/>
          </w:divBdr>
        </w:div>
        <w:div w:id="1246262327">
          <w:marLeft w:val="0"/>
          <w:marRight w:val="0"/>
          <w:marTop w:val="0"/>
          <w:marBottom w:val="0"/>
          <w:divBdr>
            <w:top w:val="none" w:sz="0" w:space="0" w:color="auto"/>
            <w:left w:val="none" w:sz="0" w:space="0" w:color="auto"/>
            <w:bottom w:val="none" w:sz="0" w:space="0" w:color="auto"/>
            <w:right w:val="none" w:sz="0" w:space="0" w:color="auto"/>
          </w:divBdr>
        </w:div>
        <w:div w:id="258802578">
          <w:marLeft w:val="0"/>
          <w:marRight w:val="0"/>
          <w:marTop w:val="0"/>
          <w:marBottom w:val="0"/>
          <w:divBdr>
            <w:top w:val="none" w:sz="0" w:space="0" w:color="auto"/>
            <w:left w:val="none" w:sz="0" w:space="0" w:color="auto"/>
            <w:bottom w:val="none" w:sz="0" w:space="0" w:color="auto"/>
            <w:right w:val="none" w:sz="0" w:space="0" w:color="auto"/>
          </w:divBdr>
        </w:div>
        <w:div w:id="1882286536">
          <w:marLeft w:val="0"/>
          <w:marRight w:val="0"/>
          <w:marTop w:val="0"/>
          <w:marBottom w:val="0"/>
          <w:divBdr>
            <w:top w:val="none" w:sz="0" w:space="0" w:color="auto"/>
            <w:left w:val="none" w:sz="0" w:space="0" w:color="auto"/>
            <w:bottom w:val="none" w:sz="0" w:space="0" w:color="auto"/>
            <w:right w:val="none" w:sz="0" w:space="0" w:color="auto"/>
          </w:divBdr>
        </w:div>
        <w:div w:id="1330254821">
          <w:marLeft w:val="0"/>
          <w:marRight w:val="0"/>
          <w:marTop w:val="0"/>
          <w:marBottom w:val="0"/>
          <w:divBdr>
            <w:top w:val="none" w:sz="0" w:space="0" w:color="auto"/>
            <w:left w:val="none" w:sz="0" w:space="0" w:color="auto"/>
            <w:bottom w:val="none" w:sz="0" w:space="0" w:color="auto"/>
            <w:right w:val="none" w:sz="0" w:space="0" w:color="auto"/>
          </w:divBdr>
        </w:div>
        <w:div w:id="927470395">
          <w:marLeft w:val="0"/>
          <w:marRight w:val="0"/>
          <w:marTop w:val="0"/>
          <w:marBottom w:val="0"/>
          <w:divBdr>
            <w:top w:val="none" w:sz="0" w:space="0" w:color="auto"/>
            <w:left w:val="none" w:sz="0" w:space="0" w:color="auto"/>
            <w:bottom w:val="none" w:sz="0" w:space="0" w:color="auto"/>
            <w:right w:val="none" w:sz="0" w:space="0" w:color="auto"/>
          </w:divBdr>
        </w:div>
        <w:div w:id="1174220656">
          <w:marLeft w:val="0"/>
          <w:marRight w:val="0"/>
          <w:marTop w:val="0"/>
          <w:marBottom w:val="0"/>
          <w:divBdr>
            <w:top w:val="none" w:sz="0" w:space="0" w:color="auto"/>
            <w:left w:val="none" w:sz="0" w:space="0" w:color="auto"/>
            <w:bottom w:val="none" w:sz="0" w:space="0" w:color="auto"/>
            <w:right w:val="none" w:sz="0" w:space="0" w:color="auto"/>
          </w:divBdr>
        </w:div>
        <w:div w:id="2094544461">
          <w:marLeft w:val="0"/>
          <w:marRight w:val="0"/>
          <w:marTop w:val="0"/>
          <w:marBottom w:val="0"/>
          <w:divBdr>
            <w:top w:val="none" w:sz="0" w:space="0" w:color="auto"/>
            <w:left w:val="none" w:sz="0" w:space="0" w:color="auto"/>
            <w:bottom w:val="none" w:sz="0" w:space="0" w:color="auto"/>
            <w:right w:val="none" w:sz="0" w:space="0" w:color="auto"/>
          </w:divBdr>
        </w:div>
        <w:div w:id="923337819">
          <w:marLeft w:val="0"/>
          <w:marRight w:val="0"/>
          <w:marTop w:val="0"/>
          <w:marBottom w:val="0"/>
          <w:divBdr>
            <w:top w:val="none" w:sz="0" w:space="0" w:color="auto"/>
            <w:left w:val="none" w:sz="0" w:space="0" w:color="auto"/>
            <w:bottom w:val="none" w:sz="0" w:space="0" w:color="auto"/>
            <w:right w:val="none" w:sz="0" w:space="0" w:color="auto"/>
          </w:divBdr>
        </w:div>
        <w:div w:id="355543324">
          <w:marLeft w:val="0"/>
          <w:marRight w:val="0"/>
          <w:marTop w:val="0"/>
          <w:marBottom w:val="0"/>
          <w:divBdr>
            <w:top w:val="none" w:sz="0" w:space="0" w:color="auto"/>
            <w:left w:val="none" w:sz="0" w:space="0" w:color="auto"/>
            <w:bottom w:val="none" w:sz="0" w:space="0" w:color="auto"/>
            <w:right w:val="none" w:sz="0" w:space="0" w:color="auto"/>
          </w:divBdr>
        </w:div>
        <w:div w:id="488519897">
          <w:marLeft w:val="0"/>
          <w:marRight w:val="0"/>
          <w:marTop w:val="0"/>
          <w:marBottom w:val="0"/>
          <w:divBdr>
            <w:top w:val="none" w:sz="0" w:space="0" w:color="auto"/>
            <w:left w:val="none" w:sz="0" w:space="0" w:color="auto"/>
            <w:bottom w:val="none" w:sz="0" w:space="0" w:color="auto"/>
            <w:right w:val="none" w:sz="0" w:space="0" w:color="auto"/>
          </w:divBdr>
        </w:div>
        <w:div w:id="2127305064">
          <w:marLeft w:val="0"/>
          <w:marRight w:val="0"/>
          <w:marTop w:val="0"/>
          <w:marBottom w:val="0"/>
          <w:divBdr>
            <w:top w:val="none" w:sz="0" w:space="0" w:color="auto"/>
            <w:left w:val="none" w:sz="0" w:space="0" w:color="auto"/>
            <w:bottom w:val="none" w:sz="0" w:space="0" w:color="auto"/>
            <w:right w:val="none" w:sz="0" w:space="0" w:color="auto"/>
          </w:divBdr>
        </w:div>
        <w:div w:id="933712547">
          <w:marLeft w:val="0"/>
          <w:marRight w:val="0"/>
          <w:marTop w:val="0"/>
          <w:marBottom w:val="0"/>
          <w:divBdr>
            <w:top w:val="none" w:sz="0" w:space="0" w:color="auto"/>
            <w:left w:val="none" w:sz="0" w:space="0" w:color="auto"/>
            <w:bottom w:val="none" w:sz="0" w:space="0" w:color="auto"/>
            <w:right w:val="none" w:sz="0" w:space="0" w:color="auto"/>
          </w:divBdr>
        </w:div>
        <w:div w:id="1412384369">
          <w:marLeft w:val="0"/>
          <w:marRight w:val="0"/>
          <w:marTop w:val="0"/>
          <w:marBottom w:val="0"/>
          <w:divBdr>
            <w:top w:val="none" w:sz="0" w:space="0" w:color="auto"/>
            <w:left w:val="none" w:sz="0" w:space="0" w:color="auto"/>
            <w:bottom w:val="none" w:sz="0" w:space="0" w:color="auto"/>
            <w:right w:val="none" w:sz="0" w:space="0" w:color="auto"/>
          </w:divBdr>
        </w:div>
        <w:div w:id="2095470942">
          <w:marLeft w:val="0"/>
          <w:marRight w:val="0"/>
          <w:marTop w:val="0"/>
          <w:marBottom w:val="0"/>
          <w:divBdr>
            <w:top w:val="none" w:sz="0" w:space="0" w:color="auto"/>
            <w:left w:val="none" w:sz="0" w:space="0" w:color="auto"/>
            <w:bottom w:val="none" w:sz="0" w:space="0" w:color="auto"/>
            <w:right w:val="none" w:sz="0" w:space="0" w:color="auto"/>
          </w:divBdr>
        </w:div>
        <w:div w:id="391580652">
          <w:marLeft w:val="0"/>
          <w:marRight w:val="0"/>
          <w:marTop w:val="0"/>
          <w:marBottom w:val="0"/>
          <w:divBdr>
            <w:top w:val="none" w:sz="0" w:space="0" w:color="auto"/>
            <w:left w:val="none" w:sz="0" w:space="0" w:color="auto"/>
            <w:bottom w:val="none" w:sz="0" w:space="0" w:color="auto"/>
            <w:right w:val="none" w:sz="0" w:space="0" w:color="auto"/>
          </w:divBdr>
        </w:div>
        <w:div w:id="1941137102">
          <w:marLeft w:val="0"/>
          <w:marRight w:val="0"/>
          <w:marTop w:val="0"/>
          <w:marBottom w:val="0"/>
          <w:divBdr>
            <w:top w:val="none" w:sz="0" w:space="0" w:color="auto"/>
            <w:left w:val="none" w:sz="0" w:space="0" w:color="auto"/>
            <w:bottom w:val="none" w:sz="0" w:space="0" w:color="auto"/>
            <w:right w:val="none" w:sz="0" w:space="0" w:color="auto"/>
          </w:divBdr>
        </w:div>
      </w:divsChild>
    </w:div>
    <w:div w:id="317611290">
      <w:bodyDiv w:val="1"/>
      <w:marLeft w:val="0"/>
      <w:marRight w:val="0"/>
      <w:marTop w:val="0"/>
      <w:marBottom w:val="0"/>
      <w:divBdr>
        <w:top w:val="none" w:sz="0" w:space="0" w:color="auto"/>
        <w:left w:val="none" w:sz="0" w:space="0" w:color="auto"/>
        <w:bottom w:val="none" w:sz="0" w:space="0" w:color="auto"/>
        <w:right w:val="none" w:sz="0" w:space="0" w:color="auto"/>
      </w:divBdr>
      <w:divsChild>
        <w:div w:id="892619355">
          <w:marLeft w:val="0"/>
          <w:marRight w:val="0"/>
          <w:marTop w:val="0"/>
          <w:marBottom w:val="0"/>
          <w:divBdr>
            <w:top w:val="none" w:sz="0" w:space="0" w:color="auto"/>
            <w:left w:val="none" w:sz="0" w:space="0" w:color="auto"/>
            <w:bottom w:val="none" w:sz="0" w:space="0" w:color="auto"/>
            <w:right w:val="none" w:sz="0" w:space="0" w:color="auto"/>
          </w:divBdr>
        </w:div>
        <w:div w:id="775253169">
          <w:marLeft w:val="0"/>
          <w:marRight w:val="0"/>
          <w:marTop w:val="0"/>
          <w:marBottom w:val="0"/>
          <w:divBdr>
            <w:top w:val="none" w:sz="0" w:space="0" w:color="auto"/>
            <w:left w:val="none" w:sz="0" w:space="0" w:color="auto"/>
            <w:bottom w:val="none" w:sz="0" w:space="0" w:color="auto"/>
            <w:right w:val="none" w:sz="0" w:space="0" w:color="auto"/>
          </w:divBdr>
        </w:div>
        <w:div w:id="1703703978">
          <w:marLeft w:val="0"/>
          <w:marRight w:val="0"/>
          <w:marTop w:val="0"/>
          <w:marBottom w:val="0"/>
          <w:divBdr>
            <w:top w:val="none" w:sz="0" w:space="0" w:color="auto"/>
            <w:left w:val="none" w:sz="0" w:space="0" w:color="auto"/>
            <w:bottom w:val="none" w:sz="0" w:space="0" w:color="auto"/>
            <w:right w:val="none" w:sz="0" w:space="0" w:color="auto"/>
          </w:divBdr>
        </w:div>
        <w:div w:id="846024670">
          <w:marLeft w:val="0"/>
          <w:marRight w:val="0"/>
          <w:marTop w:val="0"/>
          <w:marBottom w:val="0"/>
          <w:divBdr>
            <w:top w:val="none" w:sz="0" w:space="0" w:color="auto"/>
            <w:left w:val="none" w:sz="0" w:space="0" w:color="auto"/>
            <w:bottom w:val="none" w:sz="0" w:space="0" w:color="auto"/>
            <w:right w:val="none" w:sz="0" w:space="0" w:color="auto"/>
          </w:divBdr>
        </w:div>
        <w:div w:id="122232051">
          <w:marLeft w:val="0"/>
          <w:marRight w:val="0"/>
          <w:marTop w:val="0"/>
          <w:marBottom w:val="0"/>
          <w:divBdr>
            <w:top w:val="none" w:sz="0" w:space="0" w:color="auto"/>
            <w:left w:val="none" w:sz="0" w:space="0" w:color="auto"/>
            <w:bottom w:val="none" w:sz="0" w:space="0" w:color="auto"/>
            <w:right w:val="none" w:sz="0" w:space="0" w:color="auto"/>
          </w:divBdr>
        </w:div>
        <w:div w:id="382993564">
          <w:marLeft w:val="0"/>
          <w:marRight w:val="0"/>
          <w:marTop w:val="0"/>
          <w:marBottom w:val="0"/>
          <w:divBdr>
            <w:top w:val="none" w:sz="0" w:space="0" w:color="auto"/>
            <w:left w:val="none" w:sz="0" w:space="0" w:color="auto"/>
            <w:bottom w:val="none" w:sz="0" w:space="0" w:color="auto"/>
            <w:right w:val="none" w:sz="0" w:space="0" w:color="auto"/>
          </w:divBdr>
        </w:div>
        <w:div w:id="1492133557">
          <w:marLeft w:val="0"/>
          <w:marRight w:val="0"/>
          <w:marTop w:val="0"/>
          <w:marBottom w:val="0"/>
          <w:divBdr>
            <w:top w:val="none" w:sz="0" w:space="0" w:color="auto"/>
            <w:left w:val="none" w:sz="0" w:space="0" w:color="auto"/>
            <w:bottom w:val="none" w:sz="0" w:space="0" w:color="auto"/>
            <w:right w:val="none" w:sz="0" w:space="0" w:color="auto"/>
          </w:divBdr>
        </w:div>
        <w:div w:id="268510214">
          <w:marLeft w:val="0"/>
          <w:marRight w:val="0"/>
          <w:marTop w:val="0"/>
          <w:marBottom w:val="0"/>
          <w:divBdr>
            <w:top w:val="none" w:sz="0" w:space="0" w:color="auto"/>
            <w:left w:val="none" w:sz="0" w:space="0" w:color="auto"/>
            <w:bottom w:val="none" w:sz="0" w:space="0" w:color="auto"/>
            <w:right w:val="none" w:sz="0" w:space="0" w:color="auto"/>
          </w:divBdr>
        </w:div>
        <w:div w:id="125319242">
          <w:marLeft w:val="0"/>
          <w:marRight w:val="0"/>
          <w:marTop w:val="0"/>
          <w:marBottom w:val="0"/>
          <w:divBdr>
            <w:top w:val="none" w:sz="0" w:space="0" w:color="auto"/>
            <w:left w:val="none" w:sz="0" w:space="0" w:color="auto"/>
            <w:bottom w:val="none" w:sz="0" w:space="0" w:color="auto"/>
            <w:right w:val="none" w:sz="0" w:space="0" w:color="auto"/>
          </w:divBdr>
        </w:div>
        <w:div w:id="102657022">
          <w:marLeft w:val="0"/>
          <w:marRight w:val="0"/>
          <w:marTop w:val="0"/>
          <w:marBottom w:val="0"/>
          <w:divBdr>
            <w:top w:val="none" w:sz="0" w:space="0" w:color="auto"/>
            <w:left w:val="none" w:sz="0" w:space="0" w:color="auto"/>
            <w:bottom w:val="none" w:sz="0" w:space="0" w:color="auto"/>
            <w:right w:val="none" w:sz="0" w:space="0" w:color="auto"/>
          </w:divBdr>
        </w:div>
        <w:div w:id="600265399">
          <w:marLeft w:val="0"/>
          <w:marRight w:val="0"/>
          <w:marTop w:val="0"/>
          <w:marBottom w:val="0"/>
          <w:divBdr>
            <w:top w:val="none" w:sz="0" w:space="0" w:color="auto"/>
            <w:left w:val="none" w:sz="0" w:space="0" w:color="auto"/>
            <w:bottom w:val="none" w:sz="0" w:space="0" w:color="auto"/>
            <w:right w:val="none" w:sz="0" w:space="0" w:color="auto"/>
          </w:divBdr>
        </w:div>
        <w:div w:id="1410734429">
          <w:marLeft w:val="0"/>
          <w:marRight w:val="0"/>
          <w:marTop w:val="0"/>
          <w:marBottom w:val="0"/>
          <w:divBdr>
            <w:top w:val="none" w:sz="0" w:space="0" w:color="auto"/>
            <w:left w:val="none" w:sz="0" w:space="0" w:color="auto"/>
            <w:bottom w:val="none" w:sz="0" w:space="0" w:color="auto"/>
            <w:right w:val="none" w:sz="0" w:space="0" w:color="auto"/>
          </w:divBdr>
        </w:div>
        <w:div w:id="117725071">
          <w:marLeft w:val="0"/>
          <w:marRight w:val="0"/>
          <w:marTop w:val="0"/>
          <w:marBottom w:val="0"/>
          <w:divBdr>
            <w:top w:val="none" w:sz="0" w:space="0" w:color="auto"/>
            <w:left w:val="none" w:sz="0" w:space="0" w:color="auto"/>
            <w:bottom w:val="none" w:sz="0" w:space="0" w:color="auto"/>
            <w:right w:val="none" w:sz="0" w:space="0" w:color="auto"/>
          </w:divBdr>
        </w:div>
        <w:div w:id="526676728">
          <w:marLeft w:val="0"/>
          <w:marRight w:val="0"/>
          <w:marTop w:val="0"/>
          <w:marBottom w:val="0"/>
          <w:divBdr>
            <w:top w:val="none" w:sz="0" w:space="0" w:color="auto"/>
            <w:left w:val="none" w:sz="0" w:space="0" w:color="auto"/>
            <w:bottom w:val="none" w:sz="0" w:space="0" w:color="auto"/>
            <w:right w:val="none" w:sz="0" w:space="0" w:color="auto"/>
          </w:divBdr>
        </w:div>
        <w:div w:id="987828891">
          <w:marLeft w:val="0"/>
          <w:marRight w:val="0"/>
          <w:marTop w:val="0"/>
          <w:marBottom w:val="0"/>
          <w:divBdr>
            <w:top w:val="none" w:sz="0" w:space="0" w:color="auto"/>
            <w:left w:val="none" w:sz="0" w:space="0" w:color="auto"/>
            <w:bottom w:val="none" w:sz="0" w:space="0" w:color="auto"/>
            <w:right w:val="none" w:sz="0" w:space="0" w:color="auto"/>
          </w:divBdr>
        </w:div>
        <w:div w:id="1301616315">
          <w:marLeft w:val="0"/>
          <w:marRight w:val="0"/>
          <w:marTop w:val="0"/>
          <w:marBottom w:val="0"/>
          <w:divBdr>
            <w:top w:val="none" w:sz="0" w:space="0" w:color="auto"/>
            <w:left w:val="none" w:sz="0" w:space="0" w:color="auto"/>
            <w:bottom w:val="none" w:sz="0" w:space="0" w:color="auto"/>
            <w:right w:val="none" w:sz="0" w:space="0" w:color="auto"/>
          </w:divBdr>
        </w:div>
        <w:div w:id="615210834">
          <w:marLeft w:val="0"/>
          <w:marRight w:val="0"/>
          <w:marTop w:val="0"/>
          <w:marBottom w:val="0"/>
          <w:divBdr>
            <w:top w:val="none" w:sz="0" w:space="0" w:color="auto"/>
            <w:left w:val="none" w:sz="0" w:space="0" w:color="auto"/>
            <w:bottom w:val="none" w:sz="0" w:space="0" w:color="auto"/>
            <w:right w:val="none" w:sz="0" w:space="0" w:color="auto"/>
          </w:divBdr>
        </w:div>
        <w:div w:id="1702315498">
          <w:marLeft w:val="0"/>
          <w:marRight w:val="0"/>
          <w:marTop w:val="0"/>
          <w:marBottom w:val="0"/>
          <w:divBdr>
            <w:top w:val="none" w:sz="0" w:space="0" w:color="auto"/>
            <w:left w:val="none" w:sz="0" w:space="0" w:color="auto"/>
            <w:bottom w:val="none" w:sz="0" w:space="0" w:color="auto"/>
            <w:right w:val="none" w:sz="0" w:space="0" w:color="auto"/>
          </w:divBdr>
        </w:div>
        <w:div w:id="1342784167">
          <w:marLeft w:val="0"/>
          <w:marRight w:val="0"/>
          <w:marTop w:val="0"/>
          <w:marBottom w:val="0"/>
          <w:divBdr>
            <w:top w:val="none" w:sz="0" w:space="0" w:color="auto"/>
            <w:left w:val="none" w:sz="0" w:space="0" w:color="auto"/>
            <w:bottom w:val="none" w:sz="0" w:space="0" w:color="auto"/>
            <w:right w:val="none" w:sz="0" w:space="0" w:color="auto"/>
          </w:divBdr>
        </w:div>
        <w:div w:id="335227128">
          <w:marLeft w:val="0"/>
          <w:marRight w:val="0"/>
          <w:marTop w:val="0"/>
          <w:marBottom w:val="0"/>
          <w:divBdr>
            <w:top w:val="none" w:sz="0" w:space="0" w:color="auto"/>
            <w:left w:val="none" w:sz="0" w:space="0" w:color="auto"/>
            <w:bottom w:val="none" w:sz="0" w:space="0" w:color="auto"/>
            <w:right w:val="none" w:sz="0" w:space="0" w:color="auto"/>
          </w:divBdr>
        </w:div>
        <w:div w:id="1292055739">
          <w:marLeft w:val="0"/>
          <w:marRight w:val="0"/>
          <w:marTop w:val="0"/>
          <w:marBottom w:val="0"/>
          <w:divBdr>
            <w:top w:val="none" w:sz="0" w:space="0" w:color="auto"/>
            <w:left w:val="none" w:sz="0" w:space="0" w:color="auto"/>
            <w:bottom w:val="none" w:sz="0" w:space="0" w:color="auto"/>
            <w:right w:val="none" w:sz="0" w:space="0" w:color="auto"/>
          </w:divBdr>
        </w:div>
        <w:div w:id="1986858741">
          <w:marLeft w:val="0"/>
          <w:marRight w:val="0"/>
          <w:marTop w:val="0"/>
          <w:marBottom w:val="0"/>
          <w:divBdr>
            <w:top w:val="none" w:sz="0" w:space="0" w:color="auto"/>
            <w:left w:val="none" w:sz="0" w:space="0" w:color="auto"/>
            <w:bottom w:val="none" w:sz="0" w:space="0" w:color="auto"/>
            <w:right w:val="none" w:sz="0" w:space="0" w:color="auto"/>
          </w:divBdr>
        </w:div>
        <w:div w:id="1507018249">
          <w:marLeft w:val="0"/>
          <w:marRight w:val="0"/>
          <w:marTop w:val="0"/>
          <w:marBottom w:val="0"/>
          <w:divBdr>
            <w:top w:val="none" w:sz="0" w:space="0" w:color="auto"/>
            <w:left w:val="none" w:sz="0" w:space="0" w:color="auto"/>
            <w:bottom w:val="none" w:sz="0" w:space="0" w:color="auto"/>
            <w:right w:val="none" w:sz="0" w:space="0" w:color="auto"/>
          </w:divBdr>
        </w:div>
        <w:div w:id="1439981762">
          <w:marLeft w:val="0"/>
          <w:marRight w:val="0"/>
          <w:marTop w:val="0"/>
          <w:marBottom w:val="0"/>
          <w:divBdr>
            <w:top w:val="none" w:sz="0" w:space="0" w:color="auto"/>
            <w:left w:val="none" w:sz="0" w:space="0" w:color="auto"/>
            <w:bottom w:val="none" w:sz="0" w:space="0" w:color="auto"/>
            <w:right w:val="none" w:sz="0" w:space="0" w:color="auto"/>
          </w:divBdr>
        </w:div>
        <w:div w:id="497236000">
          <w:marLeft w:val="0"/>
          <w:marRight w:val="0"/>
          <w:marTop w:val="0"/>
          <w:marBottom w:val="0"/>
          <w:divBdr>
            <w:top w:val="none" w:sz="0" w:space="0" w:color="auto"/>
            <w:left w:val="none" w:sz="0" w:space="0" w:color="auto"/>
            <w:bottom w:val="none" w:sz="0" w:space="0" w:color="auto"/>
            <w:right w:val="none" w:sz="0" w:space="0" w:color="auto"/>
          </w:divBdr>
        </w:div>
        <w:div w:id="1122190232">
          <w:marLeft w:val="0"/>
          <w:marRight w:val="0"/>
          <w:marTop w:val="0"/>
          <w:marBottom w:val="0"/>
          <w:divBdr>
            <w:top w:val="none" w:sz="0" w:space="0" w:color="auto"/>
            <w:left w:val="none" w:sz="0" w:space="0" w:color="auto"/>
            <w:bottom w:val="none" w:sz="0" w:space="0" w:color="auto"/>
            <w:right w:val="none" w:sz="0" w:space="0" w:color="auto"/>
          </w:divBdr>
        </w:div>
        <w:div w:id="1023089957">
          <w:marLeft w:val="0"/>
          <w:marRight w:val="0"/>
          <w:marTop w:val="0"/>
          <w:marBottom w:val="0"/>
          <w:divBdr>
            <w:top w:val="none" w:sz="0" w:space="0" w:color="auto"/>
            <w:left w:val="none" w:sz="0" w:space="0" w:color="auto"/>
            <w:bottom w:val="none" w:sz="0" w:space="0" w:color="auto"/>
            <w:right w:val="none" w:sz="0" w:space="0" w:color="auto"/>
          </w:divBdr>
        </w:div>
        <w:div w:id="504982083">
          <w:marLeft w:val="0"/>
          <w:marRight w:val="0"/>
          <w:marTop w:val="0"/>
          <w:marBottom w:val="0"/>
          <w:divBdr>
            <w:top w:val="none" w:sz="0" w:space="0" w:color="auto"/>
            <w:left w:val="none" w:sz="0" w:space="0" w:color="auto"/>
            <w:bottom w:val="none" w:sz="0" w:space="0" w:color="auto"/>
            <w:right w:val="none" w:sz="0" w:space="0" w:color="auto"/>
          </w:divBdr>
        </w:div>
        <w:div w:id="708841744">
          <w:marLeft w:val="0"/>
          <w:marRight w:val="0"/>
          <w:marTop w:val="0"/>
          <w:marBottom w:val="0"/>
          <w:divBdr>
            <w:top w:val="none" w:sz="0" w:space="0" w:color="auto"/>
            <w:left w:val="none" w:sz="0" w:space="0" w:color="auto"/>
            <w:bottom w:val="none" w:sz="0" w:space="0" w:color="auto"/>
            <w:right w:val="none" w:sz="0" w:space="0" w:color="auto"/>
          </w:divBdr>
        </w:div>
        <w:div w:id="216206712">
          <w:marLeft w:val="0"/>
          <w:marRight w:val="0"/>
          <w:marTop w:val="0"/>
          <w:marBottom w:val="0"/>
          <w:divBdr>
            <w:top w:val="none" w:sz="0" w:space="0" w:color="auto"/>
            <w:left w:val="none" w:sz="0" w:space="0" w:color="auto"/>
            <w:bottom w:val="none" w:sz="0" w:space="0" w:color="auto"/>
            <w:right w:val="none" w:sz="0" w:space="0" w:color="auto"/>
          </w:divBdr>
        </w:div>
        <w:div w:id="921720816">
          <w:marLeft w:val="0"/>
          <w:marRight w:val="0"/>
          <w:marTop w:val="0"/>
          <w:marBottom w:val="0"/>
          <w:divBdr>
            <w:top w:val="none" w:sz="0" w:space="0" w:color="auto"/>
            <w:left w:val="none" w:sz="0" w:space="0" w:color="auto"/>
            <w:bottom w:val="none" w:sz="0" w:space="0" w:color="auto"/>
            <w:right w:val="none" w:sz="0" w:space="0" w:color="auto"/>
          </w:divBdr>
        </w:div>
        <w:div w:id="562525100">
          <w:marLeft w:val="0"/>
          <w:marRight w:val="0"/>
          <w:marTop w:val="0"/>
          <w:marBottom w:val="0"/>
          <w:divBdr>
            <w:top w:val="none" w:sz="0" w:space="0" w:color="auto"/>
            <w:left w:val="none" w:sz="0" w:space="0" w:color="auto"/>
            <w:bottom w:val="none" w:sz="0" w:space="0" w:color="auto"/>
            <w:right w:val="none" w:sz="0" w:space="0" w:color="auto"/>
          </w:divBdr>
        </w:div>
        <w:div w:id="877012003">
          <w:marLeft w:val="0"/>
          <w:marRight w:val="0"/>
          <w:marTop w:val="0"/>
          <w:marBottom w:val="0"/>
          <w:divBdr>
            <w:top w:val="none" w:sz="0" w:space="0" w:color="auto"/>
            <w:left w:val="none" w:sz="0" w:space="0" w:color="auto"/>
            <w:bottom w:val="none" w:sz="0" w:space="0" w:color="auto"/>
            <w:right w:val="none" w:sz="0" w:space="0" w:color="auto"/>
          </w:divBdr>
        </w:div>
        <w:div w:id="1576208546">
          <w:marLeft w:val="0"/>
          <w:marRight w:val="0"/>
          <w:marTop w:val="0"/>
          <w:marBottom w:val="0"/>
          <w:divBdr>
            <w:top w:val="none" w:sz="0" w:space="0" w:color="auto"/>
            <w:left w:val="none" w:sz="0" w:space="0" w:color="auto"/>
            <w:bottom w:val="none" w:sz="0" w:space="0" w:color="auto"/>
            <w:right w:val="none" w:sz="0" w:space="0" w:color="auto"/>
          </w:divBdr>
        </w:div>
        <w:div w:id="1027295883">
          <w:marLeft w:val="0"/>
          <w:marRight w:val="0"/>
          <w:marTop w:val="0"/>
          <w:marBottom w:val="0"/>
          <w:divBdr>
            <w:top w:val="none" w:sz="0" w:space="0" w:color="auto"/>
            <w:left w:val="none" w:sz="0" w:space="0" w:color="auto"/>
            <w:bottom w:val="none" w:sz="0" w:space="0" w:color="auto"/>
            <w:right w:val="none" w:sz="0" w:space="0" w:color="auto"/>
          </w:divBdr>
        </w:div>
        <w:div w:id="1689453244">
          <w:marLeft w:val="0"/>
          <w:marRight w:val="0"/>
          <w:marTop w:val="0"/>
          <w:marBottom w:val="0"/>
          <w:divBdr>
            <w:top w:val="none" w:sz="0" w:space="0" w:color="auto"/>
            <w:left w:val="none" w:sz="0" w:space="0" w:color="auto"/>
            <w:bottom w:val="none" w:sz="0" w:space="0" w:color="auto"/>
            <w:right w:val="none" w:sz="0" w:space="0" w:color="auto"/>
          </w:divBdr>
        </w:div>
        <w:div w:id="2024547050">
          <w:marLeft w:val="0"/>
          <w:marRight w:val="0"/>
          <w:marTop w:val="0"/>
          <w:marBottom w:val="0"/>
          <w:divBdr>
            <w:top w:val="none" w:sz="0" w:space="0" w:color="auto"/>
            <w:left w:val="none" w:sz="0" w:space="0" w:color="auto"/>
            <w:bottom w:val="none" w:sz="0" w:space="0" w:color="auto"/>
            <w:right w:val="none" w:sz="0" w:space="0" w:color="auto"/>
          </w:divBdr>
        </w:div>
        <w:div w:id="1967080990">
          <w:marLeft w:val="0"/>
          <w:marRight w:val="0"/>
          <w:marTop w:val="0"/>
          <w:marBottom w:val="0"/>
          <w:divBdr>
            <w:top w:val="none" w:sz="0" w:space="0" w:color="auto"/>
            <w:left w:val="none" w:sz="0" w:space="0" w:color="auto"/>
            <w:bottom w:val="none" w:sz="0" w:space="0" w:color="auto"/>
            <w:right w:val="none" w:sz="0" w:space="0" w:color="auto"/>
          </w:divBdr>
        </w:div>
        <w:div w:id="438455729">
          <w:marLeft w:val="0"/>
          <w:marRight w:val="0"/>
          <w:marTop w:val="0"/>
          <w:marBottom w:val="0"/>
          <w:divBdr>
            <w:top w:val="none" w:sz="0" w:space="0" w:color="auto"/>
            <w:left w:val="none" w:sz="0" w:space="0" w:color="auto"/>
            <w:bottom w:val="none" w:sz="0" w:space="0" w:color="auto"/>
            <w:right w:val="none" w:sz="0" w:space="0" w:color="auto"/>
          </w:divBdr>
        </w:div>
        <w:div w:id="308285151">
          <w:marLeft w:val="0"/>
          <w:marRight w:val="0"/>
          <w:marTop w:val="0"/>
          <w:marBottom w:val="0"/>
          <w:divBdr>
            <w:top w:val="none" w:sz="0" w:space="0" w:color="auto"/>
            <w:left w:val="none" w:sz="0" w:space="0" w:color="auto"/>
            <w:bottom w:val="none" w:sz="0" w:space="0" w:color="auto"/>
            <w:right w:val="none" w:sz="0" w:space="0" w:color="auto"/>
          </w:divBdr>
        </w:div>
        <w:div w:id="491914573">
          <w:marLeft w:val="0"/>
          <w:marRight w:val="0"/>
          <w:marTop w:val="0"/>
          <w:marBottom w:val="0"/>
          <w:divBdr>
            <w:top w:val="none" w:sz="0" w:space="0" w:color="auto"/>
            <w:left w:val="none" w:sz="0" w:space="0" w:color="auto"/>
            <w:bottom w:val="none" w:sz="0" w:space="0" w:color="auto"/>
            <w:right w:val="none" w:sz="0" w:space="0" w:color="auto"/>
          </w:divBdr>
        </w:div>
        <w:div w:id="1842889610">
          <w:marLeft w:val="0"/>
          <w:marRight w:val="0"/>
          <w:marTop w:val="0"/>
          <w:marBottom w:val="0"/>
          <w:divBdr>
            <w:top w:val="none" w:sz="0" w:space="0" w:color="auto"/>
            <w:left w:val="none" w:sz="0" w:space="0" w:color="auto"/>
            <w:bottom w:val="none" w:sz="0" w:space="0" w:color="auto"/>
            <w:right w:val="none" w:sz="0" w:space="0" w:color="auto"/>
          </w:divBdr>
        </w:div>
        <w:div w:id="791943043">
          <w:marLeft w:val="0"/>
          <w:marRight w:val="0"/>
          <w:marTop w:val="0"/>
          <w:marBottom w:val="0"/>
          <w:divBdr>
            <w:top w:val="none" w:sz="0" w:space="0" w:color="auto"/>
            <w:left w:val="none" w:sz="0" w:space="0" w:color="auto"/>
            <w:bottom w:val="none" w:sz="0" w:space="0" w:color="auto"/>
            <w:right w:val="none" w:sz="0" w:space="0" w:color="auto"/>
          </w:divBdr>
        </w:div>
        <w:div w:id="2084254097">
          <w:marLeft w:val="0"/>
          <w:marRight w:val="0"/>
          <w:marTop w:val="0"/>
          <w:marBottom w:val="0"/>
          <w:divBdr>
            <w:top w:val="none" w:sz="0" w:space="0" w:color="auto"/>
            <w:left w:val="none" w:sz="0" w:space="0" w:color="auto"/>
            <w:bottom w:val="none" w:sz="0" w:space="0" w:color="auto"/>
            <w:right w:val="none" w:sz="0" w:space="0" w:color="auto"/>
          </w:divBdr>
        </w:div>
        <w:div w:id="501359446">
          <w:marLeft w:val="0"/>
          <w:marRight w:val="0"/>
          <w:marTop w:val="0"/>
          <w:marBottom w:val="0"/>
          <w:divBdr>
            <w:top w:val="none" w:sz="0" w:space="0" w:color="auto"/>
            <w:left w:val="none" w:sz="0" w:space="0" w:color="auto"/>
            <w:bottom w:val="none" w:sz="0" w:space="0" w:color="auto"/>
            <w:right w:val="none" w:sz="0" w:space="0" w:color="auto"/>
          </w:divBdr>
        </w:div>
        <w:div w:id="478426681">
          <w:marLeft w:val="0"/>
          <w:marRight w:val="0"/>
          <w:marTop w:val="0"/>
          <w:marBottom w:val="0"/>
          <w:divBdr>
            <w:top w:val="none" w:sz="0" w:space="0" w:color="auto"/>
            <w:left w:val="none" w:sz="0" w:space="0" w:color="auto"/>
            <w:bottom w:val="none" w:sz="0" w:space="0" w:color="auto"/>
            <w:right w:val="none" w:sz="0" w:space="0" w:color="auto"/>
          </w:divBdr>
        </w:div>
        <w:div w:id="870800162">
          <w:marLeft w:val="0"/>
          <w:marRight w:val="0"/>
          <w:marTop w:val="0"/>
          <w:marBottom w:val="0"/>
          <w:divBdr>
            <w:top w:val="none" w:sz="0" w:space="0" w:color="auto"/>
            <w:left w:val="none" w:sz="0" w:space="0" w:color="auto"/>
            <w:bottom w:val="none" w:sz="0" w:space="0" w:color="auto"/>
            <w:right w:val="none" w:sz="0" w:space="0" w:color="auto"/>
          </w:divBdr>
        </w:div>
        <w:div w:id="1568146441">
          <w:marLeft w:val="0"/>
          <w:marRight w:val="0"/>
          <w:marTop w:val="0"/>
          <w:marBottom w:val="0"/>
          <w:divBdr>
            <w:top w:val="none" w:sz="0" w:space="0" w:color="auto"/>
            <w:left w:val="none" w:sz="0" w:space="0" w:color="auto"/>
            <w:bottom w:val="none" w:sz="0" w:space="0" w:color="auto"/>
            <w:right w:val="none" w:sz="0" w:space="0" w:color="auto"/>
          </w:divBdr>
        </w:div>
        <w:div w:id="1624075081">
          <w:marLeft w:val="0"/>
          <w:marRight w:val="0"/>
          <w:marTop w:val="0"/>
          <w:marBottom w:val="0"/>
          <w:divBdr>
            <w:top w:val="none" w:sz="0" w:space="0" w:color="auto"/>
            <w:left w:val="none" w:sz="0" w:space="0" w:color="auto"/>
            <w:bottom w:val="none" w:sz="0" w:space="0" w:color="auto"/>
            <w:right w:val="none" w:sz="0" w:space="0" w:color="auto"/>
          </w:divBdr>
        </w:div>
        <w:div w:id="55591907">
          <w:marLeft w:val="0"/>
          <w:marRight w:val="0"/>
          <w:marTop w:val="0"/>
          <w:marBottom w:val="0"/>
          <w:divBdr>
            <w:top w:val="none" w:sz="0" w:space="0" w:color="auto"/>
            <w:left w:val="none" w:sz="0" w:space="0" w:color="auto"/>
            <w:bottom w:val="none" w:sz="0" w:space="0" w:color="auto"/>
            <w:right w:val="none" w:sz="0" w:space="0" w:color="auto"/>
          </w:divBdr>
        </w:div>
        <w:div w:id="1971739023">
          <w:marLeft w:val="0"/>
          <w:marRight w:val="0"/>
          <w:marTop w:val="0"/>
          <w:marBottom w:val="0"/>
          <w:divBdr>
            <w:top w:val="none" w:sz="0" w:space="0" w:color="auto"/>
            <w:left w:val="none" w:sz="0" w:space="0" w:color="auto"/>
            <w:bottom w:val="none" w:sz="0" w:space="0" w:color="auto"/>
            <w:right w:val="none" w:sz="0" w:space="0" w:color="auto"/>
          </w:divBdr>
        </w:div>
        <w:div w:id="1669476179">
          <w:marLeft w:val="0"/>
          <w:marRight w:val="0"/>
          <w:marTop w:val="0"/>
          <w:marBottom w:val="0"/>
          <w:divBdr>
            <w:top w:val="none" w:sz="0" w:space="0" w:color="auto"/>
            <w:left w:val="none" w:sz="0" w:space="0" w:color="auto"/>
            <w:bottom w:val="none" w:sz="0" w:space="0" w:color="auto"/>
            <w:right w:val="none" w:sz="0" w:space="0" w:color="auto"/>
          </w:divBdr>
        </w:div>
        <w:div w:id="460155230">
          <w:marLeft w:val="0"/>
          <w:marRight w:val="0"/>
          <w:marTop w:val="0"/>
          <w:marBottom w:val="0"/>
          <w:divBdr>
            <w:top w:val="none" w:sz="0" w:space="0" w:color="auto"/>
            <w:left w:val="none" w:sz="0" w:space="0" w:color="auto"/>
            <w:bottom w:val="none" w:sz="0" w:space="0" w:color="auto"/>
            <w:right w:val="none" w:sz="0" w:space="0" w:color="auto"/>
          </w:divBdr>
        </w:div>
        <w:div w:id="1554585231">
          <w:marLeft w:val="0"/>
          <w:marRight w:val="0"/>
          <w:marTop w:val="0"/>
          <w:marBottom w:val="0"/>
          <w:divBdr>
            <w:top w:val="none" w:sz="0" w:space="0" w:color="auto"/>
            <w:left w:val="none" w:sz="0" w:space="0" w:color="auto"/>
            <w:bottom w:val="none" w:sz="0" w:space="0" w:color="auto"/>
            <w:right w:val="none" w:sz="0" w:space="0" w:color="auto"/>
          </w:divBdr>
        </w:div>
        <w:div w:id="1641108915">
          <w:marLeft w:val="0"/>
          <w:marRight w:val="0"/>
          <w:marTop w:val="0"/>
          <w:marBottom w:val="0"/>
          <w:divBdr>
            <w:top w:val="none" w:sz="0" w:space="0" w:color="auto"/>
            <w:left w:val="none" w:sz="0" w:space="0" w:color="auto"/>
            <w:bottom w:val="none" w:sz="0" w:space="0" w:color="auto"/>
            <w:right w:val="none" w:sz="0" w:space="0" w:color="auto"/>
          </w:divBdr>
        </w:div>
        <w:div w:id="1381124052">
          <w:marLeft w:val="0"/>
          <w:marRight w:val="0"/>
          <w:marTop w:val="0"/>
          <w:marBottom w:val="0"/>
          <w:divBdr>
            <w:top w:val="none" w:sz="0" w:space="0" w:color="auto"/>
            <w:left w:val="none" w:sz="0" w:space="0" w:color="auto"/>
            <w:bottom w:val="none" w:sz="0" w:space="0" w:color="auto"/>
            <w:right w:val="none" w:sz="0" w:space="0" w:color="auto"/>
          </w:divBdr>
        </w:div>
        <w:div w:id="585770053">
          <w:marLeft w:val="0"/>
          <w:marRight w:val="0"/>
          <w:marTop w:val="0"/>
          <w:marBottom w:val="0"/>
          <w:divBdr>
            <w:top w:val="none" w:sz="0" w:space="0" w:color="auto"/>
            <w:left w:val="none" w:sz="0" w:space="0" w:color="auto"/>
            <w:bottom w:val="none" w:sz="0" w:space="0" w:color="auto"/>
            <w:right w:val="none" w:sz="0" w:space="0" w:color="auto"/>
          </w:divBdr>
        </w:div>
        <w:div w:id="1225036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CFE25E-26E8-4E06-B2EA-94EFC1770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1273</TotalTime>
  <Pages>6</Pages>
  <Words>491</Words>
  <Characters>2803</Characters>
  <Application>Microsoft Office Word</Application>
  <DocSecurity>0</DocSecurity>
  <Lines>23</Lines>
  <Paragraphs>6</Paragraphs>
  <ScaleCrop>false</ScaleCrop>
  <Company>Taiwancement</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徐培源</dc:creator>
  <cp:keywords/>
  <dc:description/>
  <cp:lastModifiedBy>徐培源</cp:lastModifiedBy>
  <cp:revision>31</cp:revision>
  <dcterms:created xsi:type="dcterms:W3CDTF">2025-10-02T05:35:00Z</dcterms:created>
  <dcterms:modified xsi:type="dcterms:W3CDTF">2025-10-03T02:48:00Z</dcterms:modified>
</cp:coreProperties>
</file>