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85FAC9" w14:textId="77777777" w:rsidR="006C6442" w:rsidRPr="006C6442" w:rsidRDefault="006C6442" w:rsidP="006C6442">
      <w:pPr>
        <w:widowControl/>
        <w:spacing w:before="100" w:beforeAutospacing="1" w:after="100" w:afterAutospacing="1"/>
        <w:outlineLvl w:val="0"/>
        <w:rPr>
          <w:rFonts w:ascii="Arial" w:eastAsia="新細明體" w:hAnsi="Arial" w:cs="Arial"/>
          <w:b/>
          <w:bCs/>
          <w:kern w:val="36"/>
          <w:sz w:val="48"/>
          <w:szCs w:val="48"/>
        </w:rPr>
      </w:pPr>
      <w:r w:rsidRPr="006C6442">
        <w:rPr>
          <w:rFonts w:ascii="Arial" w:eastAsia="新細明體" w:hAnsi="Arial" w:cs="Arial"/>
          <w:b/>
          <w:bCs/>
          <w:kern w:val="36"/>
          <w:sz w:val="48"/>
          <w:szCs w:val="48"/>
        </w:rPr>
        <w:t>Understanding Climate Risk: A Guide for Businesses and Investors</w:t>
      </w:r>
    </w:p>
    <w:p w14:paraId="63F2D293" w14:textId="77777777" w:rsidR="006C6442" w:rsidRPr="006C6442" w:rsidRDefault="006C6442" w:rsidP="006C6442">
      <w:pPr>
        <w:widowControl/>
        <w:spacing w:before="100" w:beforeAutospacing="1" w:after="100" w:afterAutospacing="1"/>
        <w:rPr>
          <w:rFonts w:ascii="Arial" w:eastAsia="新細明體" w:hAnsi="Arial" w:cs="Arial"/>
          <w:kern w:val="0"/>
          <w:szCs w:val="24"/>
        </w:rPr>
      </w:pPr>
      <w:r w:rsidRPr="006C6442">
        <w:rPr>
          <w:rFonts w:ascii="Arial" w:eastAsia="新細明體" w:hAnsi="Arial" w:cs="Arial"/>
          <w:kern w:val="0"/>
          <w:szCs w:val="24"/>
        </w:rPr>
        <w:t>Climate change is often discussed as an environmental issue, but it is also one of the most critical financial and investment challenges of our time. For companies and the investors who fund them, the effects of a changing climate are no longer distant possibilities; they are tangible risks that can impact profitability, asset value, and long-term survival.</w:t>
      </w:r>
    </w:p>
    <w:p w14:paraId="75853E45" w14:textId="77777777" w:rsidR="006C6442" w:rsidRPr="006C6442" w:rsidRDefault="006C6442" w:rsidP="006C6442">
      <w:pPr>
        <w:widowControl/>
        <w:spacing w:before="100" w:beforeAutospacing="1" w:after="100" w:afterAutospacing="1"/>
        <w:rPr>
          <w:rFonts w:ascii="Arial" w:eastAsia="新細明體" w:hAnsi="Arial" w:cs="Arial"/>
          <w:kern w:val="0"/>
          <w:szCs w:val="24"/>
        </w:rPr>
      </w:pPr>
      <w:r w:rsidRPr="006C6442">
        <w:rPr>
          <w:rFonts w:ascii="Arial" w:eastAsia="新細明體" w:hAnsi="Arial" w:cs="Arial"/>
          <w:kern w:val="0"/>
          <w:szCs w:val="24"/>
        </w:rPr>
        <w:t>This guide explains the two primary categories of climate-related financial risk—</w:t>
      </w:r>
      <w:r w:rsidRPr="006C6442">
        <w:rPr>
          <w:rFonts w:ascii="Arial" w:eastAsia="新細明體" w:hAnsi="Arial" w:cs="Arial"/>
          <w:b/>
          <w:bCs/>
          <w:kern w:val="0"/>
          <w:szCs w:val="24"/>
        </w:rPr>
        <w:t>Physical Risk</w:t>
      </w:r>
      <w:r w:rsidRPr="006C6442">
        <w:rPr>
          <w:rFonts w:ascii="Arial" w:eastAsia="新細明體" w:hAnsi="Arial" w:cs="Arial"/>
          <w:kern w:val="0"/>
          <w:szCs w:val="24"/>
        </w:rPr>
        <w:t xml:space="preserve"> and </w:t>
      </w:r>
      <w:r w:rsidRPr="006C6442">
        <w:rPr>
          <w:rFonts w:ascii="Arial" w:eastAsia="新細明體" w:hAnsi="Arial" w:cs="Arial"/>
          <w:b/>
          <w:bCs/>
          <w:kern w:val="0"/>
          <w:szCs w:val="24"/>
        </w:rPr>
        <w:t>Transition Risk</w:t>
      </w:r>
      <w:r w:rsidRPr="006C6442">
        <w:rPr>
          <w:rFonts w:ascii="Arial" w:eastAsia="新細明體" w:hAnsi="Arial" w:cs="Arial"/>
          <w:kern w:val="0"/>
          <w:szCs w:val="24"/>
        </w:rPr>
        <w:t>—to help new learners understand how they directly affect company value and investment outcomes.</w:t>
      </w:r>
    </w:p>
    <w:p w14:paraId="13B2DA59" w14:textId="77777777" w:rsidR="006C6442" w:rsidRPr="006C6442" w:rsidRDefault="006C6442" w:rsidP="006C6442">
      <w:pPr>
        <w:widowControl/>
        <w:spacing w:before="100" w:beforeAutospacing="1" w:after="100" w:afterAutospacing="1"/>
        <w:outlineLvl w:val="1"/>
        <w:rPr>
          <w:rFonts w:ascii="Arial" w:eastAsia="新細明體" w:hAnsi="Arial" w:cs="Arial"/>
          <w:b/>
          <w:bCs/>
          <w:kern w:val="0"/>
          <w:sz w:val="36"/>
          <w:szCs w:val="36"/>
        </w:rPr>
      </w:pPr>
      <w:r w:rsidRPr="006C6442">
        <w:rPr>
          <w:rFonts w:ascii="Arial" w:eastAsia="新細明體" w:hAnsi="Arial" w:cs="Arial"/>
          <w:b/>
          <w:bCs/>
          <w:kern w:val="0"/>
          <w:sz w:val="36"/>
          <w:szCs w:val="36"/>
        </w:rPr>
        <w:t>1. What is Physical Climate Risk? The Direct Impact of Extreme Weather</w:t>
      </w:r>
    </w:p>
    <w:p w14:paraId="4F6F56C8" w14:textId="77777777" w:rsidR="006C6442" w:rsidRPr="006C6442" w:rsidRDefault="006C6442" w:rsidP="006C6442">
      <w:pPr>
        <w:widowControl/>
        <w:spacing w:before="100" w:beforeAutospacing="1" w:after="100" w:afterAutospacing="1"/>
        <w:rPr>
          <w:rFonts w:ascii="Arial" w:eastAsia="新細明體" w:hAnsi="Arial" w:cs="Arial"/>
          <w:kern w:val="0"/>
          <w:szCs w:val="24"/>
        </w:rPr>
      </w:pPr>
      <w:r w:rsidRPr="006C6442">
        <w:rPr>
          <w:rFonts w:ascii="Arial" w:eastAsia="新細明體" w:hAnsi="Arial" w:cs="Arial"/>
          <w:kern w:val="0"/>
          <w:szCs w:val="24"/>
        </w:rPr>
        <w:t>Physical Risk refers to the financial losses caused by the increasing frequency and severity of climate-related events. These are the direct, tangible damages that result from events like hurricanes, floods, wildfires, and heatwaves.</w:t>
      </w:r>
    </w:p>
    <w:p w14:paraId="7D61174F" w14:textId="77777777" w:rsidR="006C6442" w:rsidRPr="006C6442" w:rsidRDefault="006C6442" w:rsidP="006C6442">
      <w:pPr>
        <w:widowControl/>
        <w:spacing w:before="100" w:beforeAutospacing="1" w:after="100" w:afterAutospacing="1"/>
        <w:rPr>
          <w:rFonts w:ascii="Arial" w:eastAsia="新細明體" w:hAnsi="Arial" w:cs="Arial"/>
          <w:kern w:val="0"/>
          <w:szCs w:val="24"/>
        </w:rPr>
      </w:pPr>
      <w:r w:rsidRPr="006C6442">
        <w:rPr>
          <w:rFonts w:ascii="Arial" w:eastAsia="新細明體" w:hAnsi="Arial" w:cs="Arial"/>
          <w:kern w:val="0"/>
          <w:szCs w:val="24"/>
        </w:rPr>
        <w:t>A primary example of a physical risk is a hurricane. When a hurricane strikes, it can cause direct financial harm to a company by damaging its physical assets (like factories and offices) and interrupting its business operations. These disruptions lead to lost revenue and higher costs for repairs and recovery.</w:t>
      </w:r>
    </w:p>
    <w:p w14:paraId="10C83E0B" w14:textId="77777777" w:rsidR="006C6442" w:rsidRPr="006C6442" w:rsidRDefault="006C6442" w:rsidP="006C6442">
      <w:pPr>
        <w:widowControl/>
        <w:spacing w:before="100" w:beforeAutospacing="1" w:after="100" w:afterAutospacing="1"/>
        <w:rPr>
          <w:rFonts w:ascii="Arial" w:eastAsia="新細明體" w:hAnsi="Arial" w:cs="Arial"/>
          <w:kern w:val="0"/>
          <w:szCs w:val="24"/>
        </w:rPr>
      </w:pPr>
      <w:r w:rsidRPr="006C6442">
        <w:rPr>
          <w:rFonts w:ascii="Arial" w:eastAsia="新細明體" w:hAnsi="Arial" w:cs="Arial"/>
          <w:kern w:val="0"/>
          <w:szCs w:val="24"/>
        </w:rPr>
        <w:t xml:space="preserve">A detailed MSCI study on hurricanes found that firms with assets in a hurricane's path experienced </w:t>
      </w:r>
      <w:r w:rsidRPr="006C6442">
        <w:rPr>
          <w:rFonts w:ascii="Arial" w:eastAsia="新細明體" w:hAnsi="Arial" w:cs="Arial"/>
          <w:b/>
          <w:bCs/>
          <w:kern w:val="0"/>
          <w:szCs w:val="24"/>
        </w:rPr>
        <w:t>statistically significant underperformance, even after controlling for market, sector and style factors.</w:t>
      </w:r>
      <w:r w:rsidRPr="006C6442">
        <w:rPr>
          <w:rFonts w:ascii="Arial" w:eastAsia="新細明體" w:hAnsi="Arial" w:cs="Arial"/>
          <w:kern w:val="0"/>
          <w:szCs w:val="24"/>
        </w:rPr>
        <w:t xml:space="preserve"> This negative financial impact was not a one-</w:t>
      </w:r>
      <w:r w:rsidRPr="006C6442">
        <w:rPr>
          <w:rFonts w:ascii="Arial" w:eastAsia="新細明體" w:hAnsi="Arial" w:cs="Arial"/>
          <w:kern w:val="0"/>
          <w:szCs w:val="24"/>
        </w:rPr>
        <w:lastRenderedPageBreak/>
        <w:t xml:space="preserve">day event; it accumulated gradually, worsening for up to 30 business days after the storm. Furthermore, </w:t>
      </w:r>
      <w:r w:rsidRPr="006C6442">
        <w:rPr>
          <w:rFonts w:ascii="Arial" w:eastAsia="新細明體" w:hAnsi="Arial" w:cs="Arial"/>
          <w:b/>
          <w:bCs/>
          <w:kern w:val="0"/>
          <w:szCs w:val="24"/>
        </w:rPr>
        <w:t>tail risk rose</w:t>
      </w:r>
      <w:r w:rsidRPr="006C6442">
        <w:rPr>
          <w:rFonts w:ascii="Arial" w:eastAsia="新細明體" w:hAnsi="Arial" w:cs="Arial"/>
          <w:kern w:val="0"/>
          <w:szCs w:val="24"/>
        </w:rPr>
        <w:t xml:space="preserve"> for exposed firms, meaning the most extreme negative outcomes became more severe.</w:t>
      </w:r>
    </w:p>
    <w:p w14:paraId="6D00E7B6" w14:textId="77777777" w:rsidR="006C6442" w:rsidRPr="006C6442" w:rsidRDefault="006C6442" w:rsidP="006C6442">
      <w:pPr>
        <w:widowControl/>
        <w:spacing w:before="100" w:beforeAutospacing="1" w:after="100" w:afterAutospacing="1"/>
        <w:rPr>
          <w:rFonts w:ascii="Arial" w:eastAsia="新細明體" w:hAnsi="Arial" w:cs="Arial"/>
          <w:kern w:val="0"/>
          <w:szCs w:val="24"/>
        </w:rPr>
      </w:pPr>
      <w:r w:rsidRPr="006C6442">
        <w:rPr>
          <w:rFonts w:ascii="Arial" w:eastAsia="新細明體" w:hAnsi="Arial" w:cs="Arial"/>
          <w:kern w:val="0"/>
          <w:szCs w:val="24"/>
        </w:rPr>
        <w:t>However, this risk is not distributed equally. The level of impact depends heavily on a company's specific situation, particularly where it operates and what industry it's in.</w:t>
      </w:r>
    </w:p>
    <w:p w14:paraId="56C62867" w14:textId="77777777" w:rsidR="006C6442" w:rsidRPr="006C6442" w:rsidRDefault="006C6442" w:rsidP="006C6442">
      <w:pPr>
        <w:widowControl/>
        <w:spacing w:before="100" w:beforeAutospacing="1" w:after="100" w:afterAutospacing="1"/>
        <w:outlineLvl w:val="2"/>
        <w:rPr>
          <w:rFonts w:ascii="Arial" w:eastAsia="新細明體" w:hAnsi="Arial" w:cs="Arial"/>
          <w:b/>
          <w:bCs/>
          <w:kern w:val="0"/>
          <w:sz w:val="27"/>
          <w:szCs w:val="27"/>
        </w:rPr>
      </w:pPr>
      <w:r w:rsidRPr="006C6442">
        <w:rPr>
          <w:rFonts w:ascii="Arial" w:eastAsia="新細明體" w:hAnsi="Arial" w:cs="Arial"/>
          <w:b/>
          <w:bCs/>
          <w:kern w:val="0"/>
          <w:sz w:val="27"/>
          <w:szCs w:val="27"/>
        </w:rPr>
        <w:t>1.1. Why Location and Concentration are Crucial</w:t>
      </w:r>
    </w:p>
    <w:p w14:paraId="0B08D7DB" w14:textId="77777777" w:rsidR="006C6442" w:rsidRPr="006C6442" w:rsidRDefault="006C6442" w:rsidP="006C6442">
      <w:pPr>
        <w:widowControl/>
        <w:spacing w:before="100" w:beforeAutospacing="1" w:after="100" w:afterAutospacing="1"/>
        <w:rPr>
          <w:rFonts w:ascii="Arial" w:eastAsia="新細明體" w:hAnsi="Arial" w:cs="Arial"/>
          <w:kern w:val="0"/>
          <w:szCs w:val="24"/>
        </w:rPr>
      </w:pPr>
      <w:r w:rsidRPr="006C6442">
        <w:rPr>
          <w:rFonts w:ascii="Arial" w:eastAsia="新細明體" w:hAnsi="Arial" w:cs="Arial"/>
          <w:kern w:val="0"/>
          <w:szCs w:val="24"/>
        </w:rPr>
        <w:t xml:space="preserve">The concept of </w:t>
      </w:r>
      <w:r w:rsidRPr="006C6442">
        <w:rPr>
          <w:rFonts w:ascii="Arial" w:eastAsia="新細明體" w:hAnsi="Arial" w:cs="Arial"/>
          <w:b/>
          <w:bCs/>
          <w:kern w:val="0"/>
          <w:szCs w:val="24"/>
        </w:rPr>
        <w:t>exposure concentration</w:t>
      </w:r>
      <w:r w:rsidRPr="006C6442">
        <w:rPr>
          <w:rFonts w:ascii="Arial" w:eastAsia="新細明體" w:hAnsi="Arial" w:cs="Arial"/>
          <w:kern w:val="0"/>
          <w:szCs w:val="24"/>
        </w:rPr>
        <w:t xml:space="preserve"> is key to understanding physical risk. The study found that companies with a higher concentration of their assets or revenue in hurricane-affected areas consistently underperformed more than companies with geographically diversified operations. The MSCI study grouped companies into quintiles based on their asset exposure, finding that firms in the top quintile—those with the greatest physical dependency on impacted sites—consistently showed the deepest underperformance.</w:t>
      </w:r>
    </w:p>
    <w:p w14:paraId="6D4D9744" w14:textId="77777777" w:rsidR="006C6442" w:rsidRPr="006C6442" w:rsidRDefault="006C6442" w:rsidP="006C6442">
      <w:pPr>
        <w:widowControl/>
        <w:spacing w:before="100" w:beforeAutospacing="1" w:after="100" w:afterAutospacing="1"/>
        <w:rPr>
          <w:rFonts w:ascii="Arial" w:eastAsia="新細明體" w:hAnsi="Arial" w:cs="Arial"/>
          <w:kern w:val="0"/>
          <w:szCs w:val="24"/>
        </w:rPr>
      </w:pPr>
      <w:r w:rsidRPr="006C6442">
        <w:rPr>
          <w:rFonts w:ascii="Arial" w:eastAsia="新細明體" w:hAnsi="Arial" w:cs="Arial"/>
          <w:kern w:val="0"/>
          <w:szCs w:val="24"/>
        </w:rPr>
        <w:t xml:space="preserve">This highlights a critical lesson: </w:t>
      </w:r>
      <w:r w:rsidRPr="006C6442">
        <w:rPr>
          <w:rFonts w:ascii="Arial" w:eastAsia="新細明體" w:hAnsi="Arial" w:cs="Arial"/>
          <w:i/>
          <w:iCs/>
          <w:kern w:val="0"/>
          <w:szCs w:val="24"/>
        </w:rPr>
        <w:t>where</w:t>
      </w:r>
      <w:r w:rsidRPr="006C6442">
        <w:rPr>
          <w:rFonts w:ascii="Arial" w:eastAsia="新細明體" w:hAnsi="Arial" w:cs="Arial"/>
          <w:kern w:val="0"/>
          <w:szCs w:val="24"/>
        </w:rPr>
        <w:t xml:space="preserve"> a company's assets are located is a fundamental factor in its climate risk profile. A business with all its factories in a single, hurricane-prone coastal region is far more vulnerable than a competitor with facilities spread across different geographic areas.</w:t>
      </w:r>
    </w:p>
    <w:p w14:paraId="54B0FA12" w14:textId="77777777" w:rsidR="006C6442" w:rsidRPr="006C6442" w:rsidRDefault="006C6442" w:rsidP="006C6442">
      <w:pPr>
        <w:widowControl/>
        <w:spacing w:before="100" w:beforeAutospacing="1" w:after="100" w:afterAutospacing="1"/>
        <w:outlineLvl w:val="2"/>
        <w:rPr>
          <w:rFonts w:ascii="Arial" w:eastAsia="新細明體" w:hAnsi="Arial" w:cs="Arial"/>
          <w:b/>
          <w:bCs/>
          <w:kern w:val="0"/>
          <w:sz w:val="27"/>
          <w:szCs w:val="27"/>
        </w:rPr>
      </w:pPr>
      <w:r w:rsidRPr="006C6442">
        <w:rPr>
          <w:rFonts w:ascii="Arial" w:eastAsia="新細明體" w:hAnsi="Arial" w:cs="Arial"/>
          <w:b/>
          <w:bCs/>
          <w:kern w:val="0"/>
          <w:sz w:val="27"/>
          <w:szCs w:val="27"/>
        </w:rPr>
        <w:t>1.2. Sector Vulnerability: Who Gets Hit Hardest?</w:t>
      </w:r>
    </w:p>
    <w:p w14:paraId="247673CF" w14:textId="77777777" w:rsidR="006C6442" w:rsidRPr="006C6442" w:rsidRDefault="006C6442" w:rsidP="006C6442">
      <w:pPr>
        <w:widowControl/>
        <w:spacing w:before="100" w:beforeAutospacing="1" w:after="100" w:afterAutospacing="1"/>
        <w:rPr>
          <w:rFonts w:ascii="Arial" w:eastAsia="新細明體" w:hAnsi="Arial" w:cs="Arial"/>
          <w:kern w:val="0"/>
          <w:szCs w:val="24"/>
        </w:rPr>
      </w:pPr>
      <w:r w:rsidRPr="006C6442">
        <w:rPr>
          <w:rFonts w:ascii="Arial" w:eastAsia="新細明體" w:hAnsi="Arial" w:cs="Arial"/>
          <w:kern w:val="0"/>
          <w:szCs w:val="24"/>
        </w:rPr>
        <w:t>Different industries have different vulnerabilities to physical risks. The impact of a hurricane on a utility company with fixed infrastructure is very different from its impact on a software company.</w:t>
      </w:r>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999"/>
        <w:gridCol w:w="3943"/>
        <w:gridCol w:w="8000"/>
      </w:tblGrid>
      <w:tr w:rsidR="006C6442" w:rsidRPr="006C6442" w14:paraId="0143DE4C" w14:textId="77777777" w:rsidTr="006C6442">
        <w:tc>
          <w:tcPr>
            <w:tcW w:w="0" w:type="auto"/>
            <w:tcBorders>
              <w:top w:val="outset" w:sz="6" w:space="0" w:color="auto"/>
              <w:left w:val="outset" w:sz="6" w:space="0" w:color="auto"/>
              <w:bottom w:val="outset" w:sz="6" w:space="0" w:color="auto"/>
              <w:right w:val="outset" w:sz="6" w:space="0" w:color="auto"/>
            </w:tcBorders>
            <w:vAlign w:val="center"/>
            <w:hideMark/>
          </w:tcPr>
          <w:p w14:paraId="6F459BEC" w14:textId="77777777" w:rsidR="006C6442" w:rsidRPr="006C6442" w:rsidRDefault="006C6442" w:rsidP="006C6442">
            <w:pPr>
              <w:widowControl/>
              <w:spacing w:before="100" w:beforeAutospacing="1" w:after="100" w:afterAutospacing="1"/>
              <w:rPr>
                <w:rFonts w:ascii="Arial" w:eastAsia="新細明體" w:hAnsi="Arial" w:cs="Arial"/>
                <w:kern w:val="0"/>
                <w:szCs w:val="24"/>
              </w:rPr>
            </w:pPr>
            <w:r w:rsidRPr="006C6442">
              <w:rPr>
                <w:rFonts w:ascii="Arial" w:eastAsia="新細明體" w:hAnsi="Arial" w:cs="Arial"/>
                <w:kern w:val="0"/>
                <w:szCs w:val="24"/>
              </w:rPr>
              <w:t>Sector</w:t>
            </w:r>
          </w:p>
        </w:tc>
        <w:tc>
          <w:tcPr>
            <w:tcW w:w="0" w:type="auto"/>
            <w:tcBorders>
              <w:top w:val="outset" w:sz="6" w:space="0" w:color="auto"/>
              <w:left w:val="outset" w:sz="6" w:space="0" w:color="auto"/>
              <w:bottom w:val="outset" w:sz="6" w:space="0" w:color="auto"/>
              <w:right w:val="outset" w:sz="6" w:space="0" w:color="auto"/>
            </w:tcBorders>
            <w:vAlign w:val="center"/>
            <w:hideMark/>
          </w:tcPr>
          <w:p w14:paraId="5C7B90C3" w14:textId="77777777" w:rsidR="006C6442" w:rsidRPr="006C6442" w:rsidRDefault="006C6442" w:rsidP="006C6442">
            <w:pPr>
              <w:widowControl/>
              <w:spacing w:before="100" w:beforeAutospacing="1" w:after="100" w:afterAutospacing="1"/>
              <w:rPr>
                <w:rFonts w:ascii="Arial" w:eastAsia="新細明體" w:hAnsi="Arial" w:cs="Arial"/>
                <w:kern w:val="0"/>
                <w:szCs w:val="24"/>
              </w:rPr>
            </w:pPr>
            <w:r w:rsidRPr="006C6442">
              <w:rPr>
                <w:rFonts w:ascii="Arial" w:eastAsia="新細明體" w:hAnsi="Arial" w:cs="Arial"/>
                <w:kern w:val="0"/>
                <w:szCs w:val="24"/>
              </w:rPr>
              <w:t>Primary Vulnerability</w:t>
            </w:r>
          </w:p>
        </w:tc>
        <w:tc>
          <w:tcPr>
            <w:tcW w:w="0" w:type="auto"/>
            <w:tcBorders>
              <w:top w:val="outset" w:sz="6" w:space="0" w:color="auto"/>
              <w:left w:val="outset" w:sz="6" w:space="0" w:color="auto"/>
              <w:bottom w:val="outset" w:sz="6" w:space="0" w:color="auto"/>
              <w:right w:val="outset" w:sz="6" w:space="0" w:color="auto"/>
            </w:tcBorders>
            <w:vAlign w:val="center"/>
            <w:hideMark/>
          </w:tcPr>
          <w:p w14:paraId="0B6D7590" w14:textId="77777777" w:rsidR="006C6442" w:rsidRPr="006C6442" w:rsidRDefault="006C6442" w:rsidP="006C6442">
            <w:pPr>
              <w:widowControl/>
              <w:spacing w:before="100" w:beforeAutospacing="1" w:after="100" w:afterAutospacing="1"/>
              <w:rPr>
                <w:rFonts w:ascii="Arial" w:eastAsia="新細明體" w:hAnsi="Arial" w:cs="Arial"/>
                <w:kern w:val="0"/>
                <w:szCs w:val="24"/>
              </w:rPr>
            </w:pPr>
            <w:r w:rsidRPr="006C6442">
              <w:rPr>
                <w:rFonts w:ascii="Arial" w:eastAsia="新細明體" w:hAnsi="Arial" w:cs="Arial"/>
                <w:kern w:val="0"/>
                <w:szCs w:val="24"/>
              </w:rPr>
              <w:t>Key Insight for Investors</w:t>
            </w:r>
          </w:p>
        </w:tc>
      </w:tr>
      <w:tr w:rsidR="006C6442" w:rsidRPr="006C6442" w14:paraId="4CBF30B3" w14:textId="77777777" w:rsidTr="006C6442">
        <w:tc>
          <w:tcPr>
            <w:tcW w:w="0" w:type="auto"/>
            <w:tcBorders>
              <w:top w:val="outset" w:sz="6" w:space="0" w:color="auto"/>
              <w:left w:val="outset" w:sz="6" w:space="0" w:color="auto"/>
              <w:bottom w:val="outset" w:sz="6" w:space="0" w:color="auto"/>
              <w:right w:val="outset" w:sz="6" w:space="0" w:color="auto"/>
            </w:tcBorders>
            <w:vAlign w:val="center"/>
            <w:hideMark/>
          </w:tcPr>
          <w:p w14:paraId="23B3B9F1" w14:textId="77777777" w:rsidR="006C6442" w:rsidRPr="006C6442" w:rsidRDefault="006C6442" w:rsidP="006C6442">
            <w:pPr>
              <w:widowControl/>
              <w:spacing w:before="100" w:beforeAutospacing="1" w:after="100" w:afterAutospacing="1"/>
              <w:rPr>
                <w:rFonts w:ascii="Arial" w:eastAsia="新細明體" w:hAnsi="Arial" w:cs="Arial"/>
                <w:kern w:val="0"/>
                <w:szCs w:val="24"/>
              </w:rPr>
            </w:pPr>
            <w:r w:rsidRPr="006C6442">
              <w:rPr>
                <w:rFonts w:ascii="Arial" w:eastAsia="新細明體" w:hAnsi="Arial" w:cs="Arial"/>
                <w:b/>
                <w:bCs/>
                <w:kern w:val="0"/>
                <w:szCs w:val="24"/>
              </w:rPr>
              <w:lastRenderedPageBreak/>
              <w:t>Utilities</w:t>
            </w:r>
          </w:p>
        </w:tc>
        <w:tc>
          <w:tcPr>
            <w:tcW w:w="0" w:type="auto"/>
            <w:tcBorders>
              <w:top w:val="outset" w:sz="6" w:space="0" w:color="auto"/>
              <w:left w:val="outset" w:sz="6" w:space="0" w:color="auto"/>
              <w:bottom w:val="outset" w:sz="6" w:space="0" w:color="auto"/>
              <w:right w:val="outset" w:sz="6" w:space="0" w:color="auto"/>
            </w:tcBorders>
            <w:vAlign w:val="center"/>
            <w:hideMark/>
          </w:tcPr>
          <w:p w14:paraId="40F10C19" w14:textId="77777777" w:rsidR="006C6442" w:rsidRPr="006C6442" w:rsidRDefault="006C6442" w:rsidP="006C6442">
            <w:pPr>
              <w:widowControl/>
              <w:spacing w:before="100" w:beforeAutospacing="1" w:after="100" w:afterAutospacing="1"/>
              <w:rPr>
                <w:rFonts w:ascii="Arial" w:eastAsia="新細明體" w:hAnsi="Arial" w:cs="Arial"/>
                <w:kern w:val="0"/>
                <w:szCs w:val="24"/>
              </w:rPr>
            </w:pPr>
            <w:r w:rsidRPr="006C6442">
              <w:rPr>
                <w:rFonts w:ascii="Arial" w:eastAsia="新細明體" w:hAnsi="Arial" w:cs="Arial"/>
                <w:kern w:val="0"/>
                <w:szCs w:val="24"/>
              </w:rPr>
              <w:t>Immobile, infrastructure-heavy assets (e.g., power plants, transmission lines).</w:t>
            </w:r>
          </w:p>
        </w:tc>
        <w:tc>
          <w:tcPr>
            <w:tcW w:w="0" w:type="auto"/>
            <w:tcBorders>
              <w:top w:val="outset" w:sz="6" w:space="0" w:color="auto"/>
              <w:left w:val="outset" w:sz="6" w:space="0" w:color="auto"/>
              <w:bottom w:val="outset" w:sz="6" w:space="0" w:color="auto"/>
              <w:right w:val="outset" w:sz="6" w:space="0" w:color="auto"/>
            </w:tcBorders>
            <w:vAlign w:val="center"/>
            <w:hideMark/>
          </w:tcPr>
          <w:p w14:paraId="7A69ED3D" w14:textId="77777777" w:rsidR="006C6442" w:rsidRPr="006C6442" w:rsidRDefault="006C6442" w:rsidP="006C6442">
            <w:pPr>
              <w:widowControl/>
              <w:spacing w:before="100" w:beforeAutospacing="1" w:after="100" w:afterAutospacing="1"/>
              <w:rPr>
                <w:rFonts w:ascii="Arial" w:eastAsia="新細明體" w:hAnsi="Arial" w:cs="Arial"/>
                <w:kern w:val="0"/>
                <w:szCs w:val="24"/>
              </w:rPr>
            </w:pPr>
            <w:r w:rsidRPr="006C6442">
              <w:rPr>
                <w:rFonts w:ascii="Arial" w:eastAsia="新細明體" w:hAnsi="Arial" w:cs="Arial"/>
                <w:kern w:val="0"/>
                <w:szCs w:val="24"/>
              </w:rPr>
              <w:t>This sector exhibited the most significant downside sensitivity in the study and had the highest "output concentration," meaning damage to a few key assets has an outsized impact on revenue.</w:t>
            </w:r>
          </w:p>
        </w:tc>
      </w:tr>
      <w:tr w:rsidR="006C6442" w:rsidRPr="006C6442" w14:paraId="72B045AB" w14:textId="77777777" w:rsidTr="006C6442">
        <w:tc>
          <w:tcPr>
            <w:tcW w:w="0" w:type="auto"/>
            <w:tcBorders>
              <w:top w:val="outset" w:sz="6" w:space="0" w:color="auto"/>
              <w:left w:val="outset" w:sz="6" w:space="0" w:color="auto"/>
              <w:bottom w:val="outset" w:sz="6" w:space="0" w:color="auto"/>
              <w:right w:val="outset" w:sz="6" w:space="0" w:color="auto"/>
            </w:tcBorders>
            <w:vAlign w:val="center"/>
            <w:hideMark/>
          </w:tcPr>
          <w:p w14:paraId="5DBC2076" w14:textId="77777777" w:rsidR="006C6442" w:rsidRPr="006C6442" w:rsidRDefault="006C6442" w:rsidP="006C6442">
            <w:pPr>
              <w:widowControl/>
              <w:spacing w:before="100" w:beforeAutospacing="1" w:after="100" w:afterAutospacing="1"/>
              <w:rPr>
                <w:rFonts w:ascii="Arial" w:eastAsia="新細明體" w:hAnsi="Arial" w:cs="Arial"/>
                <w:kern w:val="0"/>
                <w:szCs w:val="24"/>
              </w:rPr>
            </w:pPr>
            <w:r w:rsidRPr="006C6442">
              <w:rPr>
                <w:rFonts w:ascii="Arial" w:eastAsia="新細明體" w:hAnsi="Arial" w:cs="Arial"/>
                <w:b/>
                <w:bCs/>
                <w:kern w:val="0"/>
                <w:szCs w:val="24"/>
              </w:rPr>
              <w:t>Real Estate</w:t>
            </w:r>
          </w:p>
        </w:tc>
        <w:tc>
          <w:tcPr>
            <w:tcW w:w="0" w:type="auto"/>
            <w:tcBorders>
              <w:top w:val="outset" w:sz="6" w:space="0" w:color="auto"/>
              <w:left w:val="outset" w:sz="6" w:space="0" w:color="auto"/>
              <w:bottom w:val="outset" w:sz="6" w:space="0" w:color="auto"/>
              <w:right w:val="outset" w:sz="6" w:space="0" w:color="auto"/>
            </w:tcBorders>
            <w:vAlign w:val="center"/>
            <w:hideMark/>
          </w:tcPr>
          <w:p w14:paraId="15363C1E" w14:textId="77777777" w:rsidR="006C6442" w:rsidRPr="006C6442" w:rsidRDefault="006C6442" w:rsidP="006C6442">
            <w:pPr>
              <w:widowControl/>
              <w:spacing w:before="100" w:beforeAutospacing="1" w:after="100" w:afterAutospacing="1"/>
              <w:rPr>
                <w:rFonts w:ascii="Arial" w:eastAsia="新細明體" w:hAnsi="Arial" w:cs="Arial"/>
                <w:kern w:val="0"/>
                <w:szCs w:val="24"/>
              </w:rPr>
            </w:pPr>
            <w:r w:rsidRPr="006C6442">
              <w:rPr>
                <w:rFonts w:ascii="Arial" w:eastAsia="新細明體" w:hAnsi="Arial" w:cs="Arial"/>
                <w:kern w:val="0"/>
                <w:szCs w:val="24"/>
              </w:rPr>
              <w:t>This sector had the highest concentration of affected physical assets in the study.</w:t>
            </w:r>
          </w:p>
        </w:tc>
        <w:tc>
          <w:tcPr>
            <w:tcW w:w="0" w:type="auto"/>
            <w:tcBorders>
              <w:top w:val="outset" w:sz="6" w:space="0" w:color="auto"/>
              <w:left w:val="outset" w:sz="6" w:space="0" w:color="auto"/>
              <w:bottom w:val="outset" w:sz="6" w:space="0" w:color="auto"/>
              <w:right w:val="outset" w:sz="6" w:space="0" w:color="auto"/>
            </w:tcBorders>
            <w:vAlign w:val="center"/>
            <w:hideMark/>
          </w:tcPr>
          <w:p w14:paraId="5CACF7EE" w14:textId="77777777" w:rsidR="006C6442" w:rsidRPr="006C6442" w:rsidRDefault="006C6442" w:rsidP="006C6442">
            <w:pPr>
              <w:widowControl/>
              <w:spacing w:before="100" w:beforeAutospacing="1" w:after="100" w:afterAutospacing="1"/>
              <w:rPr>
                <w:rFonts w:ascii="Arial" w:eastAsia="新細明體" w:hAnsi="Arial" w:cs="Arial"/>
                <w:kern w:val="0"/>
                <w:szCs w:val="24"/>
              </w:rPr>
            </w:pPr>
            <w:r w:rsidRPr="006C6442">
              <w:rPr>
                <w:rFonts w:ascii="Arial" w:eastAsia="新細明體" w:hAnsi="Arial" w:cs="Arial"/>
                <w:kern w:val="0"/>
                <w:szCs w:val="24"/>
              </w:rPr>
              <w:t>The value of properties can be directly and severely impacted by storms, floods, or wildfires.</w:t>
            </w:r>
          </w:p>
        </w:tc>
      </w:tr>
      <w:tr w:rsidR="006C6442" w:rsidRPr="006C6442" w14:paraId="1580C3B1" w14:textId="77777777" w:rsidTr="006C6442">
        <w:tc>
          <w:tcPr>
            <w:tcW w:w="0" w:type="auto"/>
            <w:tcBorders>
              <w:top w:val="outset" w:sz="6" w:space="0" w:color="auto"/>
              <w:left w:val="outset" w:sz="6" w:space="0" w:color="auto"/>
              <w:bottom w:val="outset" w:sz="6" w:space="0" w:color="auto"/>
              <w:right w:val="outset" w:sz="6" w:space="0" w:color="auto"/>
            </w:tcBorders>
            <w:vAlign w:val="center"/>
            <w:hideMark/>
          </w:tcPr>
          <w:p w14:paraId="6F6D93A6" w14:textId="77777777" w:rsidR="006C6442" w:rsidRPr="006C6442" w:rsidRDefault="006C6442" w:rsidP="006C6442">
            <w:pPr>
              <w:widowControl/>
              <w:spacing w:before="100" w:beforeAutospacing="1" w:after="100" w:afterAutospacing="1"/>
              <w:rPr>
                <w:rFonts w:ascii="Arial" w:eastAsia="新細明體" w:hAnsi="Arial" w:cs="Arial"/>
                <w:kern w:val="0"/>
                <w:szCs w:val="24"/>
              </w:rPr>
            </w:pPr>
            <w:r w:rsidRPr="006C6442">
              <w:rPr>
                <w:rFonts w:ascii="Arial" w:eastAsia="新細明體" w:hAnsi="Arial" w:cs="Arial"/>
                <w:b/>
                <w:bCs/>
                <w:kern w:val="0"/>
                <w:szCs w:val="24"/>
              </w:rPr>
              <w:t>Information Technology (IT)</w:t>
            </w:r>
          </w:p>
        </w:tc>
        <w:tc>
          <w:tcPr>
            <w:tcW w:w="0" w:type="auto"/>
            <w:tcBorders>
              <w:top w:val="outset" w:sz="6" w:space="0" w:color="auto"/>
              <w:left w:val="outset" w:sz="6" w:space="0" w:color="auto"/>
              <w:bottom w:val="outset" w:sz="6" w:space="0" w:color="auto"/>
              <w:right w:val="outset" w:sz="6" w:space="0" w:color="auto"/>
            </w:tcBorders>
            <w:vAlign w:val="center"/>
            <w:hideMark/>
          </w:tcPr>
          <w:p w14:paraId="59C6421C" w14:textId="77777777" w:rsidR="006C6442" w:rsidRPr="006C6442" w:rsidRDefault="006C6442" w:rsidP="006C6442">
            <w:pPr>
              <w:widowControl/>
              <w:spacing w:before="100" w:beforeAutospacing="1" w:after="100" w:afterAutospacing="1"/>
              <w:rPr>
                <w:rFonts w:ascii="Arial" w:eastAsia="新細明體" w:hAnsi="Arial" w:cs="Arial"/>
                <w:kern w:val="0"/>
                <w:szCs w:val="24"/>
              </w:rPr>
            </w:pPr>
            <w:r w:rsidRPr="006C6442">
              <w:rPr>
                <w:rFonts w:ascii="Arial" w:eastAsia="新細明體" w:hAnsi="Arial" w:cs="Arial"/>
                <w:kern w:val="0"/>
                <w:szCs w:val="24"/>
              </w:rPr>
              <w:t>Wide exposure due to global supply chains and data centers.</w:t>
            </w:r>
          </w:p>
        </w:tc>
        <w:tc>
          <w:tcPr>
            <w:tcW w:w="0" w:type="auto"/>
            <w:tcBorders>
              <w:top w:val="outset" w:sz="6" w:space="0" w:color="auto"/>
              <w:left w:val="outset" w:sz="6" w:space="0" w:color="auto"/>
              <w:bottom w:val="outset" w:sz="6" w:space="0" w:color="auto"/>
              <w:right w:val="outset" w:sz="6" w:space="0" w:color="auto"/>
            </w:tcBorders>
            <w:vAlign w:val="center"/>
            <w:hideMark/>
          </w:tcPr>
          <w:p w14:paraId="25E32149" w14:textId="77777777" w:rsidR="006C6442" w:rsidRPr="006C6442" w:rsidRDefault="006C6442" w:rsidP="006C6442">
            <w:pPr>
              <w:widowControl/>
              <w:spacing w:before="100" w:beforeAutospacing="1" w:after="100" w:afterAutospacing="1"/>
              <w:rPr>
                <w:rFonts w:ascii="Arial" w:eastAsia="新細明體" w:hAnsi="Arial" w:cs="Arial"/>
                <w:kern w:val="0"/>
                <w:szCs w:val="24"/>
              </w:rPr>
            </w:pPr>
            <w:r w:rsidRPr="006C6442">
              <w:rPr>
                <w:rFonts w:ascii="Arial" w:eastAsia="新細明體" w:hAnsi="Arial" w:cs="Arial"/>
                <w:kern w:val="0"/>
                <w:szCs w:val="24"/>
              </w:rPr>
              <w:t>Nearly 65% of IT issuers in the MSCI ACWI Index had assets in a hurricane zone, representing 88% of the sector's total index weight, highlighting its systemic exposure.</w:t>
            </w:r>
          </w:p>
        </w:tc>
      </w:tr>
      <w:tr w:rsidR="006C6442" w:rsidRPr="006C6442" w14:paraId="7363DBB9" w14:textId="77777777" w:rsidTr="006C6442">
        <w:tc>
          <w:tcPr>
            <w:tcW w:w="0" w:type="auto"/>
            <w:tcBorders>
              <w:top w:val="outset" w:sz="6" w:space="0" w:color="auto"/>
              <w:left w:val="outset" w:sz="6" w:space="0" w:color="auto"/>
              <w:bottom w:val="outset" w:sz="6" w:space="0" w:color="auto"/>
              <w:right w:val="outset" w:sz="6" w:space="0" w:color="auto"/>
            </w:tcBorders>
            <w:vAlign w:val="center"/>
            <w:hideMark/>
          </w:tcPr>
          <w:p w14:paraId="07E00C6F" w14:textId="77777777" w:rsidR="006C6442" w:rsidRPr="006C6442" w:rsidRDefault="006C6442" w:rsidP="006C6442">
            <w:pPr>
              <w:widowControl/>
              <w:spacing w:before="100" w:beforeAutospacing="1" w:after="100" w:afterAutospacing="1"/>
              <w:rPr>
                <w:rFonts w:ascii="Arial" w:eastAsia="新細明體" w:hAnsi="Arial" w:cs="Arial"/>
                <w:kern w:val="0"/>
                <w:szCs w:val="24"/>
              </w:rPr>
            </w:pPr>
            <w:r w:rsidRPr="006C6442">
              <w:rPr>
                <w:rFonts w:ascii="Arial" w:eastAsia="新細明體" w:hAnsi="Arial" w:cs="Arial"/>
                <w:b/>
                <w:bCs/>
                <w:kern w:val="0"/>
                <w:szCs w:val="24"/>
              </w:rPr>
              <w:t>Industrials</w:t>
            </w:r>
          </w:p>
        </w:tc>
        <w:tc>
          <w:tcPr>
            <w:tcW w:w="0" w:type="auto"/>
            <w:tcBorders>
              <w:top w:val="outset" w:sz="6" w:space="0" w:color="auto"/>
              <w:left w:val="outset" w:sz="6" w:space="0" w:color="auto"/>
              <w:bottom w:val="outset" w:sz="6" w:space="0" w:color="auto"/>
              <w:right w:val="outset" w:sz="6" w:space="0" w:color="auto"/>
            </w:tcBorders>
            <w:vAlign w:val="center"/>
            <w:hideMark/>
          </w:tcPr>
          <w:p w14:paraId="3949BB77" w14:textId="77777777" w:rsidR="006C6442" w:rsidRPr="006C6442" w:rsidRDefault="006C6442" w:rsidP="006C6442">
            <w:pPr>
              <w:widowControl/>
              <w:spacing w:before="100" w:beforeAutospacing="1" w:after="100" w:afterAutospacing="1"/>
              <w:rPr>
                <w:rFonts w:ascii="Arial" w:eastAsia="新細明體" w:hAnsi="Arial" w:cs="Arial"/>
                <w:kern w:val="0"/>
                <w:szCs w:val="24"/>
              </w:rPr>
            </w:pPr>
            <w:r w:rsidRPr="006C6442">
              <w:rPr>
                <w:rFonts w:ascii="Arial" w:eastAsia="新細明體" w:hAnsi="Arial" w:cs="Arial"/>
                <w:kern w:val="0"/>
                <w:szCs w:val="24"/>
              </w:rPr>
              <w:t>Broad exposure across many companies and physical locations.</w:t>
            </w:r>
          </w:p>
        </w:tc>
        <w:tc>
          <w:tcPr>
            <w:tcW w:w="0" w:type="auto"/>
            <w:tcBorders>
              <w:top w:val="outset" w:sz="6" w:space="0" w:color="auto"/>
              <w:left w:val="outset" w:sz="6" w:space="0" w:color="auto"/>
              <w:bottom w:val="outset" w:sz="6" w:space="0" w:color="auto"/>
              <w:right w:val="outset" w:sz="6" w:space="0" w:color="auto"/>
            </w:tcBorders>
            <w:vAlign w:val="center"/>
            <w:hideMark/>
          </w:tcPr>
          <w:p w14:paraId="5CA9A676" w14:textId="77777777" w:rsidR="006C6442" w:rsidRPr="006C6442" w:rsidRDefault="006C6442" w:rsidP="006C6442">
            <w:pPr>
              <w:widowControl/>
              <w:spacing w:before="100" w:beforeAutospacing="1" w:after="100" w:afterAutospacing="1"/>
              <w:rPr>
                <w:rFonts w:ascii="Arial" w:eastAsia="新細明體" w:hAnsi="Arial" w:cs="Arial"/>
                <w:kern w:val="0"/>
                <w:szCs w:val="24"/>
              </w:rPr>
            </w:pPr>
            <w:r w:rsidRPr="006C6442">
              <w:rPr>
                <w:rFonts w:ascii="Arial" w:eastAsia="新細明體" w:hAnsi="Arial" w:cs="Arial"/>
                <w:kern w:val="0"/>
                <w:szCs w:val="24"/>
              </w:rPr>
              <w:t>This sector had the largest total number of impacted companies, demonstrating the sheer breadth of its exposure to physical risk.</w:t>
            </w:r>
          </w:p>
        </w:tc>
      </w:tr>
    </w:tbl>
    <w:p w14:paraId="58F146C2" w14:textId="77777777" w:rsidR="006C6442" w:rsidRPr="006C6442" w:rsidRDefault="006C6442" w:rsidP="006C6442">
      <w:pPr>
        <w:widowControl/>
        <w:spacing w:before="100" w:beforeAutospacing="1" w:after="100" w:afterAutospacing="1"/>
        <w:rPr>
          <w:rFonts w:ascii="Arial" w:eastAsia="新細明體" w:hAnsi="Arial" w:cs="Arial"/>
          <w:kern w:val="0"/>
          <w:szCs w:val="24"/>
        </w:rPr>
      </w:pPr>
      <w:r w:rsidRPr="006C6442">
        <w:rPr>
          <w:rFonts w:ascii="Arial" w:eastAsia="新細明體" w:hAnsi="Arial" w:cs="Arial"/>
          <w:kern w:val="0"/>
          <w:szCs w:val="24"/>
        </w:rPr>
        <w:t>Beyond the immediate threat of storms and floods, companies also face financial risks from the global shift away from a carbon-based economy.</w:t>
      </w:r>
    </w:p>
    <w:p w14:paraId="3B3478BD" w14:textId="77777777" w:rsidR="006C6442" w:rsidRPr="006C6442" w:rsidRDefault="006C6442" w:rsidP="006C6442">
      <w:pPr>
        <w:widowControl/>
        <w:spacing w:before="100" w:beforeAutospacing="1" w:after="100" w:afterAutospacing="1"/>
        <w:outlineLvl w:val="1"/>
        <w:rPr>
          <w:rFonts w:ascii="Arial" w:eastAsia="新細明體" w:hAnsi="Arial" w:cs="Arial"/>
          <w:b/>
          <w:bCs/>
          <w:kern w:val="0"/>
          <w:sz w:val="36"/>
          <w:szCs w:val="36"/>
        </w:rPr>
      </w:pPr>
      <w:r w:rsidRPr="006C6442">
        <w:rPr>
          <w:rFonts w:ascii="Arial" w:eastAsia="新細明體" w:hAnsi="Arial" w:cs="Arial"/>
          <w:b/>
          <w:bCs/>
          <w:kern w:val="0"/>
          <w:sz w:val="36"/>
          <w:szCs w:val="36"/>
        </w:rPr>
        <w:t>2. What is Transition Risk? The Financials of a Low-Carbon Future</w:t>
      </w:r>
    </w:p>
    <w:p w14:paraId="6708B297" w14:textId="77777777" w:rsidR="006C6442" w:rsidRPr="006C6442" w:rsidRDefault="006C6442" w:rsidP="006C6442">
      <w:pPr>
        <w:widowControl/>
        <w:spacing w:before="100" w:beforeAutospacing="1" w:after="100" w:afterAutospacing="1"/>
        <w:rPr>
          <w:rFonts w:ascii="Arial" w:eastAsia="新細明體" w:hAnsi="Arial" w:cs="Arial"/>
          <w:kern w:val="0"/>
          <w:szCs w:val="24"/>
        </w:rPr>
      </w:pPr>
      <w:r w:rsidRPr="006C6442">
        <w:rPr>
          <w:rFonts w:ascii="Arial" w:eastAsia="新細明體" w:hAnsi="Arial" w:cs="Arial"/>
          <w:b/>
          <w:bCs/>
          <w:kern w:val="0"/>
          <w:szCs w:val="24"/>
        </w:rPr>
        <w:t>Transition Risk</w:t>
      </w:r>
      <w:r w:rsidRPr="006C6442">
        <w:rPr>
          <w:rFonts w:ascii="Arial" w:eastAsia="新細明體" w:hAnsi="Arial" w:cs="Arial"/>
          <w:kern w:val="0"/>
          <w:szCs w:val="24"/>
        </w:rPr>
        <w:t xml:space="preserve"> refers to the financial risks a company faces as the world moves toward a low-carbon economy. This transition is driven by three main forces:</w:t>
      </w:r>
    </w:p>
    <w:p w14:paraId="53B83314" w14:textId="77777777" w:rsidR="006C6442" w:rsidRPr="006C6442" w:rsidRDefault="006C6442" w:rsidP="006C6442">
      <w:pPr>
        <w:widowControl/>
        <w:numPr>
          <w:ilvl w:val="0"/>
          <w:numId w:val="1"/>
        </w:numPr>
        <w:spacing w:before="100" w:beforeAutospacing="1" w:after="100" w:afterAutospacing="1"/>
        <w:rPr>
          <w:rFonts w:ascii="Arial" w:eastAsia="新細明體" w:hAnsi="Arial" w:cs="Arial"/>
          <w:kern w:val="0"/>
          <w:szCs w:val="24"/>
        </w:rPr>
      </w:pPr>
      <w:r w:rsidRPr="006C6442">
        <w:rPr>
          <w:rFonts w:ascii="Arial" w:eastAsia="新細明體" w:hAnsi="Arial" w:cs="Arial"/>
          <w:b/>
          <w:bCs/>
          <w:kern w:val="0"/>
          <w:szCs w:val="24"/>
        </w:rPr>
        <w:t>Policy Changes:</w:t>
      </w:r>
      <w:r w:rsidRPr="006C6442">
        <w:rPr>
          <w:rFonts w:ascii="Arial" w:eastAsia="新細明體" w:hAnsi="Arial" w:cs="Arial"/>
          <w:kern w:val="0"/>
          <w:szCs w:val="24"/>
        </w:rPr>
        <w:t xml:space="preserve"> New regulations, carbon taxes, or emissions caps.</w:t>
      </w:r>
    </w:p>
    <w:p w14:paraId="5C8C7981" w14:textId="77777777" w:rsidR="006C6442" w:rsidRPr="006C6442" w:rsidRDefault="006C6442" w:rsidP="006C6442">
      <w:pPr>
        <w:widowControl/>
        <w:numPr>
          <w:ilvl w:val="0"/>
          <w:numId w:val="1"/>
        </w:numPr>
        <w:spacing w:before="100" w:beforeAutospacing="1" w:after="100" w:afterAutospacing="1"/>
        <w:rPr>
          <w:rFonts w:ascii="Arial" w:eastAsia="新細明體" w:hAnsi="Arial" w:cs="Arial"/>
          <w:kern w:val="0"/>
          <w:szCs w:val="24"/>
        </w:rPr>
      </w:pPr>
      <w:r w:rsidRPr="006C6442">
        <w:rPr>
          <w:rFonts w:ascii="Arial" w:eastAsia="新細明體" w:hAnsi="Arial" w:cs="Arial"/>
          <w:b/>
          <w:bCs/>
          <w:kern w:val="0"/>
          <w:szCs w:val="24"/>
        </w:rPr>
        <w:t>New Technologies:</w:t>
      </w:r>
      <w:r w:rsidRPr="006C6442">
        <w:rPr>
          <w:rFonts w:ascii="Arial" w:eastAsia="新細明體" w:hAnsi="Arial" w:cs="Arial"/>
          <w:kern w:val="0"/>
          <w:szCs w:val="24"/>
        </w:rPr>
        <w:t xml:space="preserve"> The rise of renewable energy and electric vehicles.</w:t>
      </w:r>
    </w:p>
    <w:p w14:paraId="141E31A4" w14:textId="77777777" w:rsidR="006C6442" w:rsidRPr="006C6442" w:rsidRDefault="006C6442" w:rsidP="006C6442">
      <w:pPr>
        <w:widowControl/>
        <w:numPr>
          <w:ilvl w:val="0"/>
          <w:numId w:val="1"/>
        </w:numPr>
        <w:spacing w:before="100" w:beforeAutospacing="1" w:after="100" w:afterAutospacing="1"/>
        <w:rPr>
          <w:rFonts w:ascii="Arial" w:eastAsia="新細明體" w:hAnsi="Arial" w:cs="Arial"/>
          <w:kern w:val="0"/>
          <w:szCs w:val="24"/>
        </w:rPr>
      </w:pPr>
      <w:r w:rsidRPr="006C6442">
        <w:rPr>
          <w:rFonts w:ascii="Arial" w:eastAsia="新細明體" w:hAnsi="Arial" w:cs="Arial"/>
          <w:b/>
          <w:bCs/>
          <w:kern w:val="0"/>
          <w:szCs w:val="24"/>
        </w:rPr>
        <w:lastRenderedPageBreak/>
        <w:t>Shifting Consumer Preferences:</w:t>
      </w:r>
      <w:r w:rsidRPr="006C6442">
        <w:rPr>
          <w:rFonts w:ascii="Arial" w:eastAsia="新細明體" w:hAnsi="Arial" w:cs="Arial"/>
          <w:kern w:val="0"/>
          <w:szCs w:val="24"/>
        </w:rPr>
        <w:t xml:space="preserve"> Growing demand for sustainable products and services.</w:t>
      </w:r>
    </w:p>
    <w:p w14:paraId="65632A02" w14:textId="77777777" w:rsidR="006C6442" w:rsidRPr="006C6442" w:rsidRDefault="006C6442" w:rsidP="006C6442">
      <w:pPr>
        <w:widowControl/>
        <w:spacing w:before="100" w:beforeAutospacing="1" w:after="100" w:afterAutospacing="1"/>
        <w:rPr>
          <w:rFonts w:ascii="Arial" w:eastAsia="新細明體" w:hAnsi="Arial" w:cs="Arial"/>
          <w:kern w:val="0"/>
          <w:szCs w:val="24"/>
        </w:rPr>
      </w:pPr>
      <w:r w:rsidRPr="006C6442">
        <w:rPr>
          <w:rFonts w:ascii="Arial" w:eastAsia="新細明體" w:hAnsi="Arial" w:cs="Arial"/>
          <w:kern w:val="0"/>
          <w:szCs w:val="24"/>
        </w:rPr>
        <w:t>To manage these forces, companies typically progress through four distinct phases of decarbonization, which investors can use as a roadmap to assess a company's readiness:</w:t>
      </w:r>
    </w:p>
    <w:p w14:paraId="284F68DE" w14:textId="77777777" w:rsidR="006C6442" w:rsidRPr="006C6442" w:rsidRDefault="006C6442" w:rsidP="006C6442">
      <w:pPr>
        <w:widowControl/>
        <w:numPr>
          <w:ilvl w:val="0"/>
          <w:numId w:val="2"/>
        </w:numPr>
        <w:spacing w:before="100" w:beforeAutospacing="1" w:after="100" w:afterAutospacing="1"/>
        <w:rPr>
          <w:rFonts w:ascii="Arial" w:eastAsia="新細明體" w:hAnsi="Arial" w:cs="Arial"/>
          <w:kern w:val="0"/>
          <w:szCs w:val="24"/>
        </w:rPr>
      </w:pPr>
      <w:r w:rsidRPr="006C6442">
        <w:rPr>
          <w:rFonts w:ascii="Arial" w:eastAsia="新細明體" w:hAnsi="Arial" w:cs="Arial"/>
          <w:b/>
          <w:bCs/>
          <w:kern w:val="0"/>
          <w:szCs w:val="24"/>
        </w:rPr>
        <w:t>Targets and Governance:</w:t>
      </w:r>
      <w:r w:rsidRPr="006C6442">
        <w:rPr>
          <w:rFonts w:ascii="Arial" w:eastAsia="新細明體" w:hAnsi="Arial" w:cs="Arial"/>
          <w:kern w:val="0"/>
          <w:szCs w:val="24"/>
        </w:rPr>
        <w:t xml:space="preserve"> A company begins by setting emission reduction targets and integrating climate goals into its core business strategy.</w:t>
      </w:r>
    </w:p>
    <w:p w14:paraId="0976D3D5" w14:textId="77777777" w:rsidR="006C6442" w:rsidRPr="006C6442" w:rsidRDefault="006C6442" w:rsidP="006C6442">
      <w:pPr>
        <w:widowControl/>
        <w:numPr>
          <w:ilvl w:val="0"/>
          <w:numId w:val="2"/>
        </w:numPr>
        <w:spacing w:before="100" w:beforeAutospacing="1" w:after="100" w:afterAutospacing="1"/>
        <w:rPr>
          <w:rFonts w:ascii="Arial" w:eastAsia="新細明體" w:hAnsi="Arial" w:cs="Arial"/>
          <w:kern w:val="0"/>
          <w:szCs w:val="24"/>
        </w:rPr>
      </w:pPr>
      <w:r w:rsidRPr="006C6442">
        <w:rPr>
          <w:rFonts w:ascii="Arial" w:eastAsia="新細明體" w:hAnsi="Arial" w:cs="Arial"/>
          <w:b/>
          <w:bCs/>
          <w:kern w:val="0"/>
          <w:szCs w:val="24"/>
        </w:rPr>
        <w:t>Capital and Innovation:</w:t>
      </w:r>
      <w:r w:rsidRPr="006C6442">
        <w:rPr>
          <w:rFonts w:ascii="Arial" w:eastAsia="新細明體" w:hAnsi="Arial" w:cs="Arial"/>
          <w:kern w:val="0"/>
          <w:szCs w:val="24"/>
        </w:rPr>
        <w:t xml:space="preserve"> Acting on these goals, the company actively invests capital (capex) and R&amp;D funds into developing low-carbon technologies, products, or processes.</w:t>
      </w:r>
    </w:p>
    <w:p w14:paraId="2EA95B49" w14:textId="77777777" w:rsidR="006C6442" w:rsidRPr="006C6442" w:rsidRDefault="006C6442" w:rsidP="006C6442">
      <w:pPr>
        <w:widowControl/>
        <w:numPr>
          <w:ilvl w:val="0"/>
          <w:numId w:val="2"/>
        </w:numPr>
        <w:spacing w:before="100" w:beforeAutospacing="1" w:after="100" w:afterAutospacing="1"/>
        <w:rPr>
          <w:rFonts w:ascii="Arial" w:eastAsia="新細明體" w:hAnsi="Arial" w:cs="Arial"/>
          <w:kern w:val="0"/>
          <w:szCs w:val="24"/>
        </w:rPr>
      </w:pPr>
      <w:r w:rsidRPr="006C6442">
        <w:rPr>
          <w:rFonts w:ascii="Arial" w:eastAsia="新細明體" w:hAnsi="Arial" w:cs="Arial"/>
          <w:b/>
          <w:bCs/>
          <w:kern w:val="0"/>
          <w:szCs w:val="24"/>
        </w:rPr>
        <w:t>Changes in Business Output:</w:t>
      </w:r>
      <w:r w:rsidRPr="006C6442">
        <w:rPr>
          <w:rFonts w:ascii="Arial" w:eastAsia="新細明體" w:hAnsi="Arial" w:cs="Arial"/>
          <w:kern w:val="0"/>
          <w:szCs w:val="24"/>
        </w:rPr>
        <w:t xml:space="preserve"> As these investments mature, the company's revenue mix begins to shift, with a growing share coming from "green" sources and a declining share from carbon-intensive sources like fossil fuels.</w:t>
      </w:r>
    </w:p>
    <w:p w14:paraId="321FCF3F" w14:textId="77777777" w:rsidR="006C6442" w:rsidRPr="006C6442" w:rsidRDefault="006C6442" w:rsidP="006C6442">
      <w:pPr>
        <w:widowControl/>
        <w:numPr>
          <w:ilvl w:val="0"/>
          <w:numId w:val="2"/>
        </w:numPr>
        <w:spacing w:before="100" w:beforeAutospacing="1" w:after="100" w:afterAutospacing="1"/>
        <w:rPr>
          <w:rFonts w:ascii="Arial" w:eastAsia="新細明體" w:hAnsi="Arial" w:cs="Arial"/>
          <w:kern w:val="0"/>
          <w:szCs w:val="24"/>
        </w:rPr>
      </w:pPr>
      <w:r w:rsidRPr="006C6442">
        <w:rPr>
          <w:rFonts w:ascii="Arial" w:eastAsia="新細明體" w:hAnsi="Arial" w:cs="Arial"/>
          <w:b/>
          <w:bCs/>
          <w:kern w:val="0"/>
          <w:szCs w:val="24"/>
        </w:rPr>
        <w:t>Emissions Reduction:</w:t>
      </w:r>
      <w:r w:rsidRPr="006C6442">
        <w:rPr>
          <w:rFonts w:ascii="Arial" w:eastAsia="新細明體" w:hAnsi="Arial" w:cs="Arial"/>
          <w:kern w:val="0"/>
          <w:szCs w:val="24"/>
        </w:rPr>
        <w:t xml:space="preserve"> The cumulative result is that the company achieves a measurable, real-world decrease in its actual carbon emissions.</w:t>
      </w:r>
    </w:p>
    <w:p w14:paraId="095E618E" w14:textId="77777777" w:rsidR="006C6442" w:rsidRPr="006C6442" w:rsidRDefault="006C6442" w:rsidP="006C6442">
      <w:pPr>
        <w:widowControl/>
        <w:spacing w:before="100" w:beforeAutospacing="1" w:after="100" w:afterAutospacing="1"/>
        <w:rPr>
          <w:rFonts w:ascii="Arial" w:eastAsia="新細明體" w:hAnsi="Arial" w:cs="Arial"/>
          <w:kern w:val="0"/>
          <w:szCs w:val="24"/>
        </w:rPr>
      </w:pPr>
      <w:r w:rsidRPr="006C6442">
        <w:rPr>
          <w:rFonts w:ascii="Arial" w:eastAsia="新細明體" w:hAnsi="Arial" w:cs="Arial"/>
          <w:kern w:val="0"/>
          <w:szCs w:val="24"/>
        </w:rPr>
        <w:t>For an investor, this framework is crucial. Companies that successfully navigate these phases may be better positioned for long-term growth and resilience. Those that fail to adapt or lag behind their peers face significant transition risks, including obsolete products, regulatory penalties, and loss of market share.</w:t>
      </w:r>
    </w:p>
    <w:p w14:paraId="04D14ADF" w14:textId="77777777" w:rsidR="006C6442" w:rsidRPr="006C6442" w:rsidRDefault="006C6442" w:rsidP="006C6442">
      <w:pPr>
        <w:widowControl/>
        <w:spacing w:before="100" w:beforeAutospacing="1" w:after="100" w:afterAutospacing="1"/>
        <w:rPr>
          <w:rFonts w:ascii="Arial" w:eastAsia="新細明體" w:hAnsi="Arial" w:cs="Arial"/>
          <w:kern w:val="0"/>
          <w:szCs w:val="24"/>
        </w:rPr>
      </w:pPr>
      <w:r w:rsidRPr="006C6442">
        <w:rPr>
          <w:rFonts w:ascii="Arial" w:eastAsia="新細明體" w:hAnsi="Arial" w:cs="Arial"/>
          <w:kern w:val="0"/>
          <w:szCs w:val="24"/>
        </w:rPr>
        <w:t>Whether from a hurricane or a shift in policy, both physical and transition risks directly threaten a company's financial health and long-term valuation.</w:t>
      </w:r>
    </w:p>
    <w:p w14:paraId="6C320F05" w14:textId="77777777" w:rsidR="006C6442" w:rsidRPr="006C6442" w:rsidRDefault="006C6442" w:rsidP="006C6442">
      <w:pPr>
        <w:widowControl/>
        <w:spacing w:before="100" w:beforeAutospacing="1" w:after="100" w:afterAutospacing="1"/>
        <w:outlineLvl w:val="1"/>
        <w:rPr>
          <w:rFonts w:ascii="Arial" w:eastAsia="新細明體" w:hAnsi="Arial" w:cs="Arial"/>
          <w:b/>
          <w:bCs/>
          <w:kern w:val="0"/>
          <w:sz w:val="36"/>
          <w:szCs w:val="36"/>
        </w:rPr>
      </w:pPr>
      <w:r w:rsidRPr="006C6442">
        <w:rPr>
          <w:rFonts w:ascii="Arial" w:eastAsia="新細明體" w:hAnsi="Arial" w:cs="Arial"/>
          <w:b/>
          <w:bCs/>
          <w:kern w:val="0"/>
          <w:sz w:val="36"/>
          <w:szCs w:val="36"/>
        </w:rPr>
        <w:t>3. The Bottom Line: How Climate Risks Impact Stock Price and Company Value</w:t>
      </w:r>
    </w:p>
    <w:p w14:paraId="577733FE" w14:textId="77777777" w:rsidR="006C6442" w:rsidRPr="006C6442" w:rsidRDefault="006C6442" w:rsidP="006C6442">
      <w:pPr>
        <w:widowControl/>
        <w:spacing w:before="100" w:beforeAutospacing="1" w:after="100" w:afterAutospacing="1"/>
        <w:rPr>
          <w:rFonts w:ascii="Arial" w:eastAsia="新細明體" w:hAnsi="Arial" w:cs="Arial"/>
          <w:kern w:val="0"/>
          <w:szCs w:val="24"/>
        </w:rPr>
      </w:pPr>
      <w:r w:rsidRPr="006C6442">
        <w:rPr>
          <w:rFonts w:ascii="Arial" w:eastAsia="新細明體" w:hAnsi="Arial" w:cs="Arial"/>
          <w:kern w:val="0"/>
          <w:szCs w:val="24"/>
        </w:rPr>
        <w:lastRenderedPageBreak/>
        <w:t>A company's stock price reflects the market's expectation of its future earnings. Both physical and transition risks can severely undermine those expectations, leading to a lower valuation.</w:t>
      </w:r>
    </w:p>
    <w:p w14:paraId="131276CF" w14:textId="77777777" w:rsidR="006C6442" w:rsidRPr="006C6442" w:rsidRDefault="006C6442" w:rsidP="006C6442">
      <w:pPr>
        <w:widowControl/>
        <w:spacing w:before="100" w:beforeAutospacing="1" w:after="100" w:afterAutospacing="1"/>
        <w:rPr>
          <w:rFonts w:ascii="Arial" w:eastAsia="新細明體" w:hAnsi="Arial" w:cs="Arial"/>
          <w:kern w:val="0"/>
          <w:szCs w:val="24"/>
        </w:rPr>
      </w:pPr>
      <w:r w:rsidRPr="006C6442">
        <w:rPr>
          <w:rFonts w:ascii="Arial" w:eastAsia="新細明體" w:hAnsi="Arial" w:cs="Arial"/>
          <w:b/>
          <w:bCs/>
          <w:kern w:val="0"/>
          <w:szCs w:val="24"/>
        </w:rPr>
        <w:t>How Physical Risk Erodes Value</w:t>
      </w:r>
    </w:p>
    <w:p w14:paraId="4664AD61" w14:textId="77777777" w:rsidR="006C6442" w:rsidRPr="006C6442" w:rsidRDefault="006C6442" w:rsidP="006C6442">
      <w:pPr>
        <w:widowControl/>
        <w:numPr>
          <w:ilvl w:val="0"/>
          <w:numId w:val="3"/>
        </w:numPr>
        <w:spacing w:before="100" w:beforeAutospacing="1" w:after="100" w:afterAutospacing="1"/>
        <w:rPr>
          <w:rFonts w:ascii="Arial" w:eastAsia="新細明體" w:hAnsi="Arial" w:cs="Arial"/>
          <w:kern w:val="0"/>
          <w:szCs w:val="24"/>
        </w:rPr>
      </w:pPr>
      <w:r w:rsidRPr="006C6442">
        <w:rPr>
          <w:rFonts w:ascii="Arial" w:eastAsia="新細明體" w:hAnsi="Arial" w:cs="Arial"/>
          <w:b/>
          <w:bCs/>
          <w:kern w:val="0"/>
          <w:szCs w:val="24"/>
        </w:rPr>
        <w:t>Direct Costs:</w:t>
      </w:r>
      <w:r w:rsidRPr="006C6442">
        <w:rPr>
          <w:rFonts w:ascii="Arial" w:eastAsia="新細明體" w:hAnsi="Arial" w:cs="Arial"/>
          <w:kern w:val="0"/>
          <w:szCs w:val="24"/>
        </w:rPr>
        <w:t xml:space="preserve"> Unexpected expenses for rebuilding damaged assets, factories, and infrastructure after an extreme weather event.</w:t>
      </w:r>
    </w:p>
    <w:p w14:paraId="1F5C3556" w14:textId="77777777" w:rsidR="006C6442" w:rsidRPr="006C6442" w:rsidRDefault="006C6442" w:rsidP="006C6442">
      <w:pPr>
        <w:widowControl/>
        <w:numPr>
          <w:ilvl w:val="0"/>
          <w:numId w:val="3"/>
        </w:numPr>
        <w:spacing w:before="100" w:beforeAutospacing="1" w:after="100" w:afterAutospacing="1"/>
        <w:rPr>
          <w:rFonts w:ascii="Arial" w:eastAsia="新細明體" w:hAnsi="Arial" w:cs="Arial"/>
          <w:kern w:val="0"/>
          <w:szCs w:val="24"/>
        </w:rPr>
      </w:pPr>
      <w:r w:rsidRPr="006C6442">
        <w:rPr>
          <w:rFonts w:ascii="Arial" w:eastAsia="新細明體" w:hAnsi="Arial" w:cs="Arial"/>
          <w:b/>
          <w:bCs/>
          <w:kern w:val="0"/>
          <w:szCs w:val="24"/>
        </w:rPr>
        <w:t>Business Interruption:</w:t>
      </w:r>
      <w:r w:rsidRPr="006C6442">
        <w:rPr>
          <w:rFonts w:ascii="Arial" w:eastAsia="新細明體" w:hAnsi="Arial" w:cs="Arial"/>
          <w:kern w:val="0"/>
          <w:szCs w:val="24"/>
        </w:rPr>
        <w:t xml:space="preserve"> Lost revenue and market share when operations are halted, supply chains are disrupted, or customers cannot be served.</w:t>
      </w:r>
    </w:p>
    <w:p w14:paraId="2F76E894" w14:textId="77777777" w:rsidR="006C6442" w:rsidRPr="006C6442" w:rsidRDefault="006C6442" w:rsidP="006C6442">
      <w:pPr>
        <w:widowControl/>
        <w:numPr>
          <w:ilvl w:val="0"/>
          <w:numId w:val="3"/>
        </w:numPr>
        <w:spacing w:before="100" w:beforeAutospacing="1" w:after="100" w:afterAutospacing="1"/>
        <w:rPr>
          <w:rFonts w:ascii="Arial" w:eastAsia="新細明體" w:hAnsi="Arial" w:cs="Arial"/>
          <w:kern w:val="0"/>
          <w:szCs w:val="24"/>
        </w:rPr>
      </w:pPr>
      <w:r w:rsidRPr="006C6442">
        <w:rPr>
          <w:rFonts w:ascii="Arial" w:eastAsia="新細明體" w:hAnsi="Arial" w:cs="Arial"/>
          <w:b/>
          <w:bCs/>
          <w:kern w:val="0"/>
          <w:szCs w:val="24"/>
        </w:rPr>
        <w:t>Rising Premiums:</w:t>
      </w:r>
      <w:r w:rsidRPr="006C6442">
        <w:rPr>
          <w:rFonts w:ascii="Arial" w:eastAsia="新細明體" w:hAnsi="Arial" w:cs="Arial"/>
          <w:kern w:val="0"/>
          <w:szCs w:val="24"/>
        </w:rPr>
        <w:t xml:space="preserve"> Increased costs for insurance coverage, particularly for assets located in high-risk areas.</w:t>
      </w:r>
    </w:p>
    <w:p w14:paraId="7FC5426A" w14:textId="77777777" w:rsidR="006C6442" w:rsidRPr="006C6442" w:rsidRDefault="006C6442" w:rsidP="006C6442">
      <w:pPr>
        <w:widowControl/>
        <w:spacing w:before="100" w:beforeAutospacing="1" w:after="100" w:afterAutospacing="1"/>
        <w:rPr>
          <w:rFonts w:ascii="Arial" w:eastAsia="新細明體" w:hAnsi="Arial" w:cs="Arial"/>
          <w:kern w:val="0"/>
          <w:szCs w:val="24"/>
        </w:rPr>
      </w:pPr>
      <w:r w:rsidRPr="006C6442">
        <w:rPr>
          <w:rFonts w:ascii="Arial" w:eastAsia="新細明體" w:hAnsi="Arial" w:cs="Arial"/>
          <w:b/>
          <w:bCs/>
          <w:kern w:val="0"/>
          <w:szCs w:val="24"/>
        </w:rPr>
        <w:t>How Transition Risk Erodes Value</w:t>
      </w:r>
    </w:p>
    <w:p w14:paraId="4D91D5BE" w14:textId="77777777" w:rsidR="006C6442" w:rsidRPr="006C6442" w:rsidRDefault="006C6442" w:rsidP="006C6442">
      <w:pPr>
        <w:widowControl/>
        <w:numPr>
          <w:ilvl w:val="0"/>
          <w:numId w:val="4"/>
        </w:numPr>
        <w:spacing w:before="100" w:beforeAutospacing="1" w:after="100" w:afterAutospacing="1"/>
        <w:rPr>
          <w:rFonts w:ascii="Arial" w:eastAsia="新細明體" w:hAnsi="Arial" w:cs="Arial"/>
          <w:kern w:val="0"/>
          <w:szCs w:val="24"/>
        </w:rPr>
      </w:pPr>
      <w:r w:rsidRPr="006C6442">
        <w:rPr>
          <w:rFonts w:ascii="Arial" w:eastAsia="新細明體" w:hAnsi="Arial" w:cs="Arial"/>
          <w:b/>
          <w:bCs/>
          <w:kern w:val="0"/>
          <w:szCs w:val="24"/>
        </w:rPr>
        <w:t>Policy &amp; Regulation:</w:t>
      </w:r>
      <w:r w:rsidRPr="006C6442">
        <w:rPr>
          <w:rFonts w:ascii="Arial" w:eastAsia="新細明體" w:hAnsi="Arial" w:cs="Arial"/>
          <w:kern w:val="0"/>
          <w:szCs w:val="24"/>
        </w:rPr>
        <w:t xml:space="preserve"> New costs associated with complying with emissions regulations or paying carbon taxes, which directly impact profitability.</w:t>
      </w:r>
    </w:p>
    <w:p w14:paraId="6EC1AFF7" w14:textId="77777777" w:rsidR="006C6442" w:rsidRPr="006C6442" w:rsidRDefault="006C6442" w:rsidP="006C6442">
      <w:pPr>
        <w:widowControl/>
        <w:numPr>
          <w:ilvl w:val="0"/>
          <w:numId w:val="4"/>
        </w:numPr>
        <w:spacing w:before="100" w:beforeAutospacing="1" w:after="100" w:afterAutospacing="1"/>
        <w:rPr>
          <w:rFonts w:ascii="Arial" w:eastAsia="新細明體" w:hAnsi="Arial" w:cs="Arial"/>
          <w:kern w:val="0"/>
          <w:szCs w:val="24"/>
        </w:rPr>
      </w:pPr>
      <w:r w:rsidRPr="006C6442">
        <w:rPr>
          <w:rFonts w:ascii="Arial" w:eastAsia="新細明體" w:hAnsi="Arial" w:cs="Arial"/>
          <w:b/>
          <w:bCs/>
          <w:kern w:val="0"/>
          <w:szCs w:val="24"/>
        </w:rPr>
        <w:t>Technological Obsolescence:</w:t>
      </w:r>
      <w:r w:rsidRPr="006C6442">
        <w:rPr>
          <w:rFonts w:ascii="Arial" w:eastAsia="新細明體" w:hAnsi="Arial" w:cs="Arial"/>
          <w:kern w:val="0"/>
          <w:szCs w:val="24"/>
        </w:rPr>
        <w:t xml:space="preserve"> A company's products or services can become obsolete if it fails to invest in new, low-carbon technologies that the market is demanding.</w:t>
      </w:r>
    </w:p>
    <w:p w14:paraId="17887DAF" w14:textId="77777777" w:rsidR="006C6442" w:rsidRPr="006C6442" w:rsidRDefault="006C6442" w:rsidP="006C6442">
      <w:pPr>
        <w:widowControl/>
        <w:numPr>
          <w:ilvl w:val="0"/>
          <w:numId w:val="4"/>
        </w:numPr>
        <w:spacing w:before="100" w:beforeAutospacing="1" w:after="100" w:afterAutospacing="1"/>
        <w:rPr>
          <w:rFonts w:ascii="Arial" w:eastAsia="新細明體" w:hAnsi="Arial" w:cs="Arial"/>
          <w:kern w:val="0"/>
          <w:szCs w:val="24"/>
        </w:rPr>
      </w:pPr>
      <w:r w:rsidRPr="006C6442">
        <w:rPr>
          <w:rFonts w:ascii="Arial" w:eastAsia="新細明體" w:hAnsi="Arial" w:cs="Arial"/>
          <w:b/>
          <w:bCs/>
          <w:kern w:val="0"/>
          <w:szCs w:val="24"/>
        </w:rPr>
        <w:t>Market &amp; Reputation:</w:t>
      </w:r>
      <w:r w:rsidRPr="006C6442">
        <w:rPr>
          <w:rFonts w:ascii="Arial" w:eastAsia="新細明體" w:hAnsi="Arial" w:cs="Arial"/>
          <w:kern w:val="0"/>
          <w:szCs w:val="24"/>
        </w:rPr>
        <w:t xml:space="preserve"> Losing customers, investors, and talented employees who prioritize sustainability and climate action can harm a company's brand and long-term prospects.</w:t>
      </w:r>
    </w:p>
    <w:p w14:paraId="6A4A6C3A" w14:textId="77777777" w:rsidR="006C6442" w:rsidRPr="006C6442" w:rsidRDefault="006C6442" w:rsidP="006C6442">
      <w:pPr>
        <w:widowControl/>
        <w:spacing w:before="100" w:beforeAutospacing="1" w:after="100" w:afterAutospacing="1"/>
        <w:rPr>
          <w:rFonts w:ascii="Arial" w:eastAsia="新細明體" w:hAnsi="Arial" w:cs="Arial"/>
          <w:kern w:val="0"/>
          <w:szCs w:val="24"/>
        </w:rPr>
      </w:pPr>
      <w:r w:rsidRPr="006C6442">
        <w:rPr>
          <w:rFonts w:ascii="Arial" w:eastAsia="新細明體" w:hAnsi="Arial" w:cs="Arial"/>
          <w:kern w:val="0"/>
          <w:szCs w:val="24"/>
        </w:rPr>
        <w:t>Proactive companies, however, can mitigate these risks through robust readiness planning. For physical risk, this includes developing adaptation strategies like site redundancy and comprehensive disaster-recovery plans, which the MSCI study suggests can lead to "more muted performance declines." For transition risk, readiness is demonstrated by the forward-looking indicators of decarbonization, such as sustained investment in green capex and technology, and a verifiable shift toward green revenues.</w:t>
      </w:r>
    </w:p>
    <w:p w14:paraId="4426DC1D" w14:textId="77777777" w:rsidR="006C6442" w:rsidRPr="006C6442" w:rsidRDefault="006C6442" w:rsidP="006C6442">
      <w:pPr>
        <w:widowControl/>
        <w:spacing w:before="100" w:beforeAutospacing="1" w:after="100" w:afterAutospacing="1"/>
        <w:outlineLvl w:val="1"/>
        <w:rPr>
          <w:rFonts w:ascii="Arial" w:eastAsia="新細明體" w:hAnsi="Arial" w:cs="Arial"/>
          <w:b/>
          <w:bCs/>
          <w:kern w:val="0"/>
          <w:sz w:val="36"/>
          <w:szCs w:val="36"/>
        </w:rPr>
      </w:pPr>
      <w:r w:rsidRPr="006C6442">
        <w:rPr>
          <w:rFonts w:ascii="Arial" w:eastAsia="新細明體" w:hAnsi="Arial" w:cs="Arial"/>
          <w:b/>
          <w:bCs/>
          <w:kern w:val="0"/>
          <w:sz w:val="36"/>
          <w:szCs w:val="36"/>
        </w:rPr>
        <w:lastRenderedPageBreak/>
        <w:t>4. Key Takeaways for the Modern Investor</w:t>
      </w:r>
    </w:p>
    <w:p w14:paraId="21D725B8" w14:textId="77777777" w:rsidR="006C6442" w:rsidRPr="006C6442" w:rsidRDefault="006C6442" w:rsidP="006C6442">
      <w:pPr>
        <w:widowControl/>
        <w:numPr>
          <w:ilvl w:val="0"/>
          <w:numId w:val="5"/>
        </w:numPr>
        <w:spacing w:before="100" w:beforeAutospacing="1" w:after="100" w:afterAutospacing="1"/>
        <w:rPr>
          <w:rFonts w:ascii="Arial" w:eastAsia="新細明體" w:hAnsi="Arial" w:cs="Arial"/>
          <w:kern w:val="0"/>
          <w:szCs w:val="24"/>
        </w:rPr>
      </w:pPr>
      <w:r w:rsidRPr="006C6442">
        <w:rPr>
          <w:rFonts w:ascii="Arial" w:eastAsia="新細明體" w:hAnsi="Arial" w:cs="Arial"/>
          <w:b/>
          <w:bCs/>
          <w:kern w:val="0"/>
          <w:szCs w:val="24"/>
        </w:rPr>
        <w:t>Climate Risk is Financial Risk.</w:t>
      </w:r>
      <w:r w:rsidRPr="006C6442">
        <w:rPr>
          <w:rFonts w:ascii="Arial" w:eastAsia="新細明體" w:hAnsi="Arial" w:cs="Arial"/>
          <w:kern w:val="0"/>
          <w:szCs w:val="24"/>
        </w:rPr>
        <w:t xml:space="preserve"> Both direct physical events (like hurricanes) and the indirect pressures of the low-carbon transition have measurable, negative impacts on the stock performance and underlying value of exposed companies. This is no longer a theoretical problem but a practical financial consideration.</w:t>
      </w:r>
    </w:p>
    <w:p w14:paraId="55CECDDF" w14:textId="77777777" w:rsidR="006C6442" w:rsidRPr="006C6442" w:rsidRDefault="006C6442" w:rsidP="006C6442">
      <w:pPr>
        <w:widowControl/>
        <w:numPr>
          <w:ilvl w:val="0"/>
          <w:numId w:val="5"/>
        </w:numPr>
        <w:spacing w:before="100" w:beforeAutospacing="1" w:after="100" w:afterAutospacing="1"/>
        <w:rPr>
          <w:rFonts w:ascii="Arial" w:eastAsia="新細明體" w:hAnsi="Arial" w:cs="Arial"/>
          <w:kern w:val="0"/>
          <w:szCs w:val="24"/>
        </w:rPr>
      </w:pPr>
      <w:r w:rsidRPr="006C6442">
        <w:rPr>
          <w:rFonts w:ascii="Arial" w:eastAsia="新細明體" w:hAnsi="Arial" w:cs="Arial"/>
          <w:b/>
          <w:bCs/>
          <w:kern w:val="0"/>
          <w:szCs w:val="24"/>
        </w:rPr>
        <w:t>Location and Sector Matter.</w:t>
      </w:r>
      <w:r w:rsidRPr="006C6442">
        <w:rPr>
          <w:rFonts w:ascii="Arial" w:eastAsia="新細明體" w:hAnsi="Arial" w:cs="Arial"/>
          <w:kern w:val="0"/>
          <w:szCs w:val="24"/>
        </w:rPr>
        <w:t xml:space="preserve"> Climate risk is not generic. A company's specific risk profile depends heavily on the physical location of its critical assets and its industry's vulnerability to both physical damages and transition pressures. Granular, asset-level data is essential for a true risk assessment.</w:t>
      </w:r>
    </w:p>
    <w:p w14:paraId="79BCCF88" w14:textId="77777777" w:rsidR="006C6442" w:rsidRPr="006C6442" w:rsidRDefault="006C6442" w:rsidP="006C6442">
      <w:pPr>
        <w:widowControl/>
        <w:numPr>
          <w:ilvl w:val="0"/>
          <w:numId w:val="5"/>
        </w:numPr>
        <w:spacing w:before="100" w:beforeAutospacing="1" w:after="100" w:afterAutospacing="1"/>
        <w:rPr>
          <w:rFonts w:ascii="Arial" w:eastAsia="新細明體" w:hAnsi="Arial" w:cs="Arial"/>
          <w:kern w:val="0"/>
          <w:szCs w:val="24"/>
        </w:rPr>
      </w:pPr>
      <w:r w:rsidRPr="006C6442">
        <w:rPr>
          <w:rFonts w:ascii="Arial" w:eastAsia="新細明體" w:hAnsi="Arial" w:cs="Arial"/>
          <w:b/>
          <w:bCs/>
          <w:kern w:val="0"/>
          <w:szCs w:val="24"/>
        </w:rPr>
        <w:t>Readiness is a Key Indicator.</w:t>
      </w:r>
      <w:r w:rsidRPr="006C6442">
        <w:rPr>
          <w:rFonts w:ascii="Arial" w:eastAsia="新細明體" w:hAnsi="Arial" w:cs="Arial"/>
          <w:kern w:val="0"/>
          <w:szCs w:val="24"/>
        </w:rPr>
        <w:t xml:space="preserve"> Investors should look beyond a company's current carbon footprint and assess its forward-looking strategy. A company's progress in its low-carbon transition—demonstrated through concrete actions like setting science-based targets, increasing green capex, and growing its share of green revenues—are crucial indicators of its long-term resilience.</w:t>
      </w:r>
    </w:p>
    <w:p w14:paraId="55CB93B0" w14:textId="77777777" w:rsidR="00DA5529" w:rsidRPr="006C6442" w:rsidRDefault="00DA5529">
      <w:pPr>
        <w:rPr>
          <w:rFonts w:ascii="Arial" w:hAnsi="Arial" w:cs="Arial"/>
        </w:rPr>
      </w:pPr>
    </w:p>
    <w:sectPr w:rsidR="00DA5529" w:rsidRPr="006C6442" w:rsidSect="006C6442">
      <w:pgSz w:w="16838" w:h="11906" w:orient="landscape"/>
      <w:pgMar w:top="1800" w:right="1440" w:bottom="1800" w:left="144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91305E"/>
    <w:multiLevelType w:val="multilevel"/>
    <w:tmpl w:val="77C8DA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E242F08"/>
    <w:multiLevelType w:val="multilevel"/>
    <w:tmpl w:val="F49E1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801134"/>
    <w:multiLevelType w:val="multilevel"/>
    <w:tmpl w:val="450C5E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FAC76D1"/>
    <w:multiLevelType w:val="multilevel"/>
    <w:tmpl w:val="02420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BAA0532"/>
    <w:multiLevelType w:val="multilevel"/>
    <w:tmpl w:val="EF8ED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2"/>
  </w:num>
  <w:num w:numId="3">
    <w:abstractNumId w:val="1"/>
  </w:num>
  <w:num w:numId="4">
    <w:abstractNumId w:val="3"/>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bordersDoNotSurroundHeader/>
  <w:bordersDoNotSurroundFooter/>
  <w:proofState w:spelling="clean" w:grammar="clean"/>
  <w:defaultTabStop w:val="480"/>
  <w:drawingGridHorizontalSpacing w:val="12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6442"/>
    <w:rsid w:val="000751F0"/>
    <w:rsid w:val="005C6192"/>
    <w:rsid w:val="005E42C2"/>
    <w:rsid w:val="006C6442"/>
    <w:rsid w:val="00DA5529"/>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D2E639"/>
  <w15:chartTrackingRefBased/>
  <w15:docId w15:val="{F4C9534E-C969-47A8-A347-1F4858FA08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link w:val="10"/>
    <w:uiPriority w:val="9"/>
    <w:qFormat/>
    <w:rsid w:val="006C6442"/>
    <w:pPr>
      <w:widowControl/>
      <w:spacing w:before="100" w:beforeAutospacing="1" w:after="100" w:afterAutospacing="1"/>
      <w:outlineLvl w:val="0"/>
    </w:pPr>
    <w:rPr>
      <w:rFonts w:ascii="新細明體" w:eastAsia="新細明體" w:hAnsi="新細明體" w:cs="新細明體"/>
      <w:b/>
      <w:bCs/>
      <w:kern w:val="36"/>
      <w:sz w:val="48"/>
      <w:szCs w:val="48"/>
    </w:rPr>
  </w:style>
  <w:style w:type="paragraph" w:styleId="2">
    <w:name w:val="heading 2"/>
    <w:basedOn w:val="a"/>
    <w:link w:val="20"/>
    <w:uiPriority w:val="9"/>
    <w:qFormat/>
    <w:rsid w:val="006C6442"/>
    <w:pPr>
      <w:widowControl/>
      <w:spacing w:before="100" w:beforeAutospacing="1" w:after="100" w:afterAutospacing="1"/>
      <w:outlineLvl w:val="1"/>
    </w:pPr>
    <w:rPr>
      <w:rFonts w:ascii="新細明體" w:eastAsia="新細明體" w:hAnsi="新細明體" w:cs="新細明體"/>
      <w:b/>
      <w:bCs/>
      <w:kern w:val="0"/>
      <w:sz w:val="36"/>
      <w:szCs w:val="36"/>
    </w:rPr>
  </w:style>
  <w:style w:type="paragraph" w:styleId="3">
    <w:name w:val="heading 3"/>
    <w:basedOn w:val="a"/>
    <w:link w:val="30"/>
    <w:uiPriority w:val="9"/>
    <w:qFormat/>
    <w:rsid w:val="006C6442"/>
    <w:pPr>
      <w:widowControl/>
      <w:spacing w:before="100" w:beforeAutospacing="1" w:after="100" w:afterAutospacing="1"/>
      <w:outlineLvl w:val="2"/>
    </w:pPr>
    <w:rPr>
      <w:rFonts w:ascii="新細明體" w:eastAsia="新細明體" w:hAnsi="新細明體" w:cs="新細明體"/>
      <w:b/>
      <w:bCs/>
      <w:kern w:val="0"/>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6C6442"/>
    <w:rPr>
      <w:rFonts w:ascii="新細明體" w:eastAsia="新細明體" w:hAnsi="新細明體" w:cs="新細明體"/>
      <w:b/>
      <w:bCs/>
      <w:kern w:val="36"/>
      <w:sz w:val="48"/>
      <w:szCs w:val="48"/>
    </w:rPr>
  </w:style>
  <w:style w:type="character" w:customStyle="1" w:styleId="20">
    <w:name w:val="標題 2 字元"/>
    <w:basedOn w:val="a0"/>
    <w:link w:val="2"/>
    <w:uiPriority w:val="9"/>
    <w:rsid w:val="006C6442"/>
    <w:rPr>
      <w:rFonts w:ascii="新細明體" w:eastAsia="新細明體" w:hAnsi="新細明體" w:cs="新細明體"/>
      <w:b/>
      <w:bCs/>
      <w:kern w:val="0"/>
      <w:sz w:val="36"/>
      <w:szCs w:val="36"/>
    </w:rPr>
  </w:style>
  <w:style w:type="character" w:customStyle="1" w:styleId="30">
    <w:name w:val="標題 3 字元"/>
    <w:basedOn w:val="a0"/>
    <w:link w:val="3"/>
    <w:uiPriority w:val="9"/>
    <w:rsid w:val="006C6442"/>
    <w:rPr>
      <w:rFonts w:ascii="新細明體" w:eastAsia="新細明體" w:hAnsi="新細明體" w:cs="新細明體"/>
      <w:b/>
      <w:bCs/>
      <w:kern w:val="0"/>
      <w:sz w:val="27"/>
      <w:szCs w:val="27"/>
    </w:rPr>
  </w:style>
  <w:style w:type="paragraph" w:styleId="Web">
    <w:name w:val="Normal (Web)"/>
    <w:basedOn w:val="a"/>
    <w:uiPriority w:val="99"/>
    <w:semiHidden/>
    <w:unhideWhenUsed/>
    <w:rsid w:val="006C6442"/>
    <w:pPr>
      <w:widowControl/>
      <w:spacing w:before="100" w:beforeAutospacing="1" w:after="100" w:afterAutospacing="1"/>
    </w:pPr>
    <w:rPr>
      <w:rFonts w:ascii="新細明體" w:eastAsia="新細明體" w:hAnsi="新細明體" w:cs="新細明體"/>
      <w:kern w:val="0"/>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319734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FB8639A-647E-4D68-B0D0-168684D9C4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1287</Words>
  <Characters>7337</Characters>
  <Application>Microsoft Office Word</Application>
  <DocSecurity>0</DocSecurity>
  <Lines>61</Lines>
  <Paragraphs>17</Paragraphs>
  <ScaleCrop>false</ScaleCrop>
  <Company>Taiwancement</Company>
  <LinksUpToDate>false</LinksUpToDate>
  <CharactersWithSpaces>8607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徐培源</dc:creator>
  <cp:keywords/>
  <dc:description/>
  <cp:lastModifiedBy>徐培源</cp:lastModifiedBy>
  <cp:revision>1</cp:revision>
  <dcterms:created xsi:type="dcterms:W3CDTF">2025-10-08T07:05:00Z</dcterms:created>
  <dcterms:modified xsi:type="dcterms:W3CDTF">2025-10-08T07:06:00Z</dcterms:modified>
</cp:coreProperties>
</file>