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5FAC9" w14:textId="77777777" w:rsidR="006C6442" w:rsidRPr="006C6442" w:rsidRDefault="006C6442" w:rsidP="006C6442">
      <w:pPr>
        <w:widowControl/>
        <w:spacing w:before="100" w:beforeAutospacing="1" w:after="100" w:afterAutospacing="1"/>
        <w:outlineLvl w:val="0"/>
        <w:rPr>
          <w:rFonts w:ascii="Arial" w:eastAsia="新細明體" w:hAnsi="Arial" w:cs="Arial"/>
          <w:b/>
          <w:bCs/>
          <w:kern w:val="36"/>
          <w:sz w:val="48"/>
          <w:szCs w:val="48"/>
        </w:rPr>
      </w:pPr>
      <w:r w:rsidRPr="006C6442">
        <w:rPr>
          <w:rFonts w:ascii="Arial" w:eastAsia="新細明體" w:hAnsi="Arial" w:cs="Arial"/>
          <w:b/>
          <w:bCs/>
          <w:kern w:val="36"/>
          <w:sz w:val="48"/>
          <w:szCs w:val="48"/>
        </w:rPr>
        <w:t>Understanding Climate Risk: A Guide for Businesses and Investors</w:t>
      </w:r>
    </w:p>
    <w:p w14:paraId="63F2D293"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Climate change is often discussed as an environmental issue, but it is also one of the most critical financial and investment challenges of our time. For companies and the investors who fund them, the effects of a changing climate are no longer distant possibilities; they are tangible risks that can impact profitability, asset value, and long-term survival.</w:t>
      </w:r>
    </w:p>
    <w:p w14:paraId="75853E45"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guide explains the two primary categories of climate-related financial risk—</w:t>
      </w:r>
      <w:r w:rsidRPr="006C6442">
        <w:rPr>
          <w:rFonts w:ascii="Arial" w:eastAsia="新細明體" w:hAnsi="Arial" w:cs="Arial"/>
          <w:b/>
          <w:bCs/>
          <w:kern w:val="0"/>
          <w:szCs w:val="24"/>
        </w:rPr>
        <w:t>Physical Risk</w:t>
      </w:r>
      <w:r w:rsidRPr="006C6442">
        <w:rPr>
          <w:rFonts w:ascii="Arial" w:eastAsia="新細明體" w:hAnsi="Arial" w:cs="Arial"/>
          <w:kern w:val="0"/>
          <w:szCs w:val="24"/>
        </w:rPr>
        <w:t xml:space="preserve"> and </w:t>
      </w:r>
      <w:r w:rsidRPr="006C6442">
        <w:rPr>
          <w:rFonts w:ascii="Arial" w:eastAsia="新細明體" w:hAnsi="Arial" w:cs="Arial"/>
          <w:b/>
          <w:bCs/>
          <w:kern w:val="0"/>
          <w:szCs w:val="24"/>
        </w:rPr>
        <w:t>Transition Risk</w:t>
      </w:r>
      <w:r w:rsidRPr="006C6442">
        <w:rPr>
          <w:rFonts w:ascii="Arial" w:eastAsia="新細明體" w:hAnsi="Arial" w:cs="Arial"/>
          <w:kern w:val="0"/>
          <w:szCs w:val="24"/>
        </w:rPr>
        <w:t>—to help new learners understand how they directly affect company value and investment outcomes.</w:t>
      </w:r>
    </w:p>
    <w:p w14:paraId="13B2DA59"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t>1. What is Physical Climate Risk? The Direct Impact of Extreme Weather</w:t>
      </w:r>
    </w:p>
    <w:p w14:paraId="4F6F56C8"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Physical Risk refers to the financial losses caused by the increasing frequency and severity of climate-related events. These are the direct, tangible damages that result from events like hurricanes, floods, wildfires, and heatwaves.</w:t>
      </w:r>
    </w:p>
    <w:p w14:paraId="7D61174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A primary example of a physical risk is a hurricane. When a hurricane strikes, it can cause direct financial harm to a company by damaging its physical assets (like factories and offices) and interrupting its business operations. These disruptions lead to lost revenue and higher costs for repairs and recovery.</w:t>
      </w:r>
    </w:p>
    <w:p w14:paraId="10C83E0B"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 xml:space="preserve">A detailed MSCI study on hurricanes found that firms with assets in a hurricane's path experienced </w:t>
      </w:r>
      <w:r w:rsidRPr="006C6442">
        <w:rPr>
          <w:rFonts w:ascii="Arial" w:eastAsia="新細明體" w:hAnsi="Arial" w:cs="Arial"/>
          <w:b/>
          <w:bCs/>
          <w:kern w:val="0"/>
          <w:szCs w:val="24"/>
        </w:rPr>
        <w:t>statistically significant underperformance, even after controlling for market, sector and style factors.</w:t>
      </w:r>
      <w:r w:rsidRPr="006C6442">
        <w:rPr>
          <w:rFonts w:ascii="Arial" w:eastAsia="新細明體" w:hAnsi="Arial" w:cs="Arial"/>
          <w:kern w:val="0"/>
          <w:szCs w:val="24"/>
        </w:rPr>
        <w:t xml:space="preserve"> This negative financial impact was not a one-</w:t>
      </w:r>
      <w:r w:rsidRPr="006C6442">
        <w:rPr>
          <w:rFonts w:ascii="Arial" w:eastAsia="新細明體" w:hAnsi="Arial" w:cs="Arial"/>
          <w:kern w:val="0"/>
          <w:szCs w:val="24"/>
        </w:rPr>
        <w:lastRenderedPageBreak/>
        <w:t xml:space="preserve">day event; it accumulated gradually, worsening for up to 30 business days after the storm. Furthermore, </w:t>
      </w:r>
      <w:r w:rsidRPr="006C6442">
        <w:rPr>
          <w:rFonts w:ascii="Arial" w:eastAsia="新細明體" w:hAnsi="Arial" w:cs="Arial"/>
          <w:b/>
          <w:bCs/>
          <w:kern w:val="0"/>
          <w:szCs w:val="24"/>
        </w:rPr>
        <w:t>tail risk rose</w:t>
      </w:r>
      <w:r w:rsidRPr="006C6442">
        <w:rPr>
          <w:rFonts w:ascii="Arial" w:eastAsia="新細明體" w:hAnsi="Arial" w:cs="Arial"/>
          <w:kern w:val="0"/>
          <w:szCs w:val="24"/>
        </w:rPr>
        <w:t xml:space="preserve"> for exposed firms, meaning the most extreme negative outcomes became more severe.</w:t>
      </w:r>
    </w:p>
    <w:p w14:paraId="6D00E7B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However, this risk is not distributed equally. The level of impact depends heavily on a company's specific situation, particularly where it operates and what industry it's in.</w:t>
      </w:r>
    </w:p>
    <w:p w14:paraId="56C62867" w14:textId="77777777" w:rsidR="006C6442" w:rsidRPr="006C6442" w:rsidRDefault="006C6442" w:rsidP="006C6442">
      <w:pPr>
        <w:widowControl/>
        <w:spacing w:before="100" w:beforeAutospacing="1" w:after="100" w:afterAutospacing="1"/>
        <w:outlineLvl w:val="2"/>
        <w:rPr>
          <w:rFonts w:ascii="Arial" w:eastAsia="新細明體" w:hAnsi="Arial" w:cs="Arial"/>
          <w:b/>
          <w:bCs/>
          <w:kern w:val="0"/>
          <w:sz w:val="27"/>
          <w:szCs w:val="27"/>
        </w:rPr>
      </w:pPr>
      <w:r w:rsidRPr="006C6442">
        <w:rPr>
          <w:rFonts w:ascii="Arial" w:eastAsia="新細明體" w:hAnsi="Arial" w:cs="Arial"/>
          <w:b/>
          <w:bCs/>
          <w:kern w:val="0"/>
          <w:sz w:val="27"/>
          <w:szCs w:val="27"/>
        </w:rPr>
        <w:t>1.1. Why Location and Concentration are Crucial</w:t>
      </w:r>
    </w:p>
    <w:p w14:paraId="0B08D7DB"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 xml:space="preserve">The concept of </w:t>
      </w:r>
      <w:r w:rsidRPr="006C6442">
        <w:rPr>
          <w:rFonts w:ascii="Arial" w:eastAsia="新細明體" w:hAnsi="Arial" w:cs="Arial"/>
          <w:b/>
          <w:bCs/>
          <w:kern w:val="0"/>
          <w:szCs w:val="24"/>
        </w:rPr>
        <w:t>exposure concentration</w:t>
      </w:r>
      <w:r w:rsidRPr="006C6442">
        <w:rPr>
          <w:rFonts w:ascii="Arial" w:eastAsia="新細明體" w:hAnsi="Arial" w:cs="Arial"/>
          <w:kern w:val="0"/>
          <w:szCs w:val="24"/>
        </w:rPr>
        <w:t xml:space="preserve"> is key to understanding physical risk. The study found that companies with a higher concentration of their assets or revenue in hurricane-affected areas consistently underperformed more than companies with geographically diversified operations. The MSCI study grouped companies into quintiles based on their asset exposure, finding that firms in the top quintile—those with the greatest physical dependency on impacted sites—consistently showed the deepest underperformance.</w:t>
      </w:r>
    </w:p>
    <w:p w14:paraId="6D4D9744"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 xml:space="preserve">This highlights a critical lesson: </w:t>
      </w:r>
      <w:r w:rsidRPr="006C6442">
        <w:rPr>
          <w:rFonts w:ascii="Arial" w:eastAsia="新細明體" w:hAnsi="Arial" w:cs="Arial"/>
          <w:i/>
          <w:iCs/>
          <w:kern w:val="0"/>
          <w:szCs w:val="24"/>
        </w:rPr>
        <w:t>where</w:t>
      </w:r>
      <w:r w:rsidRPr="006C6442">
        <w:rPr>
          <w:rFonts w:ascii="Arial" w:eastAsia="新細明體" w:hAnsi="Arial" w:cs="Arial"/>
          <w:kern w:val="0"/>
          <w:szCs w:val="24"/>
        </w:rPr>
        <w:t xml:space="preserve"> a company's assets are located is a fundamental factor in its climate risk profile. A business with all its factories in a single, hurricane-prone coastal region is far more vulnerable than a competitor with facilities spread across different geographic areas.</w:t>
      </w:r>
    </w:p>
    <w:p w14:paraId="54B0FA12" w14:textId="77777777" w:rsidR="006C6442" w:rsidRPr="006C6442" w:rsidRDefault="006C6442" w:rsidP="006C6442">
      <w:pPr>
        <w:widowControl/>
        <w:spacing w:before="100" w:beforeAutospacing="1" w:after="100" w:afterAutospacing="1"/>
        <w:outlineLvl w:val="2"/>
        <w:rPr>
          <w:rFonts w:ascii="Arial" w:eastAsia="新細明體" w:hAnsi="Arial" w:cs="Arial"/>
          <w:b/>
          <w:bCs/>
          <w:kern w:val="0"/>
          <w:sz w:val="27"/>
          <w:szCs w:val="27"/>
        </w:rPr>
      </w:pPr>
      <w:r w:rsidRPr="006C6442">
        <w:rPr>
          <w:rFonts w:ascii="Arial" w:eastAsia="新細明體" w:hAnsi="Arial" w:cs="Arial"/>
          <w:b/>
          <w:bCs/>
          <w:kern w:val="0"/>
          <w:sz w:val="27"/>
          <w:szCs w:val="27"/>
        </w:rPr>
        <w:t>1.2. Sector Vulnerability: Who Gets Hit Hardest?</w:t>
      </w:r>
    </w:p>
    <w:p w14:paraId="247673C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Different industries have different vulnerabilities to physical risks. The impact of a hurricane on a utility company with fixed infrastructure is very different from its impact on a software company.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9"/>
        <w:gridCol w:w="3943"/>
        <w:gridCol w:w="8000"/>
      </w:tblGrid>
      <w:tr w:rsidR="006C6442" w:rsidRPr="006C6442" w14:paraId="0143DE4C"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6F459BEC"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Sector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C7B90C3"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Primary Vulnerability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D7590"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Key Insight for Investors</w:t>
            </w:r>
          </w:p>
        </w:tc>
      </w:tr>
      <w:tr w:rsidR="006C6442" w:rsidRPr="006C6442" w14:paraId="4CBF30B3"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23B3B9F1"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lastRenderedPageBreak/>
              <w:t>Utilities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10C19"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Immobile, infrastructure-heavy assets (e.g., power plants, transmission lines).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9ED3D"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sector exhibited the most significant downside sensitivity in the study and had the highest "output concentration," meaning damage to a few key assets has an outsized impact on revenue.</w:t>
            </w:r>
          </w:p>
        </w:tc>
      </w:tr>
      <w:tr w:rsidR="006C6442" w:rsidRPr="006C6442" w14:paraId="72B045AB"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5DBC207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Real Estate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363C1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sector had the highest concentration of affected physical assets in the study.</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CF7E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The value of properties can be directly and severely impacted by storms, floods, or wildfires.</w:t>
            </w:r>
          </w:p>
        </w:tc>
      </w:tr>
      <w:tr w:rsidR="006C6442" w:rsidRPr="006C6442" w14:paraId="1580C3B1"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6F6D93A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Information Technology (IT)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C6421C"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Wide exposure due to global supply chains and data centers.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E32149"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Nearly 65% of IT issuers in the MSCI ACWI Index had assets in a hurricane zone, representing 88% of the sector's total index weight, highlighting its systemic exposure.</w:t>
            </w:r>
          </w:p>
        </w:tc>
      </w:tr>
      <w:tr w:rsidR="006C6442" w:rsidRPr="006C6442" w14:paraId="7363DBB9" w14:textId="77777777" w:rsidTr="006C6442">
        <w:tc>
          <w:tcPr>
            <w:tcW w:w="0" w:type="auto"/>
            <w:tcBorders>
              <w:top w:val="outset" w:sz="6" w:space="0" w:color="auto"/>
              <w:left w:val="outset" w:sz="6" w:space="0" w:color="auto"/>
              <w:bottom w:val="outset" w:sz="6" w:space="0" w:color="auto"/>
              <w:right w:val="outset" w:sz="6" w:space="0" w:color="auto"/>
            </w:tcBorders>
            <w:vAlign w:val="center"/>
            <w:hideMark/>
          </w:tcPr>
          <w:p w14:paraId="07E00C6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Industrials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49BB77"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Broad exposure across many companies and physical locations.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CA9A676"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This sector had the largest total number of impacted companies, demonstrating the sheer breadth of its exposure to physical risk.</w:t>
            </w:r>
          </w:p>
        </w:tc>
      </w:tr>
    </w:tbl>
    <w:p w14:paraId="58F146C2"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Beyond the immediate threat of storms and floods, companies also face financial risks from the global shift away from a carbon-based economy.</w:t>
      </w:r>
    </w:p>
    <w:p w14:paraId="3B3478BD"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t>2. What is Transition Risk? The Financials of a Low-Carbon Future</w:t>
      </w:r>
    </w:p>
    <w:p w14:paraId="6708B297"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Transition Risk</w:t>
      </w:r>
      <w:r w:rsidRPr="006C6442">
        <w:rPr>
          <w:rFonts w:ascii="Arial" w:eastAsia="新細明體" w:hAnsi="Arial" w:cs="Arial"/>
          <w:kern w:val="0"/>
          <w:szCs w:val="24"/>
        </w:rPr>
        <w:t xml:space="preserve"> refers to the financial risks a company faces as the world moves toward a low-carbon economy. This transition is driven by three main forces:</w:t>
      </w:r>
    </w:p>
    <w:p w14:paraId="53B83314" w14:textId="77777777" w:rsidR="006C6442" w:rsidRPr="006C6442" w:rsidRDefault="006C6442" w:rsidP="006C6442">
      <w:pPr>
        <w:widowControl/>
        <w:numPr>
          <w:ilvl w:val="0"/>
          <w:numId w:val="1"/>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Policy Changes:</w:t>
      </w:r>
      <w:r w:rsidRPr="006C6442">
        <w:rPr>
          <w:rFonts w:ascii="Arial" w:eastAsia="新細明體" w:hAnsi="Arial" w:cs="Arial"/>
          <w:kern w:val="0"/>
          <w:szCs w:val="24"/>
        </w:rPr>
        <w:t xml:space="preserve"> New regulations, carbon taxes, or emissions caps.</w:t>
      </w:r>
    </w:p>
    <w:p w14:paraId="5C8C7981" w14:textId="77777777" w:rsidR="006C6442" w:rsidRPr="006C6442" w:rsidRDefault="006C6442" w:rsidP="006C6442">
      <w:pPr>
        <w:widowControl/>
        <w:numPr>
          <w:ilvl w:val="0"/>
          <w:numId w:val="1"/>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New Technologies:</w:t>
      </w:r>
      <w:r w:rsidRPr="006C6442">
        <w:rPr>
          <w:rFonts w:ascii="Arial" w:eastAsia="新細明體" w:hAnsi="Arial" w:cs="Arial"/>
          <w:kern w:val="0"/>
          <w:szCs w:val="24"/>
        </w:rPr>
        <w:t xml:space="preserve"> The rise of renewable energy and electric vehicles.</w:t>
      </w:r>
    </w:p>
    <w:p w14:paraId="141E31A4" w14:textId="77777777" w:rsidR="006C6442" w:rsidRPr="006C6442" w:rsidRDefault="006C6442" w:rsidP="006C6442">
      <w:pPr>
        <w:widowControl/>
        <w:numPr>
          <w:ilvl w:val="0"/>
          <w:numId w:val="1"/>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lastRenderedPageBreak/>
        <w:t>Shifting Consumer Preferences:</w:t>
      </w:r>
      <w:r w:rsidRPr="006C6442">
        <w:rPr>
          <w:rFonts w:ascii="Arial" w:eastAsia="新細明體" w:hAnsi="Arial" w:cs="Arial"/>
          <w:kern w:val="0"/>
          <w:szCs w:val="24"/>
        </w:rPr>
        <w:t xml:space="preserve"> Growing demand for sustainable products and services.</w:t>
      </w:r>
    </w:p>
    <w:p w14:paraId="65632A02"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To manage these forces, companies typically progress through four distinct phases of decarbonization, which investors can use as a roadmap to assess a company's readiness:</w:t>
      </w:r>
    </w:p>
    <w:p w14:paraId="284F68DE"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Targets and Governance:</w:t>
      </w:r>
      <w:r w:rsidRPr="006C6442">
        <w:rPr>
          <w:rFonts w:ascii="Arial" w:eastAsia="新細明體" w:hAnsi="Arial" w:cs="Arial"/>
          <w:kern w:val="0"/>
          <w:szCs w:val="24"/>
        </w:rPr>
        <w:t xml:space="preserve"> A company begins by setting emission reduction targets and integrating climate goals into its core business strategy.</w:t>
      </w:r>
    </w:p>
    <w:p w14:paraId="0976D3D5"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Capital and Innovation:</w:t>
      </w:r>
      <w:r w:rsidRPr="006C6442">
        <w:rPr>
          <w:rFonts w:ascii="Arial" w:eastAsia="新細明體" w:hAnsi="Arial" w:cs="Arial"/>
          <w:kern w:val="0"/>
          <w:szCs w:val="24"/>
        </w:rPr>
        <w:t xml:space="preserve"> Acting on these goals, the company actively invests capital (capex) and R&amp;D funds into developing low-carbon technologies, products, or processes.</w:t>
      </w:r>
    </w:p>
    <w:p w14:paraId="2EA95B49"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Changes in Business Output:</w:t>
      </w:r>
      <w:r w:rsidRPr="006C6442">
        <w:rPr>
          <w:rFonts w:ascii="Arial" w:eastAsia="新細明體" w:hAnsi="Arial" w:cs="Arial"/>
          <w:kern w:val="0"/>
          <w:szCs w:val="24"/>
        </w:rPr>
        <w:t xml:space="preserve"> As these investments mature, the company's revenue mix begins to shift, with a growing share coming from "green" sources and a declining share from carbon-intensive sources like fossil fuels.</w:t>
      </w:r>
    </w:p>
    <w:p w14:paraId="321FCF3F" w14:textId="77777777" w:rsidR="006C6442" w:rsidRPr="006C6442" w:rsidRDefault="006C6442" w:rsidP="006C6442">
      <w:pPr>
        <w:widowControl/>
        <w:numPr>
          <w:ilvl w:val="0"/>
          <w:numId w:val="2"/>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Emissions Reduction:</w:t>
      </w:r>
      <w:r w:rsidRPr="006C6442">
        <w:rPr>
          <w:rFonts w:ascii="Arial" w:eastAsia="新細明體" w:hAnsi="Arial" w:cs="Arial"/>
          <w:kern w:val="0"/>
          <w:szCs w:val="24"/>
        </w:rPr>
        <w:t xml:space="preserve"> The cumulative result is that the company achieves a measurable, real-world decrease in its actual carbon emissions.</w:t>
      </w:r>
    </w:p>
    <w:p w14:paraId="095E618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For an investor, this framework is crucial. Companies that successfully navigate these phases may be better positioned for long-term growth and resilience. Those that fail to adapt or lag behind their peers face significant transition risks, including obsolete products, regulatory penalties, and loss of market share.</w:t>
      </w:r>
    </w:p>
    <w:p w14:paraId="04D14AD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Whether from a hurricane or a shift in policy, both physical and transition risks directly threaten a company's financial health and long-term valuation.</w:t>
      </w:r>
    </w:p>
    <w:p w14:paraId="6C320F05"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t>3. The Bottom Line: How Climate Risks Impact Stock Price and Company Value</w:t>
      </w:r>
    </w:p>
    <w:p w14:paraId="577733FE"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lastRenderedPageBreak/>
        <w:t>A company's stock price reflects the market's expectation of its future earnings. Both physical and transition risks can severely undermine those expectations, leading to a lower valuation.</w:t>
      </w:r>
    </w:p>
    <w:p w14:paraId="131276CF"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How Physical Risk Erodes Value</w:t>
      </w:r>
    </w:p>
    <w:p w14:paraId="4664AD61" w14:textId="77777777" w:rsidR="006C6442" w:rsidRPr="006C6442" w:rsidRDefault="006C6442" w:rsidP="006C6442">
      <w:pPr>
        <w:widowControl/>
        <w:numPr>
          <w:ilvl w:val="0"/>
          <w:numId w:val="3"/>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Direct Costs:</w:t>
      </w:r>
      <w:r w:rsidRPr="006C6442">
        <w:rPr>
          <w:rFonts w:ascii="Arial" w:eastAsia="新細明體" w:hAnsi="Arial" w:cs="Arial"/>
          <w:kern w:val="0"/>
          <w:szCs w:val="24"/>
        </w:rPr>
        <w:t xml:space="preserve"> Unexpected expenses for rebuilding damaged assets, factories, and infrastructure after an extreme weather event.</w:t>
      </w:r>
    </w:p>
    <w:p w14:paraId="1F5C3556" w14:textId="77777777" w:rsidR="006C6442" w:rsidRPr="006C6442" w:rsidRDefault="006C6442" w:rsidP="006C6442">
      <w:pPr>
        <w:widowControl/>
        <w:numPr>
          <w:ilvl w:val="0"/>
          <w:numId w:val="3"/>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Business Interruption:</w:t>
      </w:r>
      <w:r w:rsidRPr="006C6442">
        <w:rPr>
          <w:rFonts w:ascii="Arial" w:eastAsia="新細明體" w:hAnsi="Arial" w:cs="Arial"/>
          <w:kern w:val="0"/>
          <w:szCs w:val="24"/>
        </w:rPr>
        <w:t xml:space="preserve"> Lost revenue and market share when operations are halted, supply chains are disrupted, or customers cannot be served.</w:t>
      </w:r>
    </w:p>
    <w:p w14:paraId="2F76E894" w14:textId="77777777" w:rsidR="006C6442" w:rsidRPr="006C6442" w:rsidRDefault="006C6442" w:rsidP="006C6442">
      <w:pPr>
        <w:widowControl/>
        <w:numPr>
          <w:ilvl w:val="0"/>
          <w:numId w:val="3"/>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Rising Premiums:</w:t>
      </w:r>
      <w:r w:rsidRPr="006C6442">
        <w:rPr>
          <w:rFonts w:ascii="Arial" w:eastAsia="新細明體" w:hAnsi="Arial" w:cs="Arial"/>
          <w:kern w:val="0"/>
          <w:szCs w:val="24"/>
        </w:rPr>
        <w:t xml:space="preserve"> Increased costs for insurance coverage, particularly for assets located in high-risk areas.</w:t>
      </w:r>
    </w:p>
    <w:p w14:paraId="7FC5426A"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How Transition Risk Erodes Value</w:t>
      </w:r>
    </w:p>
    <w:p w14:paraId="4D91D5BE" w14:textId="77777777" w:rsidR="006C6442" w:rsidRPr="006C6442" w:rsidRDefault="006C6442" w:rsidP="006C6442">
      <w:pPr>
        <w:widowControl/>
        <w:numPr>
          <w:ilvl w:val="0"/>
          <w:numId w:val="4"/>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Policy &amp; Regulation:</w:t>
      </w:r>
      <w:r w:rsidRPr="006C6442">
        <w:rPr>
          <w:rFonts w:ascii="Arial" w:eastAsia="新細明體" w:hAnsi="Arial" w:cs="Arial"/>
          <w:kern w:val="0"/>
          <w:szCs w:val="24"/>
        </w:rPr>
        <w:t xml:space="preserve"> New costs associated with complying with emissions regulations or paying carbon taxes, which directly impact profitability.</w:t>
      </w:r>
    </w:p>
    <w:p w14:paraId="6EC1AFF7" w14:textId="77777777" w:rsidR="006C6442" w:rsidRPr="006C6442" w:rsidRDefault="006C6442" w:rsidP="006C6442">
      <w:pPr>
        <w:widowControl/>
        <w:numPr>
          <w:ilvl w:val="0"/>
          <w:numId w:val="4"/>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Technological Obsolescence:</w:t>
      </w:r>
      <w:r w:rsidRPr="006C6442">
        <w:rPr>
          <w:rFonts w:ascii="Arial" w:eastAsia="新細明體" w:hAnsi="Arial" w:cs="Arial"/>
          <w:kern w:val="0"/>
          <w:szCs w:val="24"/>
        </w:rPr>
        <w:t xml:space="preserve"> A company's products or services can become obsolete if it fails to invest in new, low-carbon technologies that the market is demanding.</w:t>
      </w:r>
    </w:p>
    <w:p w14:paraId="17887DAF" w14:textId="77777777" w:rsidR="006C6442" w:rsidRPr="006C6442" w:rsidRDefault="006C6442" w:rsidP="006C6442">
      <w:pPr>
        <w:widowControl/>
        <w:numPr>
          <w:ilvl w:val="0"/>
          <w:numId w:val="4"/>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Market &amp; Reputation:</w:t>
      </w:r>
      <w:r w:rsidRPr="006C6442">
        <w:rPr>
          <w:rFonts w:ascii="Arial" w:eastAsia="新細明體" w:hAnsi="Arial" w:cs="Arial"/>
          <w:kern w:val="0"/>
          <w:szCs w:val="24"/>
        </w:rPr>
        <w:t xml:space="preserve"> Losing customers, investors, and talented employees who prioritize sustainability and climate action can harm a company's brand and long-term prospects.</w:t>
      </w:r>
    </w:p>
    <w:p w14:paraId="6A4A6C3A" w14:textId="77777777" w:rsidR="006C6442" w:rsidRPr="006C6442" w:rsidRDefault="006C6442" w:rsidP="006C6442">
      <w:pPr>
        <w:widowControl/>
        <w:spacing w:before="100" w:beforeAutospacing="1" w:after="100" w:afterAutospacing="1"/>
        <w:rPr>
          <w:rFonts w:ascii="Arial" w:eastAsia="新細明體" w:hAnsi="Arial" w:cs="Arial"/>
          <w:kern w:val="0"/>
          <w:szCs w:val="24"/>
        </w:rPr>
      </w:pPr>
      <w:r w:rsidRPr="006C6442">
        <w:rPr>
          <w:rFonts w:ascii="Arial" w:eastAsia="新細明體" w:hAnsi="Arial" w:cs="Arial"/>
          <w:kern w:val="0"/>
          <w:szCs w:val="24"/>
        </w:rPr>
        <w:t>Proactive companies, however, can mitigate these risks through robust readiness planning. For physical risk, this includes developing adaptation strategies like site redundancy and comprehensive disaster-recovery plans, which the MSCI study suggests can lead to "more muted performance declines." For transition risk, readiness is demonstrated by the forward-looking indicators of decarbonization, such as sustained investment in green capex and technology, and a verifiable shift toward green revenues.</w:t>
      </w:r>
    </w:p>
    <w:p w14:paraId="4426DC1D" w14:textId="77777777" w:rsidR="006C6442" w:rsidRPr="006C6442" w:rsidRDefault="006C6442" w:rsidP="006C6442">
      <w:pPr>
        <w:widowControl/>
        <w:spacing w:before="100" w:beforeAutospacing="1" w:after="100" w:afterAutospacing="1"/>
        <w:outlineLvl w:val="1"/>
        <w:rPr>
          <w:rFonts w:ascii="Arial" w:eastAsia="新細明體" w:hAnsi="Arial" w:cs="Arial"/>
          <w:b/>
          <w:bCs/>
          <w:kern w:val="0"/>
          <w:sz w:val="36"/>
          <w:szCs w:val="36"/>
        </w:rPr>
      </w:pPr>
      <w:r w:rsidRPr="006C6442">
        <w:rPr>
          <w:rFonts w:ascii="Arial" w:eastAsia="新細明體" w:hAnsi="Arial" w:cs="Arial"/>
          <w:b/>
          <w:bCs/>
          <w:kern w:val="0"/>
          <w:sz w:val="36"/>
          <w:szCs w:val="36"/>
        </w:rPr>
        <w:lastRenderedPageBreak/>
        <w:t>4. Key Takeaways for the Modern Investor</w:t>
      </w:r>
    </w:p>
    <w:p w14:paraId="21D725B8" w14:textId="77777777" w:rsidR="006C6442" w:rsidRPr="006C6442" w:rsidRDefault="006C6442" w:rsidP="006C6442">
      <w:pPr>
        <w:widowControl/>
        <w:numPr>
          <w:ilvl w:val="0"/>
          <w:numId w:val="5"/>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Climate Risk is Financial Risk.</w:t>
      </w:r>
      <w:r w:rsidRPr="006C6442">
        <w:rPr>
          <w:rFonts w:ascii="Arial" w:eastAsia="新細明體" w:hAnsi="Arial" w:cs="Arial"/>
          <w:kern w:val="0"/>
          <w:szCs w:val="24"/>
        </w:rPr>
        <w:t xml:space="preserve"> Both direct physical events (like hurricanes) and the indirect pressures of the low-carbon transition have measurable, negative impacts on the stock performance and underlying value of exposed companies. This is no longer a theoretical problem but a practical financial consideration.</w:t>
      </w:r>
    </w:p>
    <w:p w14:paraId="55CECDDF" w14:textId="77777777" w:rsidR="006C6442" w:rsidRPr="006C6442" w:rsidRDefault="006C6442" w:rsidP="006C6442">
      <w:pPr>
        <w:widowControl/>
        <w:numPr>
          <w:ilvl w:val="0"/>
          <w:numId w:val="5"/>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Location and Sector Matter.</w:t>
      </w:r>
      <w:r w:rsidRPr="006C6442">
        <w:rPr>
          <w:rFonts w:ascii="Arial" w:eastAsia="新細明體" w:hAnsi="Arial" w:cs="Arial"/>
          <w:kern w:val="0"/>
          <w:szCs w:val="24"/>
        </w:rPr>
        <w:t xml:space="preserve"> Climate risk is not generic. A company's specific risk profile depends heavily on the physical location of its critical assets and its industry's vulnerability to both physical damages and transition pressures. Granular, asset-level data is essential for a true risk assessment.</w:t>
      </w:r>
    </w:p>
    <w:p w14:paraId="79BCCF88" w14:textId="77777777" w:rsidR="006C6442" w:rsidRPr="006C6442" w:rsidRDefault="006C6442" w:rsidP="006C6442">
      <w:pPr>
        <w:widowControl/>
        <w:numPr>
          <w:ilvl w:val="0"/>
          <w:numId w:val="5"/>
        </w:numPr>
        <w:spacing w:before="100" w:beforeAutospacing="1" w:after="100" w:afterAutospacing="1"/>
        <w:rPr>
          <w:rFonts w:ascii="Arial" w:eastAsia="新細明體" w:hAnsi="Arial" w:cs="Arial"/>
          <w:kern w:val="0"/>
          <w:szCs w:val="24"/>
        </w:rPr>
      </w:pPr>
      <w:r w:rsidRPr="006C6442">
        <w:rPr>
          <w:rFonts w:ascii="Arial" w:eastAsia="新細明體" w:hAnsi="Arial" w:cs="Arial"/>
          <w:b/>
          <w:bCs/>
          <w:kern w:val="0"/>
          <w:szCs w:val="24"/>
        </w:rPr>
        <w:t>Readiness is a Key Indicator.</w:t>
      </w:r>
      <w:r w:rsidRPr="006C6442">
        <w:rPr>
          <w:rFonts w:ascii="Arial" w:eastAsia="新細明體" w:hAnsi="Arial" w:cs="Arial"/>
          <w:kern w:val="0"/>
          <w:szCs w:val="24"/>
        </w:rPr>
        <w:t xml:space="preserve"> Investors should look beyond a company's current carbon footprint and assess its forward-looking strategy. A company's progress in its low-carbon transition—demonstrated through concrete actions like setting science-based targets, increasing green capex, and growing its share of green revenues—are crucial indicators of its long-term resilience.</w:t>
      </w:r>
    </w:p>
    <w:p w14:paraId="55CB93B0" w14:textId="77777777" w:rsidR="00DA5529" w:rsidRPr="006C6442" w:rsidRDefault="00DA5529">
      <w:pPr>
        <w:rPr>
          <w:rFonts w:ascii="Arial" w:hAnsi="Arial" w:cs="Arial"/>
        </w:rPr>
      </w:pPr>
    </w:p>
    <w:sectPr w:rsidR="00DA5529" w:rsidRPr="006C6442" w:rsidSect="006C6442">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305E"/>
    <w:multiLevelType w:val="multilevel"/>
    <w:tmpl w:val="77C8D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42F08"/>
    <w:multiLevelType w:val="multilevel"/>
    <w:tmpl w:val="F49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01134"/>
    <w:multiLevelType w:val="multilevel"/>
    <w:tmpl w:val="450C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AC76D1"/>
    <w:multiLevelType w:val="multilevel"/>
    <w:tmpl w:val="0242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A0532"/>
    <w:multiLevelType w:val="multilevel"/>
    <w:tmpl w:val="EF8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42"/>
    <w:rsid w:val="000751F0"/>
    <w:rsid w:val="005C6192"/>
    <w:rsid w:val="005E42C2"/>
    <w:rsid w:val="006C6442"/>
    <w:rsid w:val="009955AF"/>
    <w:rsid w:val="00DA55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E639"/>
  <w15:chartTrackingRefBased/>
  <w15:docId w15:val="{F4C9534E-C969-47A8-A347-1F4858FA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6C6442"/>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6C6442"/>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6C6442"/>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C6442"/>
    <w:rPr>
      <w:rFonts w:ascii="新細明體" w:eastAsia="新細明體" w:hAnsi="新細明體" w:cs="新細明體"/>
      <w:b/>
      <w:bCs/>
      <w:kern w:val="36"/>
      <w:sz w:val="48"/>
      <w:szCs w:val="48"/>
    </w:rPr>
  </w:style>
  <w:style w:type="character" w:customStyle="1" w:styleId="20">
    <w:name w:val="標題 2 字元"/>
    <w:basedOn w:val="a0"/>
    <w:link w:val="2"/>
    <w:uiPriority w:val="9"/>
    <w:rsid w:val="006C6442"/>
    <w:rPr>
      <w:rFonts w:ascii="新細明體" w:eastAsia="新細明體" w:hAnsi="新細明體" w:cs="新細明體"/>
      <w:b/>
      <w:bCs/>
      <w:kern w:val="0"/>
      <w:sz w:val="36"/>
      <w:szCs w:val="36"/>
    </w:rPr>
  </w:style>
  <w:style w:type="character" w:customStyle="1" w:styleId="30">
    <w:name w:val="標題 3 字元"/>
    <w:basedOn w:val="a0"/>
    <w:link w:val="3"/>
    <w:uiPriority w:val="9"/>
    <w:rsid w:val="006C6442"/>
    <w:rPr>
      <w:rFonts w:ascii="新細明體" w:eastAsia="新細明體" w:hAnsi="新細明體" w:cs="新細明體"/>
      <w:b/>
      <w:bCs/>
      <w:kern w:val="0"/>
      <w:sz w:val="27"/>
      <w:szCs w:val="27"/>
    </w:rPr>
  </w:style>
  <w:style w:type="paragraph" w:styleId="Web">
    <w:name w:val="Normal (Web)"/>
    <w:basedOn w:val="a"/>
    <w:uiPriority w:val="99"/>
    <w:semiHidden/>
    <w:unhideWhenUsed/>
    <w:rsid w:val="006C644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97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8639A-647E-4D68-B0D0-168684D9C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1287</Words>
  <Characters>7337</Characters>
  <Application>Microsoft Office Word</Application>
  <DocSecurity>0</DocSecurity>
  <Lines>61</Lines>
  <Paragraphs>17</Paragraphs>
  <ScaleCrop>false</ScaleCrop>
  <Company>Taiwancement</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徐培源</dc:creator>
  <cp:keywords/>
  <dc:description/>
  <cp:lastModifiedBy>徐培源</cp:lastModifiedBy>
  <cp:revision>2</cp:revision>
  <dcterms:created xsi:type="dcterms:W3CDTF">2025-10-08T07:06:00Z</dcterms:created>
  <dcterms:modified xsi:type="dcterms:W3CDTF">2025-10-08T07:06:00Z</dcterms:modified>
</cp:coreProperties>
</file>