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16F5" w14:textId="00A436D2" w:rsidR="00933CB6" w:rsidRDefault="005C1BD6">
      <w:r>
        <w:rPr>
          <w:b/>
          <w:bCs/>
        </w:rPr>
        <w:t>Business</w:t>
      </w:r>
      <w:r w:rsidR="005949FD">
        <w:rPr>
          <w:b/>
          <w:bCs/>
        </w:rPr>
        <w:t xml:space="preserve"> Statement</w:t>
      </w:r>
      <w:r>
        <w:rPr>
          <w:b/>
          <w:bCs/>
        </w:rPr>
        <w:t xml:space="preserve">: </w:t>
      </w:r>
      <w:r w:rsidR="006912B6">
        <w:t xml:space="preserve">Unconstrained Loss Model (ULM) </w:t>
      </w:r>
      <w:r w:rsidR="00EF5876">
        <w:t xml:space="preserve">scores </w:t>
      </w:r>
      <w:r w:rsidR="00933C60">
        <w:t xml:space="preserve">leverage data science </w:t>
      </w:r>
      <w:r w:rsidR="00EC2702">
        <w:t xml:space="preserve">models to predict frequency, severity, and pure premium </w:t>
      </w:r>
      <w:r w:rsidR="009C7D11">
        <w:t xml:space="preserve">for several coverages </w:t>
      </w:r>
      <w:r w:rsidR="00EC2702">
        <w:t xml:space="preserve">on the policy term level. </w:t>
      </w:r>
      <w:r w:rsidR="004D071A">
        <w:t xml:space="preserve">These scores would enable our Product Analytics team to more accurately predict </w:t>
      </w:r>
      <w:r w:rsidR="00E830C3">
        <w:t xml:space="preserve">future </w:t>
      </w:r>
      <w:r w:rsidR="004D071A">
        <w:t>losses</w:t>
      </w:r>
      <w:r w:rsidR="00E830C3">
        <w:t xml:space="preserve"> </w:t>
      </w:r>
      <w:r w:rsidR="00470489">
        <w:t xml:space="preserve">and </w:t>
      </w:r>
      <w:r w:rsidR="00C360C6">
        <w:t xml:space="preserve">it </w:t>
      </w:r>
      <w:r w:rsidR="00871F1A">
        <w:t>would give</w:t>
      </w:r>
      <w:r w:rsidR="00470489">
        <w:t xml:space="preserve"> us another tool</w:t>
      </w:r>
      <w:r w:rsidR="00871F1A">
        <w:t xml:space="preserve"> for</w:t>
      </w:r>
      <w:r w:rsidR="00470489">
        <w:t xml:space="preserve"> assess</w:t>
      </w:r>
      <w:r w:rsidR="00871F1A">
        <w:t>ing</w:t>
      </w:r>
      <w:r w:rsidR="00470489">
        <w:t xml:space="preserve"> risk </w:t>
      </w:r>
      <w:r w:rsidR="00871F1A">
        <w:t xml:space="preserve">associated </w:t>
      </w:r>
      <w:r w:rsidR="00470489">
        <w:t xml:space="preserve">with new </w:t>
      </w:r>
      <w:r w:rsidR="00871F1A">
        <w:t>policies and customers.</w:t>
      </w:r>
    </w:p>
    <w:p w14:paraId="02C1CBAB" w14:textId="77777777" w:rsidR="00163A92" w:rsidRDefault="00163A92" w:rsidP="00163A92"/>
    <w:p w14:paraId="6650AEF2" w14:textId="46DC9D62" w:rsidR="001A51AD" w:rsidRPr="00AB1FD5" w:rsidRDefault="00AB1FD5" w:rsidP="00AB1FD5">
      <w:pPr>
        <w:pStyle w:val="ListParagraph"/>
        <w:numPr>
          <w:ilvl w:val="1"/>
          <w:numId w:val="2"/>
        </w:numPr>
        <w:rPr>
          <w:b/>
          <w:bCs/>
        </w:rPr>
      </w:pPr>
      <w:r w:rsidRPr="00AB1FD5">
        <w:rPr>
          <w:b/>
          <w:bCs/>
        </w:rPr>
        <w:t xml:space="preserve">Recommendation for Joining </w:t>
      </w:r>
      <w:r w:rsidR="002B0879">
        <w:rPr>
          <w:b/>
          <w:bCs/>
        </w:rPr>
        <w:t xml:space="preserve">Auto </w:t>
      </w:r>
      <w:r w:rsidRPr="00AB1FD5">
        <w:rPr>
          <w:b/>
          <w:bCs/>
        </w:rPr>
        <w:t>ULM to Diagnosable Datasets</w:t>
      </w:r>
    </w:p>
    <w:p w14:paraId="62C87E54" w14:textId="209E40FF" w:rsidR="00AB1FD5" w:rsidRDefault="00AB1FD5" w:rsidP="00AB1FD5">
      <w:r>
        <w:t xml:space="preserve">Given that these </w:t>
      </w:r>
      <w:r w:rsidR="00FD1F95">
        <w:t>scores are unique on the policy</w:t>
      </w:r>
      <w:r w:rsidR="00652290">
        <w:t xml:space="preserve"> term</w:t>
      </w:r>
      <w:r w:rsidR="00FD1F95">
        <w:t xml:space="preserve"> level, our team has several options for </w:t>
      </w:r>
      <w:r w:rsidR="006D7892">
        <w:t xml:space="preserve">adding these fields to our diagnosable datasets. </w:t>
      </w:r>
      <w:r w:rsidR="00920740">
        <w:t xml:space="preserve">The two </w:t>
      </w:r>
      <w:r w:rsidR="00EE7DF2">
        <w:t>main datasets in consideration are the Auto Char Ref table and the Auto Operational Loss</w:t>
      </w:r>
      <w:r w:rsidR="00871994">
        <w:t xml:space="preserve"> table. </w:t>
      </w:r>
      <w:r w:rsidR="00B05BA0">
        <w:t xml:space="preserve">We </w:t>
      </w:r>
      <w:r w:rsidR="00586F17">
        <w:t>want</w:t>
      </w:r>
      <w:r w:rsidR="00B05BA0">
        <w:t xml:space="preserve"> to incorporate these scores into operational loss </w:t>
      </w:r>
      <w:r w:rsidR="00623293">
        <w:t xml:space="preserve">because </w:t>
      </w:r>
      <w:r w:rsidR="007E08DF">
        <w:t xml:space="preserve">ULM scores would enhance our ability to predict future losses and conduct analysis on how </w:t>
      </w:r>
      <w:r w:rsidR="00AD1DEB">
        <w:t>policies are performing</w:t>
      </w:r>
      <w:r w:rsidR="003C1F10">
        <w:t xml:space="preserve"> over time. While I can </w:t>
      </w:r>
      <w:r w:rsidR="001C42F4">
        <w:t>understand the benefits for adding these scores to Char Ref, I personally recommend</w:t>
      </w:r>
      <w:r w:rsidR="00CE4D9A">
        <w:t xml:space="preserve"> not adding these scores</w:t>
      </w:r>
      <w:r w:rsidR="003A5BDD">
        <w:t xml:space="preserve"> to it. </w:t>
      </w:r>
      <w:r w:rsidR="00C339EA">
        <w:t xml:space="preserve">Our team is currently in the process of </w:t>
      </w:r>
      <w:r w:rsidR="00E1457C">
        <w:t>cleaning</w:t>
      </w:r>
      <w:r w:rsidR="00C339EA">
        <w:t xml:space="preserve"> the diagnosable datasets</w:t>
      </w:r>
      <w:r w:rsidR="000C0985">
        <w:t xml:space="preserve"> and </w:t>
      </w:r>
      <w:r w:rsidR="00D71F3E">
        <w:t xml:space="preserve">to my knowledge, </w:t>
      </w:r>
      <w:r w:rsidR="00BC7BC4">
        <w:t>C</w:t>
      </w:r>
      <w:r w:rsidR="00D71F3E">
        <w:t xml:space="preserve">har </w:t>
      </w:r>
      <w:r w:rsidR="00BC7BC4">
        <w:t>R</w:t>
      </w:r>
      <w:r w:rsidR="00D71F3E">
        <w:t xml:space="preserve">ef is used to store general </w:t>
      </w:r>
      <w:r w:rsidR="00C23A07">
        <w:t xml:space="preserve">information about </w:t>
      </w:r>
      <w:r w:rsidR="00E1457C">
        <w:t>all our diagnosable datasets</w:t>
      </w:r>
      <w:r w:rsidR="00C23A07">
        <w:t xml:space="preserve">. Since ULM scores are only available for a set number of policy period IDs, </w:t>
      </w:r>
      <w:r w:rsidR="00AD7DDE">
        <w:t xml:space="preserve">adding </w:t>
      </w:r>
      <w:r w:rsidR="00D316F9">
        <w:t>these niche fields</w:t>
      </w:r>
      <w:r w:rsidR="00AD7DDE">
        <w:t xml:space="preserve"> </w:t>
      </w:r>
      <w:r w:rsidR="00E7706A">
        <w:t xml:space="preserve">to </w:t>
      </w:r>
      <w:r w:rsidR="009F0623">
        <w:t>C</w:t>
      </w:r>
      <w:r w:rsidR="00E7706A">
        <w:t xml:space="preserve">har </w:t>
      </w:r>
      <w:r w:rsidR="009F0623">
        <w:t>R</w:t>
      </w:r>
      <w:r w:rsidR="00E7706A">
        <w:t xml:space="preserve">ef </w:t>
      </w:r>
      <w:r w:rsidR="00AD7DDE">
        <w:t xml:space="preserve">would increase clutter and </w:t>
      </w:r>
      <w:r w:rsidR="00E7706A">
        <w:t>data redundancy</w:t>
      </w:r>
      <w:r w:rsidR="00AD7DDE">
        <w:t>. By adding these scores only to Auto Operational Loss, we will still be able to answer any business-related questions while optimizing computing resources and space in our tables.</w:t>
      </w:r>
    </w:p>
    <w:p w14:paraId="1D5080E5" w14:textId="77777777" w:rsidR="00AD7DDE" w:rsidRPr="00AB1FD5" w:rsidRDefault="00AD7DDE" w:rsidP="00AB1FD5"/>
    <w:p w14:paraId="44D94892" w14:textId="407A98A8" w:rsidR="00163A92" w:rsidRDefault="00004B1E" w:rsidP="00163A92">
      <w:pPr>
        <w:pStyle w:val="ListParagraph"/>
        <w:numPr>
          <w:ilvl w:val="1"/>
          <w:numId w:val="2"/>
        </w:numPr>
      </w:pPr>
      <w:r>
        <w:rPr>
          <w:b/>
          <w:bCs/>
        </w:rPr>
        <w:t>Logic for Joining ULM to Auto Operational Loss</w:t>
      </w:r>
    </w:p>
    <w:p w14:paraId="1D2A71FA" w14:textId="12E0B4D6" w:rsidR="00FB3328" w:rsidRDefault="00350EC7" w:rsidP="00781A03">
      <w:r>
        <w:t xml:space="preserve">When joining the ULM </w:t>
      </w:r>
      <w:r w:rsidR="00004B1E">
        <w:t>view</w:t>
      </w:r>
      <w:r>
        <w:t xml:space="preserve"> to </w:t>
      </w:r>
      <w:r w:rsidR="00004B1E">
        <w:t xml:space="preserve">the </w:t>
      </w:r>
      <w:r>
        <w:t xml:space="preserve">Auto Operational Loss table, there was some extra logic to figure out. Our </w:t>
      </w:r>
      <w:r w:rsidR="001D1664">
        <w:t xml:space="preserve">auto operational loss </w:t>
      </w:r>
      <w:r w:rsidR="0037375F">
        <w:t xml:space="preserve">table is broken down </w:t>
      </w:r>
      <w:r w:rsidR="002A0E03">
        <w:t xml:space="preserve">by policy ID, policy period ID, coverage type, and earned month. </w:t>
      </w:r>
      <w:r w:rsidR="00174198">
        <w:t xml:space="preserve">Since ULM scores are unique to </w:t>
      </w:r>
      <w:r w:rsidR="00336DC1">
        <w:t xml:space="preserve">just </w:t>
      </w:r>
      <w:r w:rsidR="00CC23DF">
        <w:t>a policy period ID, we can’t simply join these two tables on that attribute</w:t>
      </w:r>
      <w:r w:rsidR="006E7470">
        <w:t xml:space="preserve"> because operational loss is split up into a finer grain of detail</w:t>
      </w:r>
      <w:r w:rsidR="00CC23DF">
        <w:t xml:space="preserve">. </w:t>
      </w:r>
      <w:r w:rsidR="000F2C57">
        <w:t>The asset owner</w:t>
      </w:r>
      <w:r w:rsidR="0027709D">
        <w:t>, Carsten Lingemann,</w:t>
      </w:r>
      <w:r w:rsidR="000F2C57">
        <w:t xml:space="preserve"> instructed that</w:t>
      </w:r>
      <w:r w:rsidR="00CC23DF">
        <w:t xml:space="preserve"> </w:t>
      </w:r>
      <w:r w:rsidR="004B4CB1">
        <w:t>we t</w:t>
      </w:r>
      <w:r w:rsidR="002477D5">
        <w:t>ake</w:t>
      </w:r>
      <w:r w:rsidR="004B4CB1">
        <w:t xml:space="preserve"> the earned exposure of a record as a percentage</w:t>
      </w:r>
      <w:r w:rsidR="00E560BF">
        <w:t xml:space="preserve"> </w:t>
      </w:r>
      <w:r w:rsidR="004B5338">
        <w:t>for a given</w:t>
      </w:r>
      <w:r w:rsidR="00E560BF">
        <w:t xml:space="preserve"> policy period and multipl</w:t>
      </w:r>
      <w:r w:rsidR="002477D5">
        <w:t>y</w:t>
      </w:r>
      <w:r w:rsidR="00E560BF">
        <w:t xml:space="preserve"> it by the ULM scores. By doing this, we can break down </w:t>
      </w:r>
      <w:r w:rsidR="00407C1F">
        <w:t xml:space="preserve">each metric into a finer grain and when you sum up all the values for a ULM field over a policy period id, you will get the same value </w:t>
      </w:r>
      <w:r w:rsidR="002D4883">
        <w:t xml:space="preserve">that is </w:t>
      </w:r>
      <w:r w:rsidR="00407C1F">
        <w:t xml:space="preserve">stored in the ULM </w:t>
      </w:r>
      <w:r w:rsidR="00631A08">
        <w:t>view</w:t>
      </w:r>
      <w:r w:rsidR="00407C1F">
        <w:t>.</w:t>
      </w:r>
      <w:r w:rsidR="00E157D0">
        <w:t xml:space="preserve"> The official GitHub repository and the contact information for the ULM asset owner is listed below</w:t>
      </w:r>
      <w:r w:rsidR="00C21F38">
        <w:t>:</w:t>
      </w:r>
    </w:p>
    <w:p w14:paraId="3C5E4282" w14:textId="77777777" w:rsidR="00FB3328" w:rsidRDefault="00FB3328" w:rsidP="00781A03"/>
    <w:p w14:paraId="74B61C72" w14:textId="77777777" w:rsidR="00004B1E" w:rsidRDefault="00004B1E" w:rsidP="00781A03"/>
    <w:p w14:paraId="64205B65" w14:textId="77777777" w:rsidR="00004B1E" w:rsidRDefault="00004B1E" w:rsidP="00781A03"/>
    <w:p w14:paraId="0391B7D4" w14:textId="77777777" w:rsidR="00004B1E" w:rsidRDefault="00004B1E" w:rsidP="00781A03"/>
    <w:p w14:paraId="71589011" w14:textId="77777777" w:rsidR="00004B1E" w:rsidRDefault="00004B1E" w:rsidP="00781A03"/>
    <w:p w14:paraId="5109F104" w14:textId="4ED3912C" w:rsidR="00FB3328" w:rsidRDefault="00FB3328" w:rsidP="00FB3328">
      <w:r w:rsidRPr="00C21F38">
        <w:rPr>
          <w:i/>
          <w:iCs/>
        </w:rPr>
        <w:t xml:space="preserve">Snowflake </w:t>
      </w:r>
      <w:r w:rsidR="00D113E4">
        <w:rPr>
          <w:i/>
          <w:iCs/>
        </w:rPr>
        <w:t>View</w:t>
      </w:r>
      <w:r w:rsidRPr="00C21F38">
        <w:rPr>
          <w:i/>
          <w:iCs/>
        </w:rPr>
        <w:t>:</w:t>
      </w:r>
      <w:r>
        <w:t xml:space="preserve"> </w:t>
      </w:r>
      <w:r w:rsidRPr="00346044">
        <w:t>"DSC_PLDS_DB"."APP_AUTOMATA_PRD"."PREVAIL_AUTO_ULM_POL_PRD_AGG_VW"</w:t>
      </w:r>
    </w:p>
    <w:p w14:paraId="0570094A" w14:textId="77777777" w:rsidR="00FB3328" w:rsidRDefault="00FB3328" w:rsidP="00FB3328">
      <w:r w:rsidRPr="00C21F38">
        <w:rPr>
          <w:i/>
          <w:iCs/>
        </w:rPr>
        <w:t>ULM GitHub:</w:t>
      </w:r>
      <w:r>
        <w:t xml:space="preserve"> </w:t>
      </w:r>
      <w:hyperlink r:id="rId7" w:history="1">
        <w:r w:rsidRPr="006A275F">
          <w:rPr>
            <w:rStyle w:val="Hyperlink"/>
          </w:rPr>
          <w:t>https://github.thehartford.com/HIG/pl_ulm_scoremart/wiki</w:t>
        </w:r>
      </w:hyperlink>
    </w:p>
    <w:p w14:paraId="3FAB6128" w14:textId="257CAB1B" w:rsidR="00FB3328" w:rsidRPr="00FB3328" w:rsidRDefault="00FB3328" w:rsidP="00163A92">
      <w:pPr>
        <w:rPr>
          <w:color w:val="0563C1" w:themeColor="hyperlink"/>
          <w:u w:val="single"/>
        </w:rPr>
      </w:pPr>
      <w:r w:rsidRPr="00C21F38">
        <w:rPr>
          <w:i/>
          <w:iCs/>
        </w:rPr>
        <w:t>ULM Asset Owner:</w:t>
      </w:r>
      <w:r>
        <w:t xml:space="preserve"> </w:t>
      </w:r>
      <w:hyperlink r:id="rId8" w:history="1">
        <w:r w:rsidRPr="006A275F">
          <w:rPr>
            <w:rStyle w:val="Hyperlink"/>
          </w:rPr>
          <w:t>Carsten.lingemann@thehartford.com</w:t>
        </w:r>
      </w:hyperlink>
    </w:p>
    <w:p w14:paraId="1A2B8A4D" w14:textId="4580F95E" w:rsidR="00E157D0" w:rsidRDefault="00E157D0" w:rsidP="00E157D0">
      <w:pPr>
        <w:pStyle w:val="ListParagraph"/>
        <w:numPr>
          <w:ilvl w:val="1"/>
          <w:numId w:val="2"/>
        </w:numPr>
      </w:pPr>
      <w:r w:rsidRPr="00E157D0">
        <w:rPr>
          <w:b/>
          <w:bCs/>
        </w:rPr>
        <w:lastRenderedPageBreak/>
        <w:t>Mapping Table for Auto Operational Loss</w:t>
      </w:r>
      <w:r w:rsidR="000319E4">
        <w:rPr>
          <w:b/>
          <w:bCs/>
        </w:rPr>
        <w:t xml:space="preserve"> Coverages</w:t>
      </w:r>
    </w:p>
    <w:p w14:paraId="35F5CE6B" w14:textId="53A29712" w:rsidR="00E157D0" w:rsidRDefault="00AA6ECB" w:rsidP="00E157D0">
      <w:r>
        <w:t>On</w:t>
      </w:r>
      <w:r w:rsidR="00E157D0">
        <w:t xml:space="preserve"> the ULM GitHub</w:t>
      </w:r>
      <w:r>
        <w:t xml:space="preserve"> page</w:t>
      </w:r>
      <w:r w:rsidR="00E157D0">
        <w:t xml:space="preserve">, it is </w:t>
      </w:r>
      <w:r w:rsidR="00B13D9B">
        <w:t>stated that current</w:t>
      </w:r>
      <w:r w:rsidR="00E157D0">
        <w:t xml:space="preserve"> ULM models only </w:t>
      </w:r>
      <w:r w:rsidR="0059355D">
        <w:t xml:space="preserve">predict pure premium, frequency, and severity for </w:t>
      </w:r>
      <w:r w:rsidR="002507B6">
        <w:t>seven</w:t>
      </w:r>
      <w:r w:rsidR="0059355D">
        <w:t xml:space="preserve"> different auto coverage types. These coverages are BI (Bodily Injury</w:t>
      </w:r>
      <w:r w:rsidR="00716A6E">
        <w:t xml:space="preserve">), COLL (Collision), COMP (Comprehensive), </w:t>
      </w:r>
      <w:r w:rsidR="0019455E">
        <w:t xml:space="preserve">MP (Medical Payments), </w:t>
      </w:r>
      <w:r w:rsidR="00BA0401">
        <w:t xml:space="preserve">PD (Property Damage), </w:t>
      </w:r>
      <w:r w:rsidR="0019455E">
        <w:t>PIP (Personal Injury Protection)</w:t>
      </w:r>
      <w:r w:rsidR="00BA0401">
        <w:t xml:space="preserve">, </w:t>
      </w:r>
      <w:r w:rsidR="0046617B">
        <w:t>and UM (</w:t>
      </w:r>
      <w:r w:rsidR="001234EE">
        <w:t>U</w:t>
      </w:r>
      <w:r w:rsidR="0046617B">
        <w:t xml:space="preserve">ninsured </w:t>
      </w:r>
      <w:r w:rsidR="001234EE">
        <w:t>M</w:t>
      </w:r>
      <w:r w:rsidR="0046617B">
        <w:t>otorist). We had to map these scores to certain records in our Auto Operational Loss table</w:t>
      </w:r>
      <w:r w:rsidR="00B57B2B">
        <w:t xml:space="preserve">, since our table has </w:t>
      </w:r>
      <w:r w:rsidR="002507B6">
        <w:t xml:space="preserve">26 unique coverage types. </w:t>
      </w:r>
      <w:r w:rsidR="005E0CAA">
        <w:t>Carsten created the following table to map the coverage type</w:t>
      </w:r>
      <w:r w:rsidR="00724647">
        <w:t xml:space="preserve">s in operational loss </w:t>
      </w:r>
      <w:r w:rsidR="005E0CAA">
        <w:t>to the seven coverages in ULM:</w:t>
      </w:r>
    </w:p>
    <w:p w14:paraId="3AE3BEF6" w14:textId="0C5617AC" w:rsidR="00546BA5" w:rsidRPr="00546BA5" w:rsidRDefault="00546BA5" w:rsidP="00546BA5">
      <w:pPr>
        <w:spacing w:after="0" w:line="240" w:lineRule="auto"/>
        <w:rPr>
          <w:rFonts w:ascii="Times New Roman" w:eastAsia="Times New Roman" w:hAnsi="Times New Roman" w:cs="Times New Roman"/>
          <w:kern w:val="0"/>
          <w:sz w:val="24"/>
          <w:szCs w:val="24"/>
          <w14:ligatures w14:val="none"/>
        </w:rPr>
      </w:pPr>
      <w:r w:rsidRPr="00546BA5">
        <w:rPr>
          <w:rFonts w:ascii="Times New Roman" w:eastAsia="Times New Roman" w:hAnsi="Times New Roman" w:cs="Times New Roman"/>
          <w:noProof/>
          <w:kern w:val="0"/>
          <w:sz w:val="24"/>
          <w:szCs w:val="24"/>
          <w14:ligatures w14:val="none"/>
        </w:rPr>
        <w:drawing>
          <wp:inline distT="0" distB="0" distL="0" distR="0" wp14:anchorId="58E3EC0E" wp14:editId="1DACE190">
            <wp:extent cx="2847975" cy="4076700"/>
            <wp:effectExtent l="0" t="0" r="9525" b="0"/>
            <wp:docPr id="244646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4076700"/>
                    </a:xfrm>
                    <a:prstGeom prst="rect">
                      <a:avLst/>
                    </a:prstGeom>
                    <a:noFill/>
                    <a:ln>
                      <a:noFill/>
                    </a:ln>
                  </pic:spPr>
                </pic:pic>
              </a:graphicData>
            </a:graphic>
          </wp:inline>
        </w:drawing>
      </w:r>
    </w:p>
    <w:p w14:paraId="6E765CC0" w14:textId="16AE36CC" w:rsidR="00171044" w:rsidRDefault="00171044" w:rsidP="00A429EF"/>
    <w:p w14:paraId="5E4A5040" w14:textId="699F65BC" w:rsidR="00A429EF" w:rsidRPr="00892928" w:rsidRDefault="000319E4" w:rsidP="00892928">
      <w:pPr>
        <w:pStyle w:val="ListParagraph"/>
        <w:numPr>
          <w:ilvl w:val="1"/>
          <w:numId w:val="2"/>
        </w:numPr>
        <w:rPr>
          <w:b/>
          <w:bCs/>
        </w:rPr>
      </w:pPr>
      <w:r w:rsidRPr="00892928">
        <w:rPr>
          <w:b/>
          <w:bCs/>
        </w:rPr>
        <w:t>Qu</w:t>
      </w:r>
      <w:r w:rsidR="00892928" w:rsidRPr="00892928">
        <w:rPr>
          <w:b/>
          <w:bCs/>
        </w:rPr>
        <w:t>eries for Integrating ULM into Auto Operational Loss</w:t>
      </w:r>
    </w:p>
    <w:p w14:paraId="629A3206" w14:textId="28E0CCCC" w:rsidR="00F8497C" w:rsidRDefault="009A34A9" w:rsidP="00892928">
      <w:r>
        <w:t xml:space="preserve">Now that the mapping and integration logic has been established, I have included the code that </w:t>
      </w:r>
      <w:r w:rsidR="008F7AD1">
        <w:t>we can</w:t>
      </w:r>
      <w:r>
        <w:t xml:space="preserve"> use to </w:t>
      </w:r>
      <w:r w:rsidR="000D2563">
        <w:t xml:space="preserve">add ULM to our </w:t>
      </w:r>
      <w:r w:rsidR="00DB24E3">
        <w:t xml:space="preserve">auto </w:t>
      </w:r>
      <w:r w:rsidR="00AB7593">
        <w:t>operational loss dataset</w:t>
      </w:r>
      <w:r w:rsidR="000D2563">
        <w:t>. For any questions regarding code implementation, please contact Peter Alonzo</w:t>
      </w:r>
      <w:r w:rsidR="00B2081B">
        <w:t>.</w:t>
      </w:r>
      <w:r w:rsidR="00BC41D5">
        <w:t xml:space="preserve"> See SQL </w:t>
      </w:r>
      <w:r w:rsidR="000B6A87">
        <w:t>acronym</w:t>
      </w:r>
      <w:r w:rsidR="00BC41D5">
        <w:t xml:space="preserve"> definitions on Page 5.</w:t>
      </w:r>
    </w:p>
    <w:p w14:paraId="06F5AFC1" w14:textId="77777777" w:rsidR="003E1C72" w:rsidRDefault="003E1C72" w:rsidP="00892928">
      <w:pPr>
        <w:rPr>
          <w:u w:val="single"/>
        </w:rPr>
      </w:pPr>
    </w:p>
    <w:p w14:paraId="125FCC3C" w14:textId="77777777" w:rsidR="003E1C72" w:rsidRDefault="003E1C72" w:rsidP="00892928">
      <w:pPr>
        <w:rPr>
          <w:u w:val="single"/>
        </w:rPr>
      </w:pPr>
    </w:p>
    <w:p w14:paraId="07ACAA1A" w14:textId="77777777" w:rsidR="003E1C72" w:rsidRDefault="003E1C72" w:rsidP="00892928">
      <w:pPr>
        <w:rPr>
          <w:u w:val="single"/>
        </w:rPr>
      </w:pPr>
    </w:p>
    <w:p w14:paraId="3D3CAB63" w14:textId="77777777" w:rsidR="003E1C72" w:rsidRDefault="003E1C72" w:rsidP="00892928">
      <w:pPr>
        <w:rPr>
          <w:u w:val="single"/>
        </w:rPr>
      </w:pPr>
    </w:p>
    <w:p w14:paraId="0302A6E3" w14:textId="77777777" w:rsidR="003E1C72" w:rsidRDefault="003E1C72" w:rsidP="00892928">
      <w:pPr>
        <w:rPr>
          <w:u w:val="single"/>
        </w:rPr>
      </w:pPr>
    </w:p>
    <w:p w14:paraId="5B006599" w14:textId="383A70CB" w:rsidR="006D45D6" w:rsidRPr="006D45D6" w:rsidRDefault="00131D40" w:rsidP="00892928">
      <w:pPr>
        <w:rPr>
          <w:u w:val="single"/>
        </w:rPr>
      </w:pPr>
      <w:r w:rsidRPr="00131D40">
        <w:rPr>
          <w:u w:val="single"/>
        </w:rPr>
        <w:lastRenderedPageBreak/>
        <w:t>DDL</w:t>
      </w:r>
      <w:r w:rsidR="00657779">
        <w:rPr>
          <w:u w:val="single"/>
        </w:rPr>
        <w:t xml:space="preserve"> Query</w:t>
      </w:r>
      <w:r w:rsidRPr="00131D40">
        <w:rPr>
          <w:u w:val="single"/>
        </w:rPr>
        <w:t xml:space="preserve"> for Adding ULM Columns</w:t>
      </w:r>
    </w:p>
    <w:p w14:paraId="7A75D800" w14:textId="38CEBC36" w:rsidR="00B2081B" w:rsidRDefault="00F8497C" w:rsidP="00892928">
      <w:r>
        <w:rPr>
          <w:noProof/>
        </w:rPr>
        <w:drawing>
          <wp:inline distT="0" distB="0" distL="0" distR="0" wp14:anchorId="6E173E5A" wp14:editId="283E1A36">
            <wp:extent cx="5943600" cy="1587500"/>
            <wp:effectExtent l="0" t="0" r="0" b="0"/>
            <wp:docPr id="129851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17151" name=""/>
                    <pic:cNvPicPr/>
                  </pic:nvPicPr>
                  <pic:blipFill>
                    <a:blip r:embed="rId10"/>
                    <a:stretch>
                      <a:fillRect/>
                    </a:stretch>
                  </pic:blipFill>
                  <pic:spPr>
                    <a:xfrm>
                      <a:off x="0" y="0"/>
                      <a:ext cx="5943600" cy="1587500"/>
                    </a:xfrm>
                    <a:prstGeom prst="rect">
                      <a:avLst/>
                    </a:prstGeom>
                  </pic:spPr>
                </pic:pic>
              </a:graphicData>
            </a:graphic>
          </wp:inline>
        </w:drawing>
      </w:r>
    </w:p>
    <w:p w14:paraId="2A6AA479" w14:textId="24C7B5B9" w:rsidR="00B2081B" w:rsidRDefault="0091339D" w:rsidP="00892928">
      <w:r>
        <w:t xml:space="preserve">Explanation: </w:t>
      </w:r>
      <w:r w:rsidR="0073762F">
        <w:t>We</w:t>
      </w:r>
      <w:r w:rsidR="00B24CF9">
        <w:t xml:space="preserve"> find it necessary to </w:t>
      </w:r>
      <w:r w:rsidR="00D75B1F">
        <w:t xml:space="preserve">only add the pure premium fields to operational loss for the time being. </w:t>
      </w:r>
      <w:r w:rsidR="0085785D">
        <w:t>All</w:t>
      </w:r>
      <w:r w:rsidR="00C44104">
        <w:t xml:space="preserve"> the fields contain numeric </w:t>
      </w:r>
      <w:r w:rsidR="00B14C26">
        <w:t>floating-point</w:t>
      </w:r>
      <w:r w:rsidR="00C44104">
        <w:t xml:space="preserve"> values and we’d be adding seven different coverage</w:t>
      </w:r>
      <w:r w:rsidR="00B14C26">
        <w:t xml:space="preserve">s and a total pure premium column to our table. </w:t>
      </w:r>
    </w:p>
    <w:p w14:paraId="294EE783" w14:textId="77777777" w:rsidR="00C473F2" w:rsidRDefault="00C473F2" w:rsidP="00892928"/>
    <w:p w14:paraId="4C29AF7E" w14:textId="17CFE942" w:rsidR="00C473F2" w:rsidRDefault="00C473F2" w:rsidP="00892928">
      <w:pPr>
        <w:rPr>
          <w:u w:val="single"/>
        </w:rPr>
      </w:pPr>
      <w:r>
        <w:rPr>
          <w:u w:val="single"/>
        </w:rPr>
        <w:t>CTE for Breaking Down ULM Scores</w:t>
      </w:r>
    </w:p>
    <w:p w14:paraId="54DAA17E" w14:textId="6C5D01F2" w:rsidR="00C473F2" w:rsidRDefault="004B4F8D" w:rsidP="00892928">
      <w:pPr>
        <w:rPr>
          <w:u w:val="single"/>
        </w:rPr>
      </w:pPr>
      <w:r>
        <w:rPr>
          <w:noProof/>
        </w:rPr>
        <w:drawing>
          <wp:inline distT="0" distB="0" distL="0" distR="0" wp14:anchorId="47208877" wp14:editId="584E44E1">
            <wp:extent cx="5943600" cy="4441825"/>
            <wp:effectExtent l="0" t="0" r="0" b="0"/>
            <wp:docPr id="52946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61330" name=""/>
                    <pic:cNvPicPr/>
                  </pic:nvPicPr>
                  <pic:blipFill>
                    <a:blip r:embed="rId11"/>
                    <a:stretch>
                      <a:fillRect/>
                    </a:stretch>
                  </pic:blipFill>
                  <pic:spPr>
                    <a:xfrm>
                      <a:off x="0" y="0"/>
                      <a:ext cx="5943600" cy="4441825"/>
                    </a:xfrm>
                    <a:prstGeom prst="rect">
                      <a:avLst/>
                    </a:prstGeom>
                  </pic:spPr>
                </pic:pic>
              </a:graphicData>
            </a:graphic>
          </wp:inline>
        </w:drawing>
      </w:r>
    </w:p>
    <w:p w14:paraId="41B06D12" w14:textId="77777777" w:rsidR="005863D8" w:rsidRDefault="005863D8" w:rsidP="00892928">
      <w:pPr>
        <w:rPr>
          <w:u w:val="single"/>
        </w:rPr>
      </w:pPr>
    </w:p>
    <w:p w14:paraId="3427E0C4" w14:textId="3ADF1212" w:rsidR="001364BF" w:rsidRDefault="00C32635" w:rsidP="00892928">
      <w:r w:rsidRPr="00C32635">
        <w:lastRenderedPageBreak/>
        <w:t>Exp</w:t>
      </w:r>
      <w:r>
        <w:t xml:space="preserve">lanation: This </w:t>
      </w:r>
      <w:r w:rsidR="00DE6484">
        <w:t xml:space="preserve">query calculates the earned exposure of a row </w:t>
      </w:r>
      <w:r w:rsidR="00F501C4">
        <w:t xml:space="preserve">in Auto Operational Loss as a percentage and multiplies it by the ULM amounts based on the mapping shown above. </w:t>
      </w:r>
      <w:r w:rsidR="00A27953">
        <w:t xml:space="preserve">We also multiply each pure premium value by its coverage’s exposure because the scores in ULM are 12-month predictions. </w:t>
      </w:r>
      <w:r w:rsidR="00F501C4">
        <w:t xml:space="preserve">The two tables involved are the ULM Auto view and our Auto Operational Loss dataset. </w:t>
      </w:r>
      <w:r w:rsidR="00B02F74">
        <w:t>For reference, the earned exposure column in our dataset is the DERIV_ADJ_EP_EXPSR_MO</w:t>
      </w:r>
      <w:r w:rsidR="0054338F">
        <w:t>_CNT column.</w:t>
      </w:r>
    </w:p>
    <w:p w14:paraId="7CA6EAC8" w14:textId="77777777" w:rsidR="003E1C72" w:rsidRDefault="003E1C72" w:rsidP="00892928"/>
    <w:p w14:paraId="51C925CA" w14:textId="09DE6726" w:rsidR="0054338F" w:rsidRPr="001364BF" w:rsidRDefault="00657779" w:rsidP="00892928">
      <w:pPr>
        <w:rPr>
          <w:u w:val="single"/>
        </w:rPr>
      </w:pPr>
      <w:r w:rsidRPr="001364BF">
        <w:rPr>
          <w:u w:val="single"/>
        </w:rPr>
        <w:t>DML Query</w:t>
      </w:r>
      <w:r w:rsidR="00244702" w:rsidRPr="001364BF">
        <w:rPr>
          <w:u w:val="single"/>
        </w:rPr>
        <w:t xml:space="preserve"> for Updating Auto Operational Loss</w:t>
      </w:r>
    </w:p>
    <w:p w14:paraId="14445551" w14:textId="31917F00" w:rsidR="00972151" w:rsidRDefault="004078F9" w:rsidP="00892928">
      <w:r>
        <w:rPr>
          <w:noProof/>
        </w:rPr>
        <w:drawing>
          <wp:inline distT="0" distB="0" distL="0" distR="0" wp14:anchorId="35C1F0ED" wp14:editId="44E4B33E">
            <wp:extent cx="5943600" cy="3117850"/>
            <wp:effectExtent l="0" t="0" r="0" b="6350"/>
            <wp:docPr id="93928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86044" name=""/>
                    <pic:cNvPicPr/>
                  </pic:nvPicPr>
                  <pic:blipFill>
                    <a:blip r:embed="rId12"/>
                    <a:stretch>
                      <a:fillRect/>
                    </a:stretch>
                  </pic:blipFill>
                  <pic:spPr>
                    <a:xfrm>
                      <a:off x="0" y="0"/>
                      <a:ext cx="5943600" cy="3117850"/>
                    </a:xfrm>
                    <a:prstGeom prst="rect">
                      <a:avLst/>
                    </a:prstGeom>
                  </pic:spPr>
                </pic:pic>
              </a:graphicData>
            </a:graphic>
          </wp:inline>
        </w:drawing>
      </w:r>
    </w:p>
    <w:p w14:paraId="7CB95BA3" w14:textId="4CB6BA36" w:rsidR="0007731C" w:rsidRDefault="0007731C" w:rsidP="00892928">
      <w:r>
        <w:t xml:space="preserve">Explanation: This </w:t>
      </w:r>
      <w:r w:rsidR="009064D2">
        <w:t xml:space="preserve">query populates the newly added columns based on the values derived from the CTE query. </w:t>
      </w:r>
      <w:r w:rsidR="00473097">
        <w:t xml:space="preserve">Our auto operational loss table is joined </w:t>
      </w:r>
      <w:r w:rsidR="00B91783">
        <w:t xml:space="preserve">to the </w:t>
      </w:r>
      <w:r w:rsidR="001634B9">
        <w:t xml:space="preserve">CTE </w:t>
      </w:r>
      <w:r w:rsidR="00B91783">
        <w:t xml:space="preserve">on multiple attributes, including the policy ID, the policy period ID, the coverage type, and the earned month. This way, we can ensure that the correct pure premium value is being assigned to the correct row in our operational loss table. It is important to note that the ZEROIFNULL function is used because in the ULM view, </w:t>
      </w:r>
      <w:r w:rsidR="00E63B8B">
        <w:t xml:space="preserve">the Policy Period ID field is a numeric </w:t>
      </w:r>
      <w:r w:rsidR="004374A2">
        <w:t>column,</w:t>
      </w:r>
      <w:r w:rsidR="00E63B8B">
        <w:t xml:space="preserve"> and we are joining it to a varchar column in operational loss.</w:t>
      </w:r>
    </w:p>
    <w:p w14:paraId="31344047" w14:textId="77777777" w:rsidR="004374A2" w:rsidRDefault="004374A2" w:rsidP="00892928"/>
    <w:p w14:paraId="5EB5AF61" w14:textId="77777777" w:rsidR="00532E9E" w:rsidRDefault="00532E9E" w:rsidP="00491601"/>
    <w:p w14:paraId="5C122565" w14:textId="77777777" w:rsidR="003E1C72" w:rsidRDefault="003E1C72" w:rsidP="00491601"/>
    <w:p w14:paraId="4E9F7A2B" w14:textId="77777777" w:rsidR="005C39E4" w:rsidRDefault="005C39E4" w:rsidP="00491601"/>
    <w:p w14:paraId="32F17F15" w14:textId="77777777" w:rsidR="009746BC" w:rsidRDefault="00532E9E" w:rsidP="00491601">
      <w:r>
        <w:t xml:space="preserve">For any questions regarding this </w:t>
      </w:r>
      <w:r w:rsidR="00ED702A">
        <w:t>documentation and project</w:t>
      </w:r>
      <w:r>
        <w:t>, please reach out to</w:t>
      </w:r>
      <w:r w:rsidR="009746BC">
        <w:t>:</w:t>
      </w:r>
    </w:p>
    <w:tbl>
      <w:tblPr>
        <w:tblStyle w:val="TableGrid"/>
        <w:tblW w:w="0" w:type="auto"/>
        <w:tblLook w:val="04A0" w:firstRow="1" w:lastRow="0" w:firstColumn="1" w:lastColumn="0" w:noHBand="0" w:noVBand="1"/>
      </w:tblPr>
      <w:tblGrid>
        <w:gridCol w:w="4675"/>
        <w:gridCol w:w="4675"/>
      </w:tblGrid>
      <w:tr w:rsidR="009746BC" w14:paraId="0497FE7F" w14:textId="77777777" w:rsidTr="009746BC">
        <w:tc>
          <w:tcPr>
            <w:tcW w:w="4675" w:type="dxa"/>
          </w:tcPr>
          <w:p w14:paraId="6571C1E0" w14:textId="4B83C1C7" w:rsidR="009746BC" w:rsidRDefault="009746BC" w:rsidP="00491601">
            <w:r>
              <w:t>Peter Alonzo (Associate Data Engineer)</w:t>
            </w:r>
          </w:p>
        </w:tc>
        <w:tc>
          <w:tcPr>
            <w:tcW w:w="4675" w:type="dxa"/>
          </w:tcPr>
          <w:p w14:paraId="5827A955" w14:textId="7DAE7253" w:rsidR="009746BC" w:rsidRDefault="00000000" w:rsidP="00491601">
            <w:hyperlink r:id="rId13" w:history="1">
              <w:r w:rsidR="009746BC" w:rsidRPr="006C75FE">
                <w:rPr>
                  <w:rStyle w:val="Hyperlink"/>
                </w:rPr>
                <w:t>peter.alonzo@thehartford.com</w:t>
              </w:r>
            </w:hyperlink>
          </w:p>
        </w:tc>
      </w:tr>
      <w:tr w:rsidR="009746BC" w14:paraId="3C7C7DB2" w14:textId="77777777" w:rsidTr="009746BC">
        <w:tc>
          <w:tcPr>
            <w:tcW w:w="4675" w:type="dxa"/>
          </w:tcPr>
          <w:p w14:paraId="560AEEBB" w14:textId="5EF691AB" w:rsidR="009746BC" w:rsidRDefault="009746BC" w:rsidP="00491601">
            <w:r>
              <w:t>Kevin Bodie (Dir</w:t>
            </w:r>
            <w:r w:rsidR="005C39E4">
              <w:t>ector of</w:t>
            </w:r>
            <w:r>
              <w:t xml:space="preserve"> Data Engineering)</w:t>
            </w:r>
          </w:p>
        </w:tc>
        <w:tc>
          <w:tcPr>
            <w:tcW w:w="4675" w:type="dxa"/>
          </w:tcPr>
          <w:p w14:paraId="7C75564B" w14:textId="014AD527" w:rsidR="009746BC" w:rsidRDefault="00000000" w:rsidP="00491601">
            <w:hyperlink r:id="rId14" w:history="1">
              <w:r w:rsidR="009746BC" w:rsidRPr="006C75FE">
                <w:rPr>
                  <w:rStyle w:val="Hyperlink"/>
                </w:rPr>
                <w:t>kevin.bodie@thehartford.com</w:t>
              </w:r>
            </w:hyperlink>
          </w:p>
        </w:tc>
      </w:tr>
      <w:tr w:rsidR="009746BC" w14:paraId="3A0E4CD2" w14:textId="77777777" w:rsidTr="009746BC">
        <w:tc>
          <w:tcPr>
            <w:tcW w:w="4675" w:type="dxa"/>
          </w:tcPr>
          <w:p w14:paraId="0EEEF8A6" w14:textId="2FFB9111" w:rsidR="009746BC" w:rsidRDefault="005C39E4" w:rsidP="00491601">
            <w:r>
              <w:t>Karissa Christiano (Director of Product Analytics)</w:t>
            </w:r>
          </w:p>
        </w:tc>
        <w:tc>
          <w:tcPr>
            <w:tcW w:w="4675" w:type="dxa"/>
          </w:tcPr>
          <w:p w14:paraId="00C5A9C3" w14:textId="6F1D4D67" w:rsidR="005C39E4" w:rsidRDefault="00000000" w:rsidP="00491601">
            <w:hyperlink r:id="rId15" w:history="1">
              <w:r w:rsidR="005C39E4" w:rsidRPr="006C75FE">
                <w:rPr>
                  <w:rStyle w:val="Hyperlink"/>
                </w:rPr>
                <w:t>karissa.christiano@thehartford.com</w:t>
              </w:r>
            </w:hyperlink>
          </w:p>
        </w:tc>
      </w:tr>
    </w:tbl>
    <w:p w14:paraId="6ED1269D" w14:textId="77777777" w:rsidR="004F6364" w:rsidRDefault="004F6364" w:rsidP="00447B1B">
      <w:pPr>
        <w:rPr>
          <w:u w:val="single"/>
        </w:rPr>
      </w:pPr>
    </w:p>
    <w:p w14:paraId="6071F25D" w14:textId="3098BE81" w:rsidR="000B6A87" w:rsidRDefault="00447B1B" w:rsidP="00447B1B">
      <w:pPr>
        <w:rPr>
          <w:u w:val="single"/>
        </w:rPr>
      </w:pPr>
      <w:r>
        <w:rPr>
          <w:u w:val="single"/>
        </w:rPr>
        <w:lastRenderedPageBreak/>
        <w:t>SQL Terms:</w:t>
      </w:r>
    </w:p>
    <w:p w14:paraId="14CC01C2" w14:textId="741AA6CC" w:rsidR="00447B1B" w:rsidRDefault="00447B1B" w:rsidP="00447B1B">
      <w:r w:rsidRPr="00447B1B">
        <w:rPr>
          <w:b/>
          <w:bCs/>
        </w:rPr>
        <w:t xml:space="preserve">DDL </w:t>
      </w:r>
      <w:r>
        <w:rPr>
          <w:b/>
          <w:bCs/>
        </w:rPr>
        <w:t>(</w:t>
      </w:r>
      <w:r w:rsidRPr="00447B1B">
        <w:rPr>
          <w:b/>
          <w:bCs/>
        </w:rPr>
        <w:t>Data Definition Language</w:t>
      </w:r>
      <w:r>
        <w:rPr>
          <w:b/>
          <w:bCs/>
        </w:rPr>
        <w:t>)</w:t>
      </w:r>
      <w:r w:rsidRPr="00447B1B">
        <w:rPr>
          <w:b/>
          <w:bCs/>
        </w:rPr>
        <w:t>:</w:t>
      </w:r>
      <w:r>
        <w:t xml:space="preserve"> </w:t>
      </w:r>
      <w:r w:rsidR="000B6A87">
        <w:t>Query</w:t>
      </w:r>
      <w:r>
        <w:t xml:space="preserve"> that defines the database, schema, or table structure.</w:t>
      </w:r>
    </w:p>
    <w:p w14:paraId="716C36A8" w14:textId="1A1CB82C" w:rsidR="00447B1B" w:rsidRDefault="00447B1B" w:rsidP="00447B1B">
      <w:r w:rsidRPr="00447B1B">
        <w:rPr>
          <w:b/>
          <w:bCs/>
        </w:rPr>
        <w:t xml:space="preserve">DML </w:t>
      </w:r>
      <w:r>
        <w:rPr>
          <w:b/>
          <w:bCs/>
        </w:rPr>
        <w:t>(</w:t>
      </w:r>
      <w:r w:rsidRPr="00447B1B">
        <w:rPr>
          <w:b/>
          <w:bCs/>
        </w:rPr>
        <w:t>Data Manipulation Language</w:t>
      </w:r>
      <w:r>
        <w:rPr>
          <w:b/>
          <w:bCs/>
        </w:rPr>
        <w:t>)</w:t>
      </w:r>
      <w:r w:rsidRPr="00447B1B">
        <w:rPr>
          <w:b/>
          <w:bCs/>
        </w:rPr>
        <w:t>:</w:t>
      </w:r>
      <w:r>
        <w:t xml:space="preserve"> </w:t>
      </w:r>
      <w:r w:rsidR="000B6A87">
        <w:t>Query</w:t>
      </w:r>
      <w:r>
        <w:t xml:space="preserve"> that manipulates data within a database.</w:t>
      </w:r>
    </w:p>
    <w:p w14:paraId="3796FB11" w14:textId="3F8A7A7F" w:rsidR="00B71124" w:rsidRPr="00BC41D5" w:rsidRDefault="00447B1B" w:rsidP="00447B1B">
      <w:r w:rsidRPr="00447B1B">
        <w:rPr>
          <w:b/>
          <w:bCs/>
        </w:rPr>
        <w:t>CTE (Common Table Expression):</w:t>
      </w:r>
      <w:r>
        <w:t xml:space="preserve"> A temporary result set in SQL whose results can be referenced in another query.</w:t>
      </w:r>
    </w:p>
    <w:p w14:paraId="42246E72" w14:textId="77777777" w:rsidR="00BC41D5" w:rsidRPr="00BC41D5" w:rsidRDefault="00BC41D5" w:rsidP="005C39E4"/>
    <w:sectPr w:rsidR="00BC41D5" w:rsidRPr="00BC41D5">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F102" w14:textId="77777777" w:rsidR="005F1A86" w:rsidRDefault="005F1A86" w:rsidP="00171044">
      <w:pPr>
        <w:spacing w:after="0" w:line="240" w:lineRule="auto"/>
      </w:pPr>
      <w:r>
        <w:separator/>
      </w:r>
    </w:p>
  </w:endnote>
  <w:endnote w:type="continuationSeparator" w:id="0">
    <w:p w14:paraId="4E28427A" w14:textId="77777777" w:rsidR="005F1A86" w:rsidRDefault="005F1A86" w:rsidP="0017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68D1" w14:textId="75400202" w:rsidR="00171044" w:rsidRDefault="00171044">
    <w:pPr>
      <w:pStyle w:val="Footer"/>
    </w:pPr>
    <w:r>
      <w:rPr>
        <w:noProof/>
      </w:rPr>
      <mc:AlternateContent>
        <mc:Choice Requires="wps">
          <w:drawing>
            <wp:anchor distT="0" distB="0" distL="0" distR="0" simplePos="0" relativeHeight="251659264" behindDoc="0" locked="0" layoutInCell="1" allowOverlap="1" wp14:anchorId="339A1039" wp14:editId="22079619">
              <wp:simplePos x="635" y="635"/>
              <wp:positionH relativeFrom="page">
                <wp:align>center</wp:align>
              </wp:positionH>
              <wp:positionV relativeFrom="page">
                <wp:align>bottom</wp:align>
              </wp:positionV>
              <wp:extent cx="443865" cy="443865"/>
              <wp:effectExtent l="0" t="0" r="12065" b="0"/>
              <wp:wrapNone/>
              <wp:docPr id="582063012" name="Text Box 2"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009149" w14:textId="17D25AF7"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9A1039" id="_x0000_t202" coordsize="21600,21600" o:spt="202" path="m,l,21600r21600,l21600,xe">
              <v:stroke joinstyle="miter"/>
              <v:path gradientshapeok="t" o:connecttype="rect"/>
            </v:shapetype>
            <v:shape id="Text Box 2" o:spid="_x0000_s1026" type="#_x0000_t202" alt="© 2024 by The Hartford. Classification: Company Confidential. No part of this document may be reproduced, published, or used without the permission of The Hartfor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3009149" w14:textId="17D25AF7"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2B33" w14:textId="205DC5B9" w:rsidR="00171044" w:rsidRDefault="00171044">
    <w:pPr>
      <w:pStyle w:val="Footer"/>
    </w:pPr>
    <w:r>
      <w:rPr>
        <w:noProof/>
      </w:rPr>
      <mc:AlternateContent>
        <mc:Choice Requires="wps">
          <w:drawing>
            <wp:anchor distT="0" distB="0" distL="0" distR="0" simplePos="0" relativeHeight="251660288" behindDoc="0" locked="0" layoutInCell="1" allowOverlap="1" wp14:anchorId="487704BA" wp14:editId="26040310">
              <wp:simplePos x="914400" y="9429750"/>
              <wp:positionH relativeFrom="page">
                <wp:align>center</wp:align>
              </wp:positionH>
              <wp:positionV relativeFrom="page">
                <wp:align>bottom</wp:align>
              </wp:positionV>
              <wp:extent cx="443865" cy="443865"/>
              <wp:effectExtent l="0" t="0" r="12065" b="0"/>
              <wp:wrapNone/>
              <wp:docPr id="1131700273" name="Text Box 3"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F35B14" w14:textId="0DF9E842"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7704BA" id="_x0000_t202" coordsize="21600,21600" o:spt="202" path="m,l,21600r21600,l21600,xe">
              <v:stroke joinstyle="miter"/>
              <v:path gradientshapeok="t" o:connecttype="rect"/>
            </v:shapetype>
            <v:shape id="Text Box 3" o:spid="_x0000_s1027" type="#_x0000_t202" alt="© 2024 by The Hartford. Classification: Company Confidential. No part of this document may be reproduced, published, or used without the permission of The Hartford."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7F35B14" w14:textId="0DF9E842"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EEC3" w14:textId="13AA9FE1" w:rsidR="00171044" w:rsidRDefault="00171044">
    <w:pPr>
      <w:pStyle w:val="Footer"/>
    </w:pPr>
    <w:r>
      <w:rPr>
        <w:noProof/>
      </w:rPr>
      <mc:AlternateContent>
        <mc:Choice Requires="wps">
          <w:drawing>
            <wp:anchor distT="0" distB="0" distL="0" distR="0" simplePos="0" relativeHeight="251658240" behindDoc="0" locked="0" layoutInCell="1" allowOverlap="1" wp14:anchorId="13C42E4B" wp14:editId="18D3CD67">
              <wp:simplePos x="635" y="635"/>
              <wp:positionH relativeFrom="page">
                <wp:align>center</wp:align>
              </wp:positionH>
              <wp:positionV relativeFrom="page">
                <wp:align>bottom</wp:align>
              </wp:positionV>
              <wp:extent cx="443865" cy="443865"/>
              <wp:effectExtent l="0" t="0" r="12065" b="0"/>
              <wp:wrapNone/>
              <wp:docPr id="1548191732" name="Text Box 1"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BE6AE1" w14:textId="431701F8"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C42E4B" id="_x0000_t202" coordsize="21600,21600" o:spt="202" path="m,l,21600r21600,l21600,xe">
              <v:stroke joinstyle="miter"/>
              <v:path gradientshapeok="t" o:connecttype="rect"/>
            </v:shapetype>
            <v:shape id="Text Box 1" o:spid="_x0000_s1028" type="#_x0000_t202" alt="© 2024 by The Hartford. Classification: Company Confidential. No part of this document may be reproduced, published, or used without the permission of The Hartfor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BBE6AE1" w14:textId="431701F8"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80E8" w14:textId="77777777" w:rsidR="005F1A86" w:rsidRDefault="005F1A86" w:rsidP="00171044">
      <w:pPr>
        <w:spacing w:after="0" w:line="240" w:lineRule="auto"/>
      </w:pPr>
      <w:r>
        <w:separator/>
      </w:r>
    </w:p>
  </w:footnote>
  <w:footnote w:type="continuationSeparator" w:id="0">
    <w:p w14:paraId="2BF6AB9F" w14:textId="77777777" w:rsidR="005F1A86" w:rsidRDefault="005F1A86" w:rsidP="0017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A11"/>
    <w:multiLevelType w:val="multilevel"/>
    <w:tmpl w:val="439E57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5DF6CD8"/>
    <w:multiLevelType w:val="multilevel"/>
    <w:tmpl w:val="D1A4F81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733B6B03"/>
    <w:multiLevelType w:val="hybridMultilevel"/>
    <w:tmpl w:val="EC6C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257206">
    <w:abstractNumId w:val="0"/>
  </w:num>
  <w:num w:numId="2" w16cid:durableId="308752218">
    <w:abstractNumId w:val="1"/>
  </w:num>
  <w:num w:numId="3" w16cid:durableId="193463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44"/>
    <w:rsid w:val="00004B1E"/>
    <w:rsid w:val="000319E4"/>
    <w:rsid w:val="000749F9"/>
    <w:rsid w:val="0007731C"/>
    <w:rsid w:val="00093050"/>
    <w:rsid w:val="000B6A87"/>
    <w:rsid w:val="000C0985"/>
    <w:rsid w:val="000C33D0"/>
    <w:rsid w:val="000D2563"/>
    <w:rsid w:val="000F2C57"/>
    <w:rsid w:val="00116160"/>
    <w:rsid w:val="001234EE"/>
    <w:rsid w:val="001236BE"/>
    <w:rsid w:val="00131D40"/>
    <w:rsid w:val="001364BF"/>
    <w:rsid w:val="00145DFD"/>
    <w:rsid w:val="00163468"/>
    <w:rsid w:val="001634B9"/>
    <w:rsid w:val="00163A92"/>
    <w:rsid w:val="00165254"/>
    <w:rsid w:val="00171044"/>
    <w:rsid w:val="001721DB"/>
    <w:rsid w:val="00174198"/>
    <w:rsid w:val="001759BB"/>
    <w:rsid w:val="001772D6"/>
    <w:rsid w:val="0019455E"/>
    <w:rsid w:val="001A51AD"/>
    <w:rsid w:val="001C42F4"/>
    <w:rsid w:val="001C73B9"/>
    <w:rsid w:val="001D0969"/>
    <w:rsid w:val="001D1664"/>
    <w:rsid w:val="001D4F5B"/>
    <w:rsid w:val="001F70C7"/>
    <w:rsid w:val="00223D5B"/>
    <w:rsid w:val="00227364"/>
    <w:rsid w:val="002405D7"/>
    <w:rsid w:val="00244702"/>
    <w:rsid w:val="002477D5"/>
    <w:rsid w:val="002507B6"/>
    <w:rsid w:val="0027709D"/>
    <w:rsid w:val="002A0E03"/>
    <w:rsid w:val="002A3050"/>
    <w:rsid w:val="002B0879"/>
    <w:rsid w:val="002D167F"/>
    <w:rsid w:val="002D2733"/>
    <w:rsid w:val="002D4883"/>
    <w:rsid w:val="002F2351"/>
    <w:rsid w:val="00310A52"/>
    <w:rsid w:val="00336DC1"/>
    <w:rsid w:val="00345C1D"/>
    <w:rsid w:val="00346044"/>
    <w:rsid w:val="00350EC7"/>
    <w:rsid w:val="0037375F"/>
    <w:rsid w:val="00382999"/>
    <w:rsid w:val="00395CE0"/>
    <w:rsid w:val="003A5BDD"/>
    <w:rsid w:val="003C1F10"/>
    <w:rsid w:val="003E1C72"/>
    <w:rsid w:val="003E4F7A"/>
    <w:rsid w:val="004078F9"/>
    <w:rsid w:val="00407C1F"/>
    <w:rsid w:val="004374A2"/>
    <w:rsid w:val="00445E87"/>
    <w:rsid w:val="00447B1B"/>
    <w:rsid w:val="0045344A"/>
    <w:rsid w:val="0046617B"/>
    <w:rsid w:val="00470489"/>
    <w:rsid w:val="00473097"/>
    <w:rsid w:val="00491601"/>
    <w:rsid w:val="004A32A1"/>
    <w:rsid w:val="004B3728"/>
    <w:rsid w:val="004B4CB1"/>
    <w:rsid w:val="004B4F8D"/>
    <w:rsid w:val="004B5338"/>
    <w:rsid w:val="004D071A"/>
    <w:rsid w:val="004D3B26"/>
    <w:rsid w:val="004F6364"/>
    <w:rsid w:val="00501F28"/>
    <w:rsid w:val="00517522"/>
    <w:rsid w:val="00532E9E"/>
    <w:rsid w:val="0054316F"/>
    <w:rsid w:val="0054338F"/>
    <w:rsid w:val="00546BA5"/>
    <w:rsid w:val="00551408"/>
    <w:rsid w:val="00553E3F"/>
    <w:rsid w:val="00571909"/>
    <w:rsid w:val="005863D8"/>
    <w:rsid w:val="00586F17"/>
    <w:rsid w:val="0059355D"/>
    <w:rsid w:val="005949FD"/>
    <w:rsid w:val="005A1590"/>
    <w:rsid w:val="005B56D0"/>
    <w:rsid w:val="005C1BD6"/>
    <w:rsid w:val="005C39E4"/>
    <w:rsid w:val="005E0CAA"/>
    <w:rsid w:val="005E1C94"/>
    <w:rsid w:val="005F1A86"/>
    <w:rsid w:val="00605BB7"/>
    <w:rsid w:val="00623293"/>
    <w:rsid w:val="00631A08"/>
    <w:rsid w:val="00652290"/>
    <w:rsid w:val="00657779"/>
    <w:rsid w:val="0069097E"/>
    <w:rsid w:val="006912B6"/>
    <w:rsid w:val="006D45D6"/>
    <w:rsid w:val="006D7892"/>
    <w:rsid w:val="006E7470"/>
    <w:rsid w:val="006F43A2"/>
    <w:rsid w:val="00707963"/>
    <w:rsid w:val="00716A6E"/>
    <w:rsid w:val="00724647"/>
    <w:rsid w:val="0073762F"/>
    <w:rsid w:val="00764F13"/>
    <w:rsid w:val="00773524"/>
    <w:rsid w:val="00781A03"/>
    <w:rsid w:val="00782956"/>
    <w:rsid w:val="00797EB5"/>
    <w:rsid w:val="007A6FB8"/>
    <w:rsid w:val="007D39C3"/>
    <w:rsid w:val="007E08DF"/>
    <w:rsid w:val="0080738B"/>
    <w:rsid w:val="00824C41"/>
    <w:rsid w:val="0085785D"/>
    <w:rsid w:val="00871994"/>
    <w:rsid w:val="00871F1A"/>
    <w:rsid w:val="00892928"/>
    <w:rsid w:val="008B3106"/>
    <w:rsid w:val="008B381D"/>
    <w:rsid w:val="008B68D7"/>
    <w:rsid w:val="008F7AD1"/>
    <w:rsid w:val="009064D2"/>
    <w:rsid w:val="0091339D"/>
    <w:rsid w:val="00920740"/>
    <w:rsid w:val="009218A6"/>
    <w:rsid w:val="00933C60"/>
    <w:rsid w:val="00933CB6"/>
    <w:rsid w:val="00946333"/>
    <w:rsid w:val="00972151"/>
    <w:rsid w:val="009746BC"/>
    <w:rsid w:val="009A34A9"/>
    <w:rsid w:val="009B2ACC"/>
    <w:rsid w:val="009B4803"/>
    <w:rsid w:val="009C7D11"/>
    <w:rsid w:val="009F0623"/>
    <w:rsid w:val="00A27953"/>
    <w:rsid w:val="00A30E0E"/>
    <w:rsid w:val="00A429EF"/>
    <w:rsid w:val="00A63D9F"/>
    <w:rsid w:val="00A84F51"/>
    <w:rsid w:val="00A923FE"/>
    <w:rsid w:val="00A93197"/>
    <w:rsid w:val="00AA3B24"/>
    <w:rsid w:val="00AA6ECB"/>
    <w:rsid w:val="00AB1FD5"/>
    <w:rsid w:val="00AB7593"/>
    <w:rsid w:val="00AD1DEB"/>
    <w:rsid w:val="00AD7DDE"/>
    <w:rsid w:val="00B02F74"/>
    <w:rsid w:val="00B05BA0"/>
    <w:rsid w:val="00B13D9B"/>
    <w:rsid w:val="00B14C26"/>
    <w:rsid w:val="00B2081B"/>
    <w:rsid w:val="00B21DE4"/>
    <w:rsid w:val="00B24CF9"/>
    <w:rsid w:val="00B57B2B"/>
    <w:rsid w:val="00B71124"/>
    <w:rsid w:val="00B84226"/>
    <w:rsid w:val="00B91783"/>
    <w:rsid w:val="00BA0401"/>
    <w:rsid w:val="00BA3C64"/>
    <w:rsid w:val="00BC21FC"/>
    <w:rsid w:val="00BC41D5"/>
    <w:rsid w:val="00BC7BC4"/>
    <w:rsid w:val="00BE4D47"/>
    <w:rsid w:val="00C00C1A"/>
    <w:rsid w:val="00C1251B"/>
    <w:rsid w:val="00C21F38"/>
    <w:rsid w:val="00C23A07"/>
    <w:rsid w:val="00C30832"/>
    <w:rsid w:val="00C32635"/>
    <w:rsid w:val="00C32A25"/>
    <w:rsid w:val="00C339EA"/>
    <w:rsid w:val="00C360C6"/>
    <w:rsid w:val="00C4044F"/>
    <w:rsid w:val="00C44104"/>
    <w:rsid w:val="00C473F2"/>
    <w:rsid w:val="00C555CB"/>
    <w:rsid w:val="00C84B8E"/>
    <w:rsid w:val="00CC23DF"/>
    <w:rsid w:val="00CD4EF5"/>
    <w:rsid w:val="00CD6FDF"/>
    <w:rsid w:val="00CE3725"/>
    <w:rsid w:val="00CE4D9A"/>
    <w:rsid w:val="00D07DF7"/>
    <w:rsid w:val="00D113E4"/>
    <w:rsid w:val="00D13F22"/>
    <w:rsid w:val="00D316F9"/>
    <w:rsid w:val="00D71F3E"/>
    <w:rsid w:val="00D75B1F"/>
    <w:rsid w:val="00DB24E3"/>
    <w:rsid w:val="00DE6484"/>
    <w:rsid w:val="00E1457C"/>
    <w:rsid w:val="00E157D0"/>
    <w:rsid w:val="00E239FE"/>
    <w:rsid w:val="00E560BF"/>
    <w:rsid w:val="00E63B8B"/>
    <w:rsid w:val="00E72286"/>
    <w:rsid w:val="00E7706A"/>
    <w:rsid w:val="00E830C3"/>
    <w:rsid w:val="00E86EE0"/>
    <w:rsid w:val="00E8749C"/>
    <w:rsid w:val="00EC2702"/>
    <w:rsid w:val="00ED702A"/>
    <w:rsid w:val="00EE7DF2"/>
    <w:rsid w:val="00EF5876"/>
    <w:rsid w:val="00F111E1"/>
    <w:rsid w:val="00F336C4"/>
    <w:rsid w:val="00F501C4"/>
    <w:rsid w:val="00F50958"/>
    <w:rsid w:val="00F7415F"/>
    <w:rsid w:val="00F8497C"/>
    <w:rsid w:val="00F95381"/>
    <w:rsid w:val="00F97609"/>
    <w:rsid w:val="00FB3328"/>
    <w:rsid w:val="00FC186C"/>
    <w:rsid w:val="00FD1F95"/>
    <w:rsid w:val="00FD5A9C"/>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523A"/>
  <w15:chartTrackingRefBased/>
  <w15:docId w15:val="{BF6D2DDC-CD6A-40A4-A491-9771C854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044"/>
    <w:rPr>
      <w:color w:val="0563C1" w:themeColor="hyperlink"/>
      <w:u w:val="single"/>
    </w:rPr>
  </w:style>
  <w:style w:type="character" w:styleId="UnresolvedMention">
    <w:name w:val="Unresolved Mention"/>
    <w:basedOn w:val="DefaultParagraphFont"/>
    <w:uiPriority w:val="99"/>
    <w:semiHidden/>
    <w:unhideWhenUsed/>
    <w:rsid w:val="00171044"/>
    <w:rPr>
      <w:color w:val="605E5C"/>
      <w:shd w:val="clear" w:color="auto" w:fill="E1DFDD"/>
    </w:rPr>
  </w:style>
  <w:style w:type="paragraph" w:styleId="Footer">
    <w:name w:val="footer"/>
    <w:basedOn w:val="Normal"/>
    <w:link w:val="FooterChar"/>
    <w:uiPriority w:val="99"/>
    <w:unhideWhenUsed/>
    <w:rsid w:val="0017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044"/>
  </w:style>
  <w:style w:type="paragraph" w:styleId="ListParagraph">
    <w:name w:val="List Paragraph"/>
    <w:basedOn w:val="Normal"/>
    <w:uiPriority w:val="34"/>
    <w:qFormat/>
    <w:rsid w:val="00C1251B"/>
    <w:pPr>
      <w:ind w:left="720"/>
      <w:contextualSpacing/>
    </w:pPr>
  </w:style>
  <w:style w:type="table" w:styleId="TableGrid">
    <w:name w:val="Table Grid"/>
    <w:basedOn w:val="TableNormal"/>
    <w:uiPriority w:val="39"/>
    <w:rsid w:val="00974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07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71356">
      <w:bodyDiv w:val="1"/>
      <w:marLeft w:val="0"/>
      <w:marRight w:val="0"/>
      <w:marTop w:val="0"/>
      <w:marBottom w:val="0"/>
      <w:divBdr>
        <w:top w:val="none" w:sz="0" w:space="0" w:color="auto"/>
        <w:left w:val="none" w:sz="0" w:space="0" w:color="auto"/>
        <w:bottom w:val="none" w:sz="0" w:space="0" w:color="auto"/>
        <w:right w:val="none" w:sz="0" w:space="0" w:color="auto"/>
      </w:divBdr>
    </w:div>
    <w:div w:id="880434008">
      <w:bodyDiv w:val="1"/>
      <w:marLeft w:val="0"/>
      <w:marRight w:val="0"/>
      <w:marTop w:val="0"/>
      <w:marBottom w:val="0"/>
      <w:divBdr>
        <w:top w:val="none" w:sz="0" w:space="0" w:color="auto"/>
        <w:left w:val="none" w:sz="0" w:space="0" w:color="auto"/>
        <w:bottom w:val="none" w:sz="0" w:space="0" w:color="auto"/>
        <w:right w:val="none" w:sz="0" w:space="0" w:color="auto"/>
      </w:divBdr>
    </w:div>
    <w:div w:id="10810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sten.lingemann@thehartford.com" TargetMode="External"/><Relationship Id="rId13" Type="http://schemas.openxmlformats.org/officeDocument/2006/relationships/hyperlink" Target="mailto:peter.alonzo@thehartford.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thehartford.com/HIG/pl_ulm_scoremart/wiki"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karissa.christiano@thehartford.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kevin.bodie@thehart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5</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Peter (PL Data Analytics)</dc:creator>
  <cp:keywords/>
  <dc:description/>
  <cp:lastModifiedBy>Alonzo, Peter (PL Product)</cp:lastModifiedBy>
  <cp:revision>217</cp:revision>
  <dcterms:created xsi:type="dcterms:W3CDTF">2024-10-21T13:40:00Z</dcterms:created>
  <dcterms:modified xsi:type="dcterms:W3CDTF">2025-02-27T15:33:00Z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5c4787f4,22b193a4,43746031</vt:lpwstr>
  </property>
  <property fmtid="{D5CDD505-2E9C-101B-9397-08002B2CF9AE}" pid="3" name="ClassificationContentMarkingFooterFontProps">
    <vt:lpwstr>#000000,6,Calibri</vt:lpwstr>
  </property>
  <property fmtid="{D5CDD505-2E9C-101B-9397-08002B2CF9AE}" pid="4" name="ClassificationContentMarkingFooterText">
    <vt:lpwstr>© 2024 by The Hartford. Classification: Company Confidential. No part of this document may be reproduced, published, or used without the permission of The Hartford.</vt:lpwstr>
  </property>
  <property fmtid="{D5CDD505-2E9C-101B-9397-08002B2CF9AE}" pid="5" name="MSIP_Label_e12ec1e4-f08d-4db9-9ea3-a141370d52a9_Enabled">
    <vt:lpwstr>true</vt:lpwstr>
  </property>
  <property fmtid="{D5CDD505-2E9C-101B-9397-08002B2CF9AE}" pid="6" name="MSIP_Label_e12ec1e4-f08d-4db9-9ea3-a141370d52a9_SetDate">
    <vt:lpwstr>2024-10-21T13:44:10Z</vt:lpwstr>
  </property>
  <property fmtid="{D5CDD505-2E9C-101B-9397-08002B2CF9AE}" pid="7" name="MSIP_Label_e12ec1e4-f08d-4db9-9ea3-a141370d52a9_Method">
    <vt:lpwstr>Privileged</vt:lpwstr>
  </property>
  <property fmtid="{D5CDD505-2E9C-101B-9397-08002B2CF9AE}" pid="8" name="MSIP_Label_e12ec1e4-f08d-4db9-9ea3-a141370d52a9_Name">
    <vt:lpwstr>CC - Show Footer</vt:lpwstr>
  </property>
  <property fmtid="{D5CDD505-2E9C-101B-9397-08002B2CF9AE}" pid="9" name="MSIP_Label_e12ec1e4-f08d-4db9-9ea3-a141370d52a9_SiteId">
    <vt:lpwstr>a311fc62-83f4-45f0-9502-1bb2247d4c8d</vt:lpwstr>
  </property>
  <property fmtid="{D5CDD505-2E9C-101B-9397-08002B2CF9AE}" pid="10" name="MSIP_Label_e12ec1e4-f08d-4db9-9ea3-a141370d52a9_ActionId">
    <vt:lpwstr>cccb11cd-5421-4a53-a1dd-c3721db30614</vt:lpwstr>
  </property>
  <property fmtid="{D5CDD505-2E9C-101B-9397-08002B2CF9AE}" pid="11" name="MSIP_Label_e12ec1e4-f08d-4db9-9ea3-a141370d52a9_ContentBits">
    <vt:lpwstr>2</vt:lpwstr>
  </property>
</Properties>
</file>