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ind w:left="432"/>
      </w:pPr>
      <w:r>
        <w:rPr>
          <w:i/>
          <w:color w:val="555555"/>
          <w:sz w:val="19"/>
        </w:rPr>
        <w:t>Tip: Use descriptive variable names — your future self will thank you. {Lab Number} is clearer than {x}. The name inside the braces is exactly what appears in the prompt dialog.</w:t>
      </w:r>
    </w:p>
    <w:p>
      <w:r>
        <w:t>Variables work in both the Display Title and Message fields. If the same variable name appears in both fields, you are only prompted once and the value is used in both places. If you cancel any prompt, the timer load is cancelled.</w:t>
      </w:r>
    </w:p>
    <w:p>
      <w:r>
        <w:t>This lets you create reusable timer templates. Instead of making separate timers for Lab 1, Lab 2, Lab 3, you make one timer with {Lab Number} and fill it in each time.</w:t>
      </w:r>
    </w:p>
    <w:p>
      <w:r>
        <w:rPr>
          <w:rFonts w:ascii="Courier New" w:hAnsi="Courier New"/>
          <w:color w:val="3498DB"/>
          <w:sz w:val="20"/>
        </w:rPr>
        <w:t xml:space="preserve">    Lab 3 — Subnetting</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{Lab Number} — {Activity}</w:t>
      </w:r>
    </w:p>
    <w:p>
      <w:r>
        <w:t>For example, if your timer label is:</w:t>
      </w:r>
    </w:p>
    <w:p>
      <w:r>
        <w:t>Timer labels and messages can contain variables — words or phrases enclosed in curly braces like {Lab Number} or {Student Group?}. When you load a timer that contains variables, LiveTimer prompts you to fill in each one before the timer starts.</w:t>
      </w:r>
    </w:p>
    <w:p>
      <w:pPr>
        <w:pStyle w:val="Heading2"/>
      </w:pPr>
      <w:r>
        <w:t>Variables in Timer Fields</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