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14EF0" w14:textId="7C3E1FCC" w:rsidR="00975DFA" w:rsidRPr="00213A79" w:rsidRDefault="00B33889" w:rsidP="00975DFA">
      <w:pPr>
        <w:pStyle w:val="Heading2"/>
        <w:jc w:val="center"/>
        <w:rPr>
          <w:rFonts w:ascii="Times New Roman" w:hAnsi="Times New Roman"/>
          <w:b/>
          <w:bCs/>
          <w:sz w:val="24"/>
        </w:rPr>
      </w:pPr>
      <w:r>
        <w:rPr>
          <w:b/>
          <w:bCs/>
          <w:lang w:val="en-US"/>
        </w:rPr>
        <w:t xml:space="preserve"> </w:t>
      </w:r>
      <w:r w:rsidR="00975DFA" w:rsidRPr="00213A79">
        <w:rPr>
          <w:b/>
          <w:bCs/>
        </w:rPr>
        <w:t>Cybersecurity Incident Timeline Analysis</w:t>
      </w:r>
    </w:p>
    <w:p w14:paraId="5B61061C" w14:textId="5B6F560C" w:rsidR="00975DFA" w:rsidRPr="00213A79" w:rsidRDefault="00975DFA" w:rsidP="00975DFA">
      <w:pPr>
        <w:pStyle w:val="Heading2"/>
        <w:jc w:val="center"/>
        <w:rPr>
          <w:b/>
          <w:bCs/>
        </w:rPr>
      </w:pPr>
      <w:r w:rsidRPr="00213A79">
        <w:rPr>
          <w:b/>
          <w:bCs/>
        </w:rPr>
        <w:t>Case Study: SolarWinds Supply Chain Attack (2020)</w:t>
      </w:r>
    </w:p>
    <w:p w14:paraId="6E9AC3F3" w14:textId="77777777" w:rsidR="00975DFA" w:rsidRDefault="00975DFA" w:rsidP="00975DFA">
      <w:pPr>
        <w:pStyle w:val="Heading2"/>
      </w:pPr>
      <w:r>
        <w:t>Incident Overview</w:t>
      </w:r>
    </w:p>
    <w:p w14:paraId="7FC50ED3" w14:textId="580D70EE" w:rsidR="00975DFA" w:rsidRPr="00975DFA" w:rsidRDefault="00975DFA" w:rsidP="00975DFA">
      <w:pPr>
        <w:jc w:val="both"/>
        <w:rPr>
          <w:rFonts w:asciiTheme="minorHAnsi" w:hAnsiTheme="minorHAnsi" w:cstheme="minorHAnsi"/>
        </w:rPr>
      </w:pPr>
      <w:r w:rsidRPr="00975DFA">
        <w:rPr>
          <w:rFonts w:asciiTheme="minorHAnsi" w:hAnsiTheme="minorHAnsi" w:cstheme="minorHAnsi"/>
        </w:rPr>
        <w:t>The SolarWinds Supply Chain Attack, discovered in December 2020, is considered one of the most significant cybersecurity incidents in modern history. Attackers successfully compromised the software development environment of SolarWinds, a company that provides IT management software to thousands of organizations worldwide. By inserting malicious code into legitimate updates for the SolarWinds Orion platform, the attackers were able to gain unauthorized access to numerous government agencies, private companies, and critical infrastructure organizations.</w:t>
      </w:r>
    </w:p>
    <w:p w14:paraId="4DCF5CAB" w14:textId="77777777" w:rsidR="00975DFA" w:rsidRDefault="00975DFA" w:rsidP="00975DFA">
      <w:pPr>
        <w:jc w:val="both"/>
        <w:rPr>
          <w:rFonts w:asciiTheme="minorHAnsi" w:hAnsiTheme="minorHAnsi" w:cstheme="minorHAnsi"/>
        </w:rPr>
      </w:pPr>
      <w:r w:rsidRPr="00975DFA">
        <w:rPr>
          <w:rFonts w:asciiTheme="minorHAnsi" w:hAnsiTheme="minorHAnsi" w:cstheme="minorHAnsi"/>
        </w:rPr>
        <w:t>The attack was particularly dangerous because it exploited trust in a legitimate software vendor rather than directly attacking individual victims. Organizations unknowingly installed the compromised software updates, giving attackers access to their networks without triggering immediate suspicion. The incident highlighted the growing threat of supply chain attacks and led to major changes in how organizations secure software development and vendor relationships.</w:t>
      </w:r>
    </w:p>
    <w:p w14:paraId="54FDFB9A" w14:textId="425C4633" w:rsidR="00975DFA" w:rsidRPr="00213A79" w:rsidRDefault="00975DFA" w:rsidP="00213A79">
      <w:pPr>
        <w:pStyle w:val="Heading2"/>
        <w:spacing w:line="276" w:lineRule="auto"/>
        <w:rPr>
          <w:b/>
          <w:bCs/>
        </w:rPr>
      </w:pPr>
      <w:r w:rsidRPr="00213A79">
        <w:rPr>
          <w:b/>
          <w:bCs/>
        </w:rPr>
        <w:t>Timeline of Events</w:t>
      </w:r>
    </w:p>
    <w:tbl>
      <w:tblPr>
        <w:tblStyle w:val="TableGrid"/>
        <w:tblW w:w="0" w:type="auto"/>
        <w:tblLook w:val="04A0" w:firstRow="1" w:lastRow="0" w:firstColumn="1" w:lastColumn="0" w:noHBand="0" w:noVBand="1"/>
      </w:tblPr>
      <w:tblGrid>
        <w:gridCol w:w="4508"/>
        <w:gridCol w:w="4508"/>
      </w:tblGrid>
      <w:tr w:rsidR="00975DFA" w14:paraId="29ACD5E1" w14:textId="77777777" w:rsidTr="00975DFA">
        <w:tc>
          <w:tcPr>
            <w:tcW w:w="4508" w:type="dxa"/>
          </w:tcPr>
          <w:p w14:paraId="5ACBDF1C" w14:textId="7C8794DC" w:rsidR="00975DFA" w:rsidRDefault="00975DFA" w:rsidP="00EB25FD">
            <w:pPr>
              <w:jc w:val="both"/>
            </w:pPr>
            <w:r>
              <w:t>September 2019</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25FD" w:rsidRPr="00EB25FD" w14:paraId="5CA84BAA" w14:textId="77777777" w:rsidTr="00EB25FD">
              <w:trPr>
                <w:tblCellSpacing w:w="15" w:type="dxa"/>
              </w:trPr>
              <w:tc>
                <w:tcPr>
                  <w:tcW w:w="0" w:type="auto"/>
                  <w:vAlign w:val="center"/>
                  <w:hideMark/>
                </w:tcPr>
                <w:p w14:paraId="57E08DAF" w14:textId="77777777" w:rsidR="00EB25FD" w:rsidRPr="00EB25FD" w:rsidRDefault="00EB25FD" w:rsidP="00EB25FD">
                  <w:pPr>
                    <w:spacing w:after="0"/>
                    <w:rPr>
                      <w:rFonts w:ascii="Times New Roman" w:eastAsia="Times New Roman" w:hAnsi="Times New Roman" w:cs="Times New Roman"/>
                      <w:sz w:val="20"/>
                      <w:szCs w:val="24"/>
                      <w:lang w:eastAsia="en-NG"/>
                    </w:rPr>
                  </w:pPr>
                </w:p>
              </w:tc>
            </w:tr>
          </w:tbl>
          <w:p w14:paraId="3F6B9179" w14:textId="77777777" w:rsidR="00EB25FD" w:rsidRPr="00EB25FD" w:rsidRDefault="00EB25FD" w:rsidP="00EB25FD">
            <w:pPr>
              <w:rPr>
                <w:rFonts w:ascii="Times New Roman" w:eastAsia="Times New Roman" w:hAnsi="Times New Roman" w:cs="Times New Roman"/>
                <w:vanish/>
                <w:szCs w:val="24"/>
                <w:lang w:eastAsia="en-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EB25FD" w:rsidRPr="00EB25FD" w14:paraId="738C67A4" w14:textId="77777777" w:rsidTr="00EB25FD">
              <w:trPr>
                <w:tblCellSpacing w:w="15" w:type="dxa"/>
              </w:trPr>
              <w:tc>
                <w:tcPr>
                  <w:tcW w:w="0" w:type="auto"/>
                  <w:vAlign w:val="center"/>
                  <w:hideMark/>
                </w:tcPr>
                <w:p w14:paraId="1CB8AB32" w14:textId="77777777" w:rsidR="00EB25FD" w:rsidRPr="00EB25FD" w:rsidRDefault="00EB25FD" w:rsidP="00EB25FD">
                  <w:pPr>
                    <w:spacing w:after="0"/>
                    <w:rPr>
                      <w:rFonts w:ascii="Times New Roman" w:eastAsia="Times New Roman" w:hAnsi="Times New Roman" w:cs="Times New Roman"/>
                      <w:szCs w:val="24"/>
                      <w:lang w:eastAsia="en-NG"/>
                    </w:rPr>
                  </w:pPr>
                  <w:r w:rsidRPr="00EB25FD">
                    <w:rPr>
                      <w:rFonts w:ascii="Times New Roman" w:eastAsia="Times New Roman" w:hAnsi="Times New Roman" w:cs="Times New Roman"/>
                      <w:szCs w:val="24"/>
                      <w:lang w:eastAsia="en-NG"/>
                    </w:rPr>
                    <w:t>Attackers gained access to SolarWinds' internal environment and began preparing the supply chain compromise</w:t>
                  </w:r>
                </w:p>
              </w:tc>
            </w:tr>
          </w:tbl>
          <w:p w14:paraId="5A3B22A4" w14:textId="77777777" w:rsidR="00975DFA" w:rsidRDefault="00975DFA" w:rsidP="00975DFA"/>
        </w:tc>
      </w:tr>
      <w:tr w:rsidR="00975DFA" w14:paraId="00122FD4" w14:textId="77777777" w:rsidTr="00975DFA">
        <w:tc>
          <w:tcPr>
            <w:tcW w:w="4508" w:type="dxa"/>
          </w:tcPr>
          <w:p w14:paraId="6695EC95" w14:textId="7F1A3017" w:rsidR="00975DFA" w:rsidRDefault="00EB25FD" w:rsidP="00975DFA">
            <w:r>
              <w:t>February 2020</w:t>
            </w:r>
          </w:p>
        </w:tc>
        <w:tc>
          <w:tcPr>
            <w:tcW w:w="4508" w:type="dxa"/>
          </w:tcPr>
          <w:p w14:paraId="20A1F3C9" w14:textId="34653A4A" w:rsidR="00975DFA" w:rsidRDefault="00EB25FD" w:rsidP="00975DFA">
            <w:r>
              <w:t>Malicious code known as SUNBURST was secretly inserted into the SolarWinds Orion software build process.</w:t>
            </w:r>
          </w:p>
        </w:tc>
      </w:tr>
      <w:tr w:rsidR="00975DFA" w14:paraId="48F55D24" w14:textId="77777777" w:rsidTr="00975DFA">
        <w:tc>
          <w:tcPr>
            <w:tcW w:w="4508" w:type="dxa"/>
          </w:tcPr>
          <w:p w14:paraId="54C18845" w14:textId="229B1989" w:rsidR="00975DFA" w:rsidRDefault="00EB25FD" w:rsidP="00975DFA">
            <w:r>
              <w:t>March 2020</w:t>
            </w:r>
          </w:p>
        </w:tc>
        <w:tc>
          <w:tcPr>
            <w:tcW w:w="4508" w:type="dxa"/>
          </w:tcPr>
          <w:p w14:paraId="1F959803" w14:textId="4B7B5821" w:rsidR="00975DFA" w:rsidRDefault="00EB25FD" w:rsidP="00975DFA">
            <w:r>
              <w:t>SolarWinds released compromised Orion software updates containing the hidden malware to customers.</w:t>
            </w:r>
          </w:p>
        </w:tc>
      </w:tr>
      <w:tr w:rsidR="00975DFA" w14:paraId="73B26894" w14:textId="77777777" w:rsidTr="00975DFA">
        <w:tc>
          <w:tcPr>
            <w:tcW w:w="4508" w:type="dxa"/>
          </w:tcPr>
          <w:p w14:paraId="080314CF" w14:textId="4DA9D46D" w:rsidR="00975DFA" w:rsidRDefault="00EB25FD" w:rsidP="00975DFA">
            <w:r>
              <w:t>March - June 2020</w:t>
            </w:r>
          </w:p>
        </w:tc>
        <w:tc>
          <w:tcPr>
            <w:tcW w:w="4508" w:type="dxa"/>
          </w:tcPr>
          <w:p w14:paraId="7941FDCC" w14:textId="1446B8B1" w:rsidR="00975DFA" w:rsidRDefault="00EB25FD" w:rsidP="00975DFA">
            <w:r>
              <w:t>Thousands of organizations downloaded and installed the infected updates, unknowingly granting attackers access to their networks.</w:t>
            </w:r>
          </w:p>
        </w:tc>
      </w:tr>
      <w:tr w:rsidR="00975DFA" w14:paraId="21B31B3C" w14:textId="77777777" w:rsidTr="00975DFA">
        <w:tc>
          <w:tcPr>
            <w:tcW w:w="4508" w:type="dxa"/>
          </w:tcPr>
          <w:p w14:paraId="1E62DE25" w14:textId="1E042A7F" w:rsidR="00975DFA" w:rsidRDefault="00EB25FD" w:rsidP="00975DFA">
            <w:r>
              <w:t>Mid</w:t>
            </w:r>
            <w:r>
              <w:rPr>
                <w:lang w:val="en-US"/>
              </w:rPr>
              <w:t xml:space="preserve"> </w:t>
            </w:r>
            <w:r>
              <w:t>-</w:t>
            </w:r>
            <w:r>
              <w:rPr>
                <w:lang w:val="en-US"/>
              </w:rPr>
              <w:t xml:space="preserve"> </w:t>
            </w:r>
            <w:r>
              <w:t>2020</w:t>
            </w:r>
          </w:p>
        </w:tc>
        <w:tc>
          <w:tcPr>
            <w:tcW w:w="4508" w:type="dxa"/>
          </w:tcPr>
          <w:p w14:paraId="51F0E5F7" w14:textId="7847E44C" w:rsidR="00975DFA" w:rsidRDefault="00EB25FD" w:rsidP="00975DFA">
            <w:r>
              <w:t>Attackers selectively targeted high-value victims, including government agencies and major corporations, while remaining undetected.</w:t>
            </w:r>
          </w:p>
        </w:tc>
      </w:tr>
      <w:tr w:rsidR="00975DFA" w14:paraId="69C586DE" w14:textId="77777777" w:rsidTr="00975DFA">
        <w:tc>
          <w:tcPr>
            <w:tcW w:w="4508" w:type="dxa"/>
          </w:tcPr>
          <w:p w14:paraId="6F2892DA" w14:textId="72186EE8" w:rsidR="00975DFA" w:rsidRDefault="00EB25FD" w:rsidP="00975DFA">
            <w:r>
              <w:t>December 8, 2020</w:t>
            </w:r>
          </w:p>
        </w:tc>
        <w:tc>
          <w:tcPr>
            <w:tcW w:w="4508" w:type="dxa"/>
          </w:tcPr>
          <w:p w14:paraId="0296AF08" w14:textId="038816A3" w:rsidR="00975DFA" w:rsidRDefault="00EB25FD" w:rsidP="00975DFA">
            <w:r>
              <w:t>Security company FireEye discovered suspicious activity within its network and launched an investigation.</w:t>
            </w:r>
          </w:p>
        </w:tc>
      </w:tr>
      <w:tr w:rsidR="00975DFA" w14:paraId="26BE0750" w14:textId="77777777" w:rsidTr="00975DFA">
        <w:tc>
          <w:tcPr>
            <w:tcW w:w="4508" w:type="dxa"/>
          </w:tcPr>
          <w:p w14:paraId="59D3DEFF" w14:textId="33730B07" w:rsidR="00975DFA" w:rsidRDefault="00EB25FD" w:rsidP="00975DFA">
            <w:r>
              <w:t>December 13, 2020</w:t>
            </w:r>
          </w:p>
        </w:tc>
        <w:tc>
          <w:tcPr>
            <w:tcW w:w="4508" w:type="dxa"/>
          </w:tcPr>
          <w:p w14:paraId="301EC025" w14:textId="3ED0F15D" w:rsidR="00975DFA" w:rsidRDefault="00EB25FD" w:rsidP="00975DFA">
            <w:r>
              <w:t>FireEye publicly disclosed the attack, revealing that SolarWinds Orion updates had been compromised.</w:t>
            </w:r>
          </w:p>
        </w:tc>
      </w:tr>
      <w:tr w:rsidR="00975DFA" w14:paraId="181EE4E7" w14:textId="77777777" w:rsidTr="00975DFA">
        <w:tc>
          <w:tcPr>
            <w:tcW w:w="4508" w:type="dxa"/>
          </w:tcPr>
          <w:p w14:paraId="632B408E" w14:textId="15451D13" w:rsidR="00975DFA" w:rsidRDefault="00EB25FD" w:rsidP="00975DFA">
            <w:r>
              <w:lastRenderedPageBreak/>
              <w:t>December 14, 2020</w:t>
            </w:r>
          </w:p>
        </w:tc>
        <w:tc>
          <w:tcPr>
            <w:tcW w:w="4508" w:type="dxa"/>
          </w:tcPr>
          <w:p w14:paraId="0D588625" w14:textId="4E7E3A4D" w:rsidR="00975DFA" w:rsidRDefault="00EB25FD" w:rsidP="00975DFA">
            <w:r>
              <w:t>SolarWinds confirmed the breach and advised customers to disconnect affected Orion systems immediately.</w:t>
            </w:r>
          </w:p>
        </w:tc>
      </w:tr>
      <w:tr w:rsidR="00975DFA" w14:paraId="60AAEEA4" w14:textId="77777777" w:rsidTr="00975DFA">
        <w:tc>
          <w:tcPr>
            <w:tcW w:w="4508" w:type="dxa"/>
          </w:tcPr>
          <w:p w14:paraId="744032E1" w14:textId="0890BF28" w:rsidR="00975DFA" w:rsidRDefault="00EB25FD" w:rsidP="00975DFA">
            <w:r>
              <w:t xml:space="preserve">December 2020 </w:t>
            </w:r>
            <w:r>
              <w:rPr>
                <w:lang w:val="en-US"/>
              </w:rPr>
              <w:t>-</w:t>
            </w:r>
            <w:r>
              <w:t xml:space="preserve"> January 2021</w:t>
            </w:r>
          </w:p>
        </w:tc>
        <w:tc>
          <w:tcPr>
            <w:tcW w:w="4508" w:type="dxa"/>
          </w:tcPr>
          <w:p w14:paraId="5DECCE15" w14:textId="5FE3C61F" w:rsidR="00975DFA" w:rsidRDefault="00EB25FD" w:rsidP="00975DFA">
            <w:r>
              <w:t>Government agencies, security researchers, and affected organizations conducted investigations and containment efforts.</w:t>
            </w:r>
          </w:p>
        </w:tc>
      </w:tr>
      <w:tr w:rsidR="00EB25FD" w14:paraId="1EE430E8" w14:textId="77777777" w:rsidTr="00975DFA">
        <w:tc>
          <w:tcPr>
            <w:tcW w:w="4508" w:type="dxa"/>
          </w:tcPr>
          <w:p w14:paraId="0AEC0A00" w14:textId="13CE9DD1" w:rsidR="00EB25FD" w:rsidRDefault="00EB25FD" w:rsidP="00975DFA">
            <w:r>
              <w:t>January 2021</w:t>
            </w:r>
          </w:p>
        </w:tc>
        <w:tc>
          <w:tcPr>
            <w:tcW w:w="4508" w:type="dxa"/>
          </w:tcPr>
          <w:p w14:paraId="1C485B53" w14:textId="24EEB518" w:rsidR="00EB25FD" w:rsidRDefault="00EB25FD" w:rsidP="00975DFA">
            <w:r>
              <w:t>Organizations implemented recovery measures, strengthened monitoring, and improved supply chain security controls.</w:t>
            </w:r>
          </w:p>
        </w:tc>
      </w:tr>
    </w:tbl>
    <w:p w14:paraId="68FDF55B" w14:textId="74A6197B" w:rsidR="00975DFA" w:rsidRDefault="00975DFA" w:rsidP="00975DFA"/>
    <w:p w14:paraId="232C73A1" w14:textId="5EEE591C" w:rsidR="00EB25FD" w:rsidRPr="00975DFA" w:rsidRDefault="00EB25FD" w:rsidP="00213A79">
      <w:pPr>
        <w:jc w:val="both"/>
      </w:pPr>
      <w:r w:rsidRPr="00EB25FD">
        <w:t xml:space="preserve">The SolarWinds attack remained undetected for several months because the </w:t>
      </w:r>
      <w:r w:rsidR="00213A79" w:rsidRPr="00EB25FD">
        <w:t>attacker’s</w:t>
      </w:r>
      <w:r w:rsidRPr="00EB25FD">
        <w:t xml:space="preserve"> distributed malware through legitimate software updates. Unlike traditional cyberattacks that directly target victims, this supply chain attack exploited trust in a widely used software product. The attackers were able to gain access to numerous organizations before security researchers detected the compromise, making it one of the most impactful cyber espionage operations ever discovered.</w:t>
      </w:r>
    </w:p>
    <w:p w14:paraId="2EAA2D45" w14:textId="322C3193" w:rsidR="00975DFA" w:rsidRPr="00213A79" w:rsidRDefault="00975DFA" w:rsidP="00975DFA">
      <w:pPr>
        <w:pStyle w:val="Heading2"/>
        <w:rPr>
          <w:b/>
          <w:bCs/>
        </w:rPr>
      </w:pPr>
      <w:r w:rsidRPr="00213A79">
        <w:rPr>
          <w:b/>
          <w:bCs/>
        </w:rPr>
        <w:t>Root Cause Analysis</w:t>
      </w:r>
    </w:p>
    <w:p w14:paraId="3DE97F3A" w14:textId="68EADB1A" w:rsidR="00EB25FD" w:rsidRDefault="00EB25FD" w:rsidP="00213A79">
      <w:pPr>
        <w:jc w:val="both"/>
      </w:pPr>
      <w:r>
        <w:t>The primary root cause of the SolarWinds attack was the compromise of SolarWinds' software development environment. Attackers successfully gained unauthorized access to internal systems involved in building and distributing software updates for the SolarWinds Orion platform. Once inside, they inserted malicious code, known as SUNBURST, into legitimate Orion software updates before the updates were digitally signed and released to customers.</w:t>
      </w:r>
    </w:p>
    <w:p w14:paraId="651ACF5E" w14:textId="160C1769" w:rsidR="00EB25FD" w:rsidRDefault="00EB25FD" w:rsidP="00213A79">
      <w:pPr>
        <w:jc w:val="both"/>
      </w:pPr>
      <w:r>
        <w:t>Because the malware was embedded within trusted software updates, organizations installed the compromised versions without suspecting malicious activity. The attackers exploited the trust relationship between SolarWinds and its customers, allowing them to bypass many traditional security controls. This made the attack especially dangerous because victims were infected through normal software maintenance processes rather than through phishing emails or direct hacking attempts.</w:t>
      </w:r>
    </w:p>
    <w:p w14:paraId="119A127B" w14:textId="14E46AFC" w:rsidR="00EB25FD" w:rsidRDefault="00EB25FD" w:rsidP="00213A79">
      <w:pPr>
        <w:jc w:val="both"/>
      </w:pPr>
      <w:r>
        <w:t>Another contributing factor was the lack of sufficient monitoring and protection within the software development and build environment. The attackers remained undetected for several months while the infected updates were distributed to thousands of customers. This allowed them to carefully select high-value targets and conduct cyber espionage activities before the breach was discovered.</w:t>
      </w:r>
    </w:p>
    <w:p w14:paraId="6476AB3E" w14:textId="78DD7CE2" w:rsidR="00EB25FD" w:rsidRDefault="00EB25FD" w:rsidP="00213A79">
      <w:pPr>
        <w:jc w:val="both"/>
      </w:pPr>
      <w:r>
        <w:t>Overall, the attack succeeded because the attackers compromised a trusted software supplier, inserted malicious code into legitimate updates, and leveraged weaknesses in supply chain security to gain access to numerous organizations.</w:t>
      </w:r>
    </w:p>
    <w:p w14:paraId="640CD1A7" w14:textId="5AD3CEB4" w:rsidR="00213A79" w:rsidRDefault="00213A79" w:rsidP="00213A79">
      <w:pPr>
        <w:jc w:val="both"/>
      </w:pPr>
    </w:p>
    <w:tbl>
      <w:tblPr>
        <w:tblW w:w="93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3"/>
        <w:gridCol w:w="6157"/>
      </w:tblGrid>
      <w:tr w:rsidR="00213A79" w:rsidRPr="00213A79" w14:paraId="4DDA7BFA" w14:textId="77777777" w:rsidTr="00213A79">
        <w:trPr>
          <w:trHeight w:val="404"/>
          <w:tblHeader/>
          <w:tblCellSpacing w:w="15" w:type="dxa"/>
        </w:trPr>
        <w:tc>
          <w:tcPr>
            <w:tcW w:w="0" w:type="auto"/>
            <w:vAlign w:val="center"/>
            <w:hideMark/>
          </w:tcPr>
          <w:p w14:paraId="1540D6D4" w14:textId="77777777" w:rsidR="00213A79" w:rsidRPr="00213A79" w:rsidRDefault="00213A79" w:rsidP="00213A79">
            <w:pPr>
              <w:spacing w:after="0"/>
              <w:jc w:val="center"/>
              <w:rPr>
                <w:rFonts w:ascii="Times New Roman" w:eastAsia="Times New Roman" w:hAnsi="Times New Roman" w:cs="Times New Roman"/>
                <w:b/>
                <w:bCs/>
                <w:szCs w:val="24"/>
                <w:lang w:eastAsia="en-NG"/>
              </w:rPr>
            </w:pPr>
            <w:r w:rsidRPr="00213A79">
              <w:rPr>
                <w:rFonts w:ascii="Times New Roman" w:eastAsia="Times New Roman" w:hAnsi="Times New Roman" w:cs="Times New Roman"/>
                <w:b/>
                <w:bCs/>
                <w:szCs w:val="24"/>
                <w:lang w:eastAsia="en-NG"/>
              </w:rPr>
              <w:lastRenderedPageBreak/>
              <w:t>Root Cause</w:t>
            </w:r>
          </w:p>
        </w:tc>
        <w:tc>
          <w:tcPr>
            <w:tcW w:w="0" w:type="auto"/>
            <w:vAlign w:val="center"/>
            <w:hideMark/>
          </w:tcPr>
          <w:p w14:paraId="737E42ED" w14:textId="77777777" w:rsidR="00213A79" w:rsidRPr="00213A79" w:rsidRDefault="00213A79" w:rsidP="00213A79">
            <w:pPr>
              <w:spacing w:after="0"/>
              <w:jc w:val="center"/>
              <w:rPr>
                <w:rFonts w:ascii="Times New Roman" w:eastAsia="Times New Roman" w:hAnsi="Times New Roman" w:cs="Times New Roman"/>
                <w:b/>
                <w:bCs/>
                <w:szCs w:val="24"/>
                <w:lang w:eastAsia="en-NG"/>
              </w:rPr>
            </w:pPr>
            <w:r w:rsidRPr="00213A79">
              <w:rPr>
                <w:rFonts w:ascii="Times New Roman" w:eastAsia="Times New Roman" w:hAnsi="Times New Roman" w:cs="Times New Roman"/>
                <w:b/>
                <w:bCs/>
                <w:szCs w:val="24"/>
                <w:lang w:eastAsia="en-NG"/>
              </w:rPr>
              <w:t>Description</w:t>
            </w:r>
          </w:p>
        </w:tc>
      </w:tr>
      <w:tr w:rsidR="00213A79" w:rsidRPr="00213A79" w14:paraId="5D5724D1" w14:textId="77777777" w:rsidTr="00213A79">
        <w:trPr>
          <w:trHeight w:val="832"/>
          <w:tblCellSpacing w:w="15" w:type="dxa"/>
        </w:trPr>
        <w:tc>
          <w:tcPr>
            <w:tcW w:w="0" w:type="auto"/>
            <w:vAlign w:val="center"/>
            <w:hideMark/>
          </w:tcPr>
          <w:p w14:paraId="51D305A7" w14:textId="77777777" w:rsidR="00213A79" w:rsidRPr="00213A79" w:rsidRDefault="00213A79" w:rsidP="00213A79">
            <w:pPr>
              <w:spacing w:after="0"/>
              <w:rPr>
                <w:rFonts w:ascii="Times New Roman" w:eastAsia="Times New Roman" w:hAnsi="Times New Roman" w:cs="Times New Roman"/>
                <w:szCs w:val="24"/>
                <w:lang w:eastAsia="en-NG"/>
              </w:rPr>
            </w:pPr>
            <w:r w:rsidRPr="00213A79">
              <w:rPr>
                <w:rFonts w:ascii="Times New Roman" w:eastAsia="Times New Roman" w:hAnsi="Times New Roman" w:cs="Times New Roman"/>
                <w:szCs w:val="24"/>
                <w:lang w:eastAsia="en-NG"/>
              </w:rPr>
              <w:t>Compromised Software Development Environment</w:t>
            </w:r>
          </w:p>
        </w:tc>
        <w:tc>
          <w:tcPr>
            <w:tcW w:w="0" w:type="auto"/>
            <w:vAlign w:val="center"/>
            <w:hideMark/>
          </w:tcPr>
          <w:p w14:paraId="278CBDB9" w14:textId="77777777" w:rsidR="00213A79" w:rsidRPr="00213A79" w:rsidRDefault="00213A79" w:rsidP="00213A79">
            <w:pPr>
              <w:spacing w:after="0"/>
              <w:rPr>
                <w:rFonts w:ascii="Times New Roman" w:eastAsia="Times New Roman" w:hAnsi="Times New Roman" w:cs="Times New Roman"/>
                <w:szCs w:val="24"/>
                <w:lang w:eastAsia="en-NG"/>
              </w:rPr>
            </w:pPr>
            <w:r w:rsidRPr="00213A79">
              <w:rPr>
                <w:rFonts w:ascii="Times New Roman" w:eastAsia="Times New Roman" w:hAnsi="Times New Roman" w:cs="Times New Roman"/>
                <w:szCs w:val="24"/>
                <w:lang w:eastAsia="en-NG"/>
              </w:rPr>
              <w:t>Attackers gained access to SolarWinds' internal systems and inserted malicious code into Orion software updates.</w:t>
            </w:r>
          </w:p>
        </w:tc>
      </w:tr>
      <w:tr w:rsidR="00213A79" w:rsidRPr="00213A79" w14:paraId="5F45A90D" w14:textId="77777777" w:rsidTr="00213A79">
        <w:trPr>
          <w:trHeight w:val="809"/>
          <w:tblCellSpacing w:w="15" w:type="dxa"/>
        </w:trPr>
        <w:tc>
          <w:tcPr>
            <w:tcW w:w="0" w:type="auto"/>
            <w:vAlign w:val="center"/>
            <w:hideMark/>
          </w:tcPr>
          <w:p w14:paraId="732C521F" w14:textId="77777777" w:rsidR="00213A79" w:rsidRPr="00213A79" w:rsidRDefault="00213A79" w:rsidP="00213A79">
            <w:pPr>
              <w:spacing w:after="0"/>
              <w:rPr>
                <w:rFonts w:ascii="Times New Roman" w:eastAsia="Times New Roman" w:hAnsi="Times New Roman" w:cs="Times New Roman"/>
                <w:szCs w:val="24"/>
                <w:lang w:eastAsia="en-NG"/>
              </w:rPr>
            </w:pPr>
            <w:r w:rsidRPr="00213A79">
              <w:rPr>
                <w:rFonts w:ascii="Times New Roman" w:eastAsia="Times New Roman" w:hAnsi="Times New Roman" w:cs="Times New Roman"/>
                <w:szCs w:val="24"/>
                <w:lang w:eastAsia="en-NG"/>
              </w:rPr>
              <w:t>Supply Chain Trust Exploitation</w:t>
            </w:r>
          </w:p>
        </w:tc>
        <w:tc>
          <w:tcPr>
            <w:tcW w:w="0" w:type="auto"/>
            <w:vAlign w:val="center"/>
            <w:hideMark/>
          </w:tcPr>
          <w:p w14:paraId="06575432" w14:textId="77777777" w:rsidR="00213A79" w:rsidRPr="00213A79" w:rsidRDefault="00213A79" w:rsidP="00213A79">
            <w:pPr>
              <w:spacing w:after="0"/>
              <w:rPr>
                <w:rFonts w:ascii="Times New Roman" w:eastAsia="Times New Roman" w:hAnsi="Times New Roman" w:cs="Times New Roman"/>
                <w:szCs w:val="24"/>
                <w:lang w:eastAsia="en-NG"/>
              </w:rPr>
            </w:pPr>
            <w:r w:rsidRPr="00213A79">
              <w:rPr>
                <w:rFonts w:ascii="Times New Roman" w:eastAsia="Times New Roman" w:hAnsi="Times New Roman" w:cs="Times New Roman"/>
                <w:szCs w:val="24"/>
                <w:lang w:eastAsia="en-NG"/>
              </w:rPr>
              <w:t>Customers trusted SolarWinds updates and installed the compromised software.</w:t>
            </w:r>
          </w:p>
        </w:tc>
      </w:tr>
      <w:tr w:rsidR="00213A79" w:rsidRPr="00213A79" w14:paraId="648945BD" w14:textId="77777777" w:rsidTr="00213A79">
        <w:trPr>
          <w:trHeight w:val="809"/>
          <w:tblCellSpacing w:w="15" w:type="dxa"/>
        </w:trPr>
        <w:tc>
          <w:tcPr>
            <w:tcW w:w="0" w:type="auto"/>
            <w:vAlign w:val="center"/>
            <w:hideMark/>
          </w:tcPr>
          <w:p w14:paraId="0E733BFB" w14:textId="77777777" w:rsidR="00213A79" w:rsidRPr="00213A79" w:rsidRDefault="00213A79" w:rsidP="00213A79">
            <w:pPr>
              <w:spacing w:after="0"/>
              <w:rPr>
                <w:rFonts w:ascii="Times New Roman" w:eastAsia="Times New Roman" w:hAnsi="Times New Roman" w:cs="Times New Roman"/>
                <w:szCs w:val="24"/>
                <w:lang w:eastAsia="en-NG"/>
              </w:rPr>
            </w:pPr>
            <w:r w:rsidRPr="00213A79">
              <w:rPr>
                <w:rFonts w:ascii="Times New Roman" w:eastAsia="Times New Roman" w:hAnsi="Times New Roman" w:cs="Times New Roman"/>
                <w:szCs w:val="24"/>
                <w:lang w:eastAsia="en-NG"/>
              </w:rPr>
              <w:t>Insufficient Monitoring</w:t>
            </w:r>
          </w:p>
        </w:tc>
        <w:tc>
          <w:tcPr>
            <w:tcW w:w="0" w:type="auto"/>
            <w:vAlign w:val="center"/>
            <w:hideMark/>
          </w:tcPr>
          <w:p w14:paraId="75D0C101" w14:textId="77777777" w:rsidR="00213A79" w:rsidRPr="00213A79" w:rsidRDefault="00213A79" w:rsidP="00213A79">
            <w:pPr>
              <w:spacing w:after="0"/>
              <w:rPr>
                <w:rFonts w:ascii="Times New Roman" w:eastAsia="Times New Roman" w:hAnsi="Times New Roman" w:cs="Times New Roman"/>
                <w:szCs w:val="24"/>
                <w:lang w:eastAsia="en-NG"/>
              </w:rPr>
            </w:pPr>
            <w:r w:rsidRPr="00213A79">
              <w:rPr>
                <w:rFonts w:ascii="Times New Roman" w:eastAsia="Times New Roman" w:hAnsi="Times New Roman" w:cs="Times New Roman"/>
                <w:szCs w:val="24"/>
                <w:lang w:eastAsia="en-NG"/>
              </w:rPr>
              <w:t>The attackers remained undetected for months due to limited visibility into the development environment.</w:t>
            </w:r>
          </w:p>
        </w:tc>
      </w:tr>
    </w:tbl>
    <w:p w14:paraId="4FDA91A5" w14:textId="4CA7AF2B" w:rsidR="00213A79" w:rsidRPr="00213A79" w:rsidRDefault="00213A79" w:rsidP="00975DFA">
      <w:pPr>
        <w:pStyle w:val="Heading2"/>
        <w:rPr>
          <w:b/>
          <w:bCs/>
          <w:lang w:val="en-US"/>
        </w:rPr>
      </w:pPr>
    </w:p>
    <w:p w14:paraId="5197803D" w14:textId="47DEF7F0" w:rsidR="00975DFA" w:rsidRDefault="00975DFA" w:rsidP="00975DFA">
      <w:pPr>
        <w:pStyle w:val="Heading2"/>
        <w:rPr>
          <w:b/>
          <w:bCs/>
        </w:rPr>
      </w:pPr>
      <w:r w:rsidRPr="00213A79">
        <w:rPr>
          <w:b/>
          <w:bCs/>
        </w:rPr>
        <w:t>Security Failures</w:t>
      </w:r>
    </w:p>
    <w:p w14:paraId="5CADB781" w14:textId="77777777" w:rsidR="00213A79" w:rsidRDefault="00213A79" w:rsidP="00213A79">
      <w:pPr>
        <w:jc w:val="both"/>
      </w:pPr>
      <w:r>
        <w:t>The SolarWinds attack exposed several weaknesses in the company's security practices. While the attackers were highly sophisticated, there were important security gaps that contributed to the success of the attack. These failures allowed the attackers to compromise the software development environment, remain undetected, and distribute malicious updates to customers.</w:t>
      </w:r>
    </w:p>
    <w:p w14:paraId="0F65A73C" w14:textId="77777777" w:rsidR="00213A79" w:rsidRDefault="00213A79" w:rsidP="00213A79"/>
    <w:p w14:paraId="49CD5454" w14:textId="77777777" w:rsidR="00213A79" w:rsidRPr="00213A79" w:rsidRDefault="00213A79" w:rsidP="00213A79">
      <w:pPr>
        <w:rPr>
          <w:b/>
          <w:bCs/>
        </w:rPr>
      </w:pPr>
      <w:r w:rsidRPr="00213A79">
        <w:rPr>
          <w:b/>
          <w:bCs/>
        </w:rPr>
        <w:t>1. Inadequate Protection of the Software Development Environment</w:t>
      </w:r>
    </w:p>
    <w:p w14:paraId="7243D56C" w14:textId="77777777" w:rsidR="00213A79" w:rsidRDefault="00213A79" w:rsidP="00213A79">
      <w:r>
        <w:t>SolarWinds failed to adequately secure the systems used to develop and build Orion software updates. Once the attackers gained access to this environment, they were able to insert malicious code into legitimate software without being detected. Because the development environment was a critical asset, stronger security controls and monitoring should have been in place to prevent unauthorized modifications.</w:t>
      </w:r>
    </w:p>
    <w:p w14:paraId="2F5F837A" w14:textId="77777777" w:rsidR="00213A79" w:rsidRDefault="00213A79" w:rsidP="00213A79"/>
    <w:p w14:paraId="7E43A0E1" w14:textId="77777777" w:rsidR="00213A79" w:rsidRPr="00213A79" w:rsidRDefault="00213A79" w:rsidP="00213A79">
      <w:pPr>
        <w:rPr>
          <w:b/>
          <w:bCs/>
        </w:rPr>
      </w:pPr>
      <w:r w:rsidRPr="00213A79">
        <w:rPr>
          <w:b/>
          <w:bCs/>
        </w:rPr>
        <w:t>2. Insufficient Monitoring and Threat Detection</w:t>
      </w:r>
    </w:p>
    <w:p w14:paraId="5A2D2EA4" w14:textId="77777777" w:rsidR="00213A79" w:rsidRDefault="00213A79" w:rsidP="00213A79">
      <w:r>
        <w:t xml:space="preserve">The attackers operated within SolarWinds' environment for several months before the breach was discovered. This indicates that security monitoring and threat detection capabilities were not effective enough to identify suspicious activity in a timely manner. Continuous monitoring, </w:t>
      </w:r>
      <w:proofErr w:type="spellStart"/>
      <w:r>
        <w:t>behavioral</w:t>
      </w:r>
      <w:proofErr w:type="spellEnd"/>
      <w:r>
        <w:t xml:space="preserve"> analytics, and stronger detection mechanisms could have helped identify the compromise much earlier.</w:t>
      </w:r>
    </w:p>
    <w:p w14:paraId="12631F73" w14:textId="77777777" w:rsidR="00213A79" w:rsidRDefault="00213A79" w:rsidP="00213A79"/>
    <w:p w14:paraId="7FBA3865" w14:textId="77777777" w:rsidR="00213A79" w:rsidRPr="00213A79" w:rsidRDefault="00213A79" w:rsidP="00213A79">
      <w:pPr>
        <w:rPr>
          <w:b/>
          <w:bCs/>
        </w:rPr>
      </w:pPr>
      <w:r w:rsidRPr="00213A79">
        <w:rPr>
          <w:b/>
          <w:bCs/>
        </w:rPr>
        <w:t>3. Weak Supply Chain Security Controls</w:t>
      </w:r>
    </w:p>
    <w:p w14:paraId="012FB4B5" w14:textId="782B7C36" w:rsidR="00213A79" w:rsidRDefault="00213A79" w:rsidP="00213A79">
      <w:r>
        <w:t>SolarWinds relied heavily on the trust customers placed in its software updates. However, there were insufficient safeguards to verify that updates had not been tampered with before release. Stronger supply chain security measures, including enhanced code integrity checks and stricter validation processes, could have reduced the risk of malicious code being distributed through official software updates.</w:t>
      </w:r>
    </w:p>
    <w:p w14:paraId="37490FBD" w14:textId="08EDA3B3" w:rsidR="003B6CA6" w:rsidRDefault="003B6CA6" w:rsidP="00213A79"/>
    <w:tbl>
      <w:tblPr>
        <w:tblW w:w="98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8"/>
        <w:gridCol w:w="5716"/>
      </w:tblGrid>
      <w:tr w:rsidR="003B6CA6" w:rsidRPr="003B6CA6" w14:paraId="78E03C44" w14:textId="77777777" w:rsidTr="003B6CA6">
        <w:trPr>
          <w:trHeight w:val="431"/>
          <w:tblHeader/>
          <w:tblCellSpacing w:w="15" w:type="dxa"/>
        </w:trPr>
        <w:tc>
          <w:tcPr>
            <w:tcW w:w="0" w:type="auto"/>
            <w:vAlign w:val="center"/>
            <w:hideMark/>
          </w:tcPr>
          <w:p w14:paraId="46C091FF" w14:textId="77777777" w:rsidR="003B6CA6" w:rsidRPr="003B6CA6" w:rsidRDefault="003B6CA6" w:rsidP="003B6CA6">
            <w:pPr>
              <w:spacing w:after="0"/>
              <w:jc w:val="center"/>
              <w:rPr>
                <w:rFonts w:ascii="Times New Roman" w:eastAsia="Times New Roman" w:hAnsi="Times New Roman" w:cs="Times New Roman"/>
                <w:b/>
                <w:bCs/>
                <w:szCs w:val="24"/>
                <w:lang w:eastAsia="en-NG"/>
              </w:rPr>
            </w:pPr>
            <w:r w:rsidRPr="003B6CA6">
              <w:rPr>
                <w:rFonts w:ascii="Times New Roman" w:eastAsia="Times New Roman" w:hAnsi="Times New Roman" w:cs="Times New Roman"/>
                <w:b/>
                <w:bCs/>
                <w:szCs w:val="24"/>
                <w:lang w:eastAsia="en-NG"/>
              </w:rPr>
              <w:lastRenderedPageBreak/>
              <w:t>Security Failure</w:t>
            </w:r>
          </w:p>
        </w:tc>
        <w:tc>
          <w:tcPr>
            <w:tcW w:w="0" w:type="auto"/>
            <w:vAlign w:val="center"/>
            <w:hideMark/>
          </w:tcPr>
          <w:p w14:paraId="64ADC15F" w14:textId="77777777" w:rsidR="003B6CA6" w:rsidRPr="003B6CA6" w:rsidRDefault="003B6CA6" w:rsidP="003B6CA6">
            <w:pPr>
              <w:spacing w:after="0"/>
              <w:jc w:val="center"/>
              <w:rPr>
                <w:rFonts w:ascii="Times New Roman" w:eastAsia="Times New Roman" w:hAnsi="Times New Roman" w:cs="Times New Roman"/>
                <w:b/>
                <w:bCs/>
                <w:szCs w:val="24"/>
                <w:lang w:eastAsia="en-NG"/>
              </w:rPr>
            </w:pPr>
            <w:r w:rsidRPr="003B6CA6">
              <w:rPr>
                <w:rFonts w:ascii="Times New Roman" w:eastAsia="Times New Roman" w:hAnsi="Times New Roman" w:cs="Times New Roman"/>
                <w:b/>
                <w:bCs/>
                <w:szCs w:val="24"/>
                <w:lang w:eastAsia="en-NG"/>
              </w:rPr>
              <w:t>Impact</w:t>
            </w:r>
          </w:p>
        </w:tc>
      </w:tr>
      <w:tr w:rsidR="003B6CA6" w:rsidRPr="003B6CA6" w14:paraId="6E56B45B" w14:textId="77777777" w:rsidTr="003B6CA6">
        <w:trPr>
          <w:trHeight w:val="887"/>
          <w:tblCellSpacing w:w="15" w:type="dxa"/>
        </w:trPr>
        <w:tc>
          <w:tcPr>
            <w:tcW w:w="0" w:type="auto"/>
            <w:vAlign w:val="center"/>
            <w:hideMark/>
          </w:tcPr>
          <w:p w14:paraId="4D74E5FA" w14:textId="77777777" w:rsidR="003B6CA6" w:rsidRPr="003B6CA6" w:rsidRDefault="003B6CA6" w:rsidP="003B6CA6">
            <w:pPr>
              <w:spacing w:after="0"/>
              <w:rPr>
                <w:rFonts w:ascii="Times New Roman" w:eastAsia="Times New Roman" w:hAnsi="Times New Roman" w:cs="Times New Roman"/>
                <w:szCs w:val="24"/>
                <w:lang w:eastAsia="en-NG"/>
              </w:rPr>
            </w:pPr>
            <w:r w:rsidRPr="003B6CA6">
              <w:rPr>
                <w:rFonts w:ascii="Times New Roman" w:eastAsia="Times New Roman" w:hAnsi="Times New Roman" w:cs="Times New Roman"/>
                <w:szCs w:val="24"/>
                <w:lang w:eastAsia="en-NG"/>
              </w:rPr>
              <w:t>Inadequate Protection of Development Environment</w:t>
            </w:r>
          </w:p>
        </w:tc>
        <w:tc>
          <w:tcPr>
            <w:tcW w:w="0" w:type="auto"/>
            <w:vAlign w:val="center"/>
            <w:hideMark/>
          </w:tcPr>
          <w:p w14:paraId="18A7899B" w14:textId="77777777" w:rsidR="003B6CA6" w:rsidRPr="003B6CA6" w:rsidRDefault="003B6CA6" w:rsidP="003B6CA6">
            <w:pPr>
              <w:spacing w:after="0"/>
              <w:rPr>
                <w:rFonts w:ascii="Times New Roman" w:eastAsia="Times New Roman" w:hAnsi="Times New Roman" w:cs="Times New Roman"/>
                <w:szCs w:val="24"/>
                <w:lang w:eastAsia="en-NG"/>
              </w:rPr>
            </w:pPr>
            <w:r w:rsidRPr="003B6CA6">
              <w:rPr>
                <w:rFonts w:ascii="Times New Roman" w:eastAsia="Times New Roman" w:hAnsi="Times New Roman" w:cs="Times New Roman"/>
                <w:szCs w:val="24"/>
                <w:lang w:eastAsia="en-NG"/>
              </w:rPr>
              <w:t>Allowed attackers to insert malicious code into Orion software updates.</w:t>
            </w:r>
          </w:p>
        </w:tc>
      </w:tr>
      <w:tr w:rsidR="003B6CA6" w:rsidRPr="003B6CA6" w14:paraId="467C35A8" w14:textId="77777777" w:rsidTr="003B6CA6">
        <w:trPr>
          <w:trHeight w:val="863"/>
          <w:tblCellSpacing w:w="15" w:type="dxa"/>
        </w:trPr>
        <w:tc>
          <w:tcPr>
            <w:tcW w:w="0" w:type="auto"/>
            <w:vAlign w:val="center"/>
            <w:hideMark/>
          </w:tcPr>
          <w:p w14:paraId="0F51F7FB" w14:textId="77777777" w:rsidR="003B6CA6" w:rsidRPr="003B6CA6" w:rsidRDefault="003B6CA6" w:rsidP="003B6CA6">
            <w:pPr>
              <w:spacing w:after="0"/>
              <w:rPr>
                <w:rFonts w:ascii="Times New Roman" w:eastAsia="Times New Roman" w:hAnsi="Times New Roman" w:cs="Times New Roman"/>
                <w:szCs w:val="24"/>
                <w:lang w:eastAsia="en-NG"/>
              </w:rPr>
            </w:pPr>
            <w:r w:rsidRPr="003B6CA6">
              <w:rPr>
                <w:rFonts w:ascii="Times New Roman" w:eastAsia="Times New Roman" w:hAnsi="Times New Roman" w:cs="Times New Roman"/>
                <w:szCs w:val="24"/>
                <w:lang w:eastAsia="en-NG"/>
              </w:rPr>
              <w:t>Insufficient Monitoring and Detection</w:t>
            </w:r>
          </w:p>
        </w:tc>
        <w:tc>
          <w:tcPr>
            <w:tcW w:w="0" w:type="auto"/>
            <w:vAlign w:val="center"/>
            <w:hideMark/>
          </w:tcPr>
          <w:p w14:paraId="56A30178" w14:textId="77777777" w:rsidR="003B6CA6" w:rsidRPr="003B6CA6" w:rsidRDefault="003B6CA6" w:rsidP="003B6CA6">
            <w:pPr>
              <w:spacing w:after="0"/>
              <w:rPr>
                <w:rFonts w:ascii="Times New Roman" w:eastAsia="Times New Roman" w:hAnsi="Times New Roman" w:cs="Times New Roman"/>
                <w:szCs w:val="24"/>
                <w:lang w:eastAsia="en-NG"/>
              </w:rPr>
            </w:pPr>
            <w:r w:rsidRPr="003B6CA6">
              <w:rPr>
                <w:rFonts w:ascii="Times New Roman" w:eastAsia="Times New Roman" w:hAnsi="Times New Roman" w:cs="Times New Roman"/>
                <w:szCs w:val="24"/>
                <w:lang w:eastAsia="en-NG"/>
              </w:rPr>
              <w:t>Enabled attackers to remain undetected for several months.</w:t>
            </w:r>
          </w:p>
        </w:tc>
      </w:tr>
      <w:tr w:rsidR="003B6CA6" w:rsidRPr="003B6CA6" w14:paraId="114F687E" w14:textId="77777777" w:rsidTr="003B6CA6">
        <w:trPr>
          <w:trHeight w:val="863"/>
          <w:tblCellSpacing w:w="15" w:type="dxa"/>
        </w:trPr>
        <w:tc>
          <w:tcPr>
            <w:tcW w:w="0" w:type="auto"/>
            <w:vAlign w:val="center"/>
            <w:hideMark/>
          </w:tcPr>
          <w:p w14:paraId="26233870" w14:textId="77777777" w:rsidR="003B6CA6" w:rsidRPr="003B6CA6" w:rsidRDefault="003B6CA6" w:rsidP="003B6CA6">
            <w:pPr>
              <w:spacing w:after="0"/>
              <w:rPr>
                <w:rFonts w:ascii="Times New Roman" w:eastAsia="Times New Roman" w:hAnsi="Times New Roman" w:cs="Times New Roman"/>
                <w:szCs w:val="24"/>
                <w:lang w:eastAsia="en-NG"/>
              </w:rPr>
            </w:pPr>
            <w:r w:rsidRPr="003B6CA6">
              <w:rPr>
                <w:rFonts w:ascii="Times New Roman" w:eastAsia="Times New Roman" w:hAnsi="Times New Roman" w:cs="Times New Roman"/>
                <w:szCs w:val="24"/>
                <w:lang w:eastAsia="en-NG"/>
              </w:rPr>
              <w:t>Weak Supply Chain Security Controls</w:t>
            </w:r>
          </w:p>
        </w:tc>
        <w:tc>
          <w:tcPr>
            <w:tcW w:w="0" w:type="auto"/>
            <w:vAlign w:val="center"/>
            <w:hideMark/>
          </w:tcPr>
          <w:p w14:paraId="3038E253" w14:textId="77777777" w:rsidR="003B6CA6" w:rsidRPr="003B6CA6" w:rsidRDefault="003B6CA6" w:rsidP="003B6CA6">
            <w:pPr>
              <w:spacing w:after="0"/>
              <w:rPr>
                <w:rFonts w:ascii="Times New Roman" w:eastAsia="Times New Roman" w:hAnsi="Times New Roman" w:cs="Times New Roman"/>
                <w:szCs w:val="24"/>
                <w:lang w:eastAsia="en-NG"/>
              </w:rPr>
            </w:pPr>
            <w:r w:rsidRPr="003B6CA6">
              <w:rPr>
                <w:rFonts w:ascii="Times New Roman" w:eastAsia="Times New Roman" w:hAnsi="Times New Roman" w:cs="Times New Roman"/>
                <w:szCs w:val="24"/>
                <w:lang w:eastAsia="en-NG"/>
              </w:rPr>
              <w:t>Allowed compromised updates to be distributed to thousands of customers.</w:t>
            </w:r>
          </w:p>
        </w:tc>
      </w:tr>
    </w:tbl>
    <w:p w14:paraId="1FADBBEF" w14:textId="77777777" w:rsidR="003B6CA6" w:rsidRPr="00213A79" w:rsidRDefault="003B6CA6" w:rsidP="00213A79"/>
    <w:p w14:paraId="3C1F8BA3" w14:textId="70035D9B" w:rsidR="00975DFA" w:rsidRDefault="00975DFA" w:rsidP="00975DFA">
      <w:pPr>
        <w:pStyle w:val="Heading2"/>
        <w:rPr>
          <w:b/>
          <w:bCs/>
        </w:rPr>
      </w:pPr>
      <w:r w:rsidRPr="003B6CA6">
        <w:rPr>
          <w:b/>
          <w:bCs/>
        </w:rPr>
        <w:t>Lessons Learned</w:t>
      </w:r>
    </w:p>
    <w:p w14:paraId="3C87166F" w14:textId="77777777" w:rsidR="003B6CA6" w:rsidRDefault="003B6CA6" w:rsidP="003B6CA6">
      <w:pPr>
        <w:jc w:val="both"/>
      </w:pPr>
      <w:r>
        <w:t>The SolarWinds attack provided important lessons for organizations, governments, and cybersecurity professionals worldwide. The incident demonstrated that even trusted software vendors can become targets of sophisticated attacks and highlighted the need for stronger security controls throughout the software supply chain.</w:t>
      </w:r>
    </w:p>
    <w:p w14:paraId="25748076" w14:textId="77777777" w:rsidR="003B6CA6" w:rsidRDefault="003B6CA6" w:rsidP="003B6CA6"/>
    <w:p w14:paraId="62EA38AA" w14:textId="600FF76F" w:rsidR="003B6CA6" w:rsidRPr="003B6CA6" w:rsidRDefault="003B6CA6" w:rsidP="003B6CA6">
      <w:pPr>
        <w:rPr>
          <w:b/>
          <w:bCs/>
        </w:rPr>
      </w:pPr>
      <w:r w:rsidRPr="003B6CA6">
        <w:rPr>
          <w:b/>
          <w:bCs/>
        </w:rPr>
        <w:t>1. Supply Chain Security Must Be a Priority</w:t>
      </w:r>
    </w:p>
    <w:p w14:paraId="4E8CBF74" w14:textId="77777777" w:rsidR="003B6CA6" w:rsidRDefault="003B6CA6" w:rsidP="003B6CA6">
      <w:pPr>
        <w:jc w:val="both"/>
      </w:pPr>
      <w:r>
        <w:t>One of the biggest lessons from the SolarWinds attack is that organizations must carefully evaluate and secure their supply chains. Attackers targeted a trusted vendor instead of attacking victims directly, allowing them to reach thousands of organizations through legitimate software updates. As a result, many organizations strengthened vendor risk assessments and implemented stricter controls for third-party software providers.</w:t>
      </w:r>
    </w:p>
    <w:p w14:paraId="0899A773" w14:textId="77777777" w:rsidR="003B6CA6" w:rsidRDefault="003B6CA6" w:rsidP="003B6CA6"/>
    <w:p w14:paraId="09B9A63F" w14:textId="77777777" w:rsidR="003B6CA6" w:rsidRPr="003B6CA6" w:rsidRDefault="003B6CA6" w:rsidP="003B6CA6">
      <w:pPr>
        <w:rPr>
          <w:b/>
          <w:bCs/>
        </w:rPr>
      </w:pPr>
      <w:r w:rsidRPr="003B6CA6">
        <w:rPr>
          <w:b/>
          <w:bCs/>
        </w:rPr>
        <w:t>2. Continuous Monitoring Is Essential</w:t>
      </w:r>
    </w:p>
    <w:p w14:paraId="46F1D56A" w14:textId="77777777" w:rsidR="003B6CA6" w:rsidRDefault="003B6CA6" w:rsidP="003B6CA6">
      <w:pPr>
        <w:jc w:val="both"/>
      </w:pPr>
      <w:r>
        <w:t>The attackers remained undetected for several months, proving that preventive security controls alone are not enough. Organizations learned the importance of continuous monitoring, threat hunting, and advanced detection capabilities to identify suspicious activity before significant damage occurs. This lesson contributed to increased adoption of Security Information and Event Management (SIEM) systems and Endpoint Detection and Response (EDR) solutions.</w:t>
      </w:r>
    </w:p>
    <w:p w14:paraId="46952750" w14:textId="77777777" w:rsidR="003B6CA6" w:rsidRDefault="003B6CA6" w:rsidP="003B6CA6"/>
    <w:p w14:paraId="6311FFCD" w14:textId="77777777" w:rsidR="003B6CA6" w:rsidRPr="003B6CA6" w:rsidRDefault="003B6CA6" w:rsidP="003B6CA6">
      <w:pPr>
        <w:rPr>
          <w:b/>
          <w:bCs/>
        </w:rPr>
      </w:pPr>
      <w:r w:rsidRPr="003B6CA6">
        <w:rPr>
          <w:b/>
          <w:bCs/>
        </w:rPr>
        <w:t>3. Trust Must Always Be Verified</w:t>
      </w:r>
    </w:p>
    <w:p w14:paraId="4C2AE40A" w14:textId="24D2C7A8" w:rsidR="003B6CA6" w:rsidRDefault="003B6CA6" w:rsidP="003B6CA6">
      <w:pPr>
        <w:jc w:val="both"/>
      </w:pPr>
      <w:r>
        <w:t>The attack reinforced the importance of the Zero Trust security model. Organizations realized that software, users, and devices should not automatically be trusted simply because they appear legitimate. Modern security strategies now emphasize continuous verification, least-privilege access, and stronger authentication mechanisms to reduce the impact of future supply chain attacks.</w:t>
      </w:r>
    </w:p>
    <w:p w14:paraId="45424A01" w14:textId="5CB6C8C6" w:rsidR="002C0F5E" w:rsidRPr="002C0F5E" w:rsidRDefault="002C0F5E" w:rsidP="002C0F5E">
      <w:pPr>
        <w:pStyle w:val="Heading2"/>
        <w:rPr>
          <w:rFonts w:ascii="Times New Roman" w:hAnsi="Times New Roman"/>
          <w:b/>
          <w:bCs/>
          <w:sz w:val="36"/>
        </w:rPr>
      </w:pPr>
      <w:r w:rsidRPr="002C0F5E">
        <w:rPr>
          <w:b/>
          <w:bCs/>
        </w:rPr>
        <w:lastRenderedPageBreak/>
        <w:t>Lessons Learned Summary</w:t>
      </w:r>
    </w:p>
    <w:tbl>
      <w:tblPr>
        <w:tblW w:w="90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4"/>
        <w:gridCol w:w="5926"/>
      </w:tblGrid>
      <w:tr w:rsidR="002C0F5E" w:rsidRPr="002C0F5E" w14:paraId="18969E68" w14:textId="77777777" w:rsidTr="002C0F5E">
        <w:trPr>
          <w:trHeight w:val="360"/>
          <w:tblHeader/>
          <w:tblCellSpacing w:w="15" w:type="dxa"/>
        </w:trPr>
        <w:tc>
          <w:tcPr>
            <w:tcW w:w="0" w:type="auto"/>
            <w:vAlign w:val="center"/>
            <w:hideMark/>
          </w:tcPr>
          <w:p w14:paraId="2C8900E5" w14:textId="77777777" w:rsidR="002C0F5E" w:rsidRPr="002C0F5E" w:rsidRDefault="002C0F5E" w:rsidP="002C0F5E">
            <w:pPr>
              <w:spacing w:after="0"/>
              <w:jc w:val="center"/>
              <w:rPr>
                <w:rFonts w:ascii="Times New Roman" w:eastAsia="Times New Roman" w:hAnsi="Times New Roman" w:cs="Times New Roman"/>
                <w:b/>
                <w:bCs/>
                <w:szCs w:val="24"/>
                <w:lang w:eastAsia="en-NG"/>
              </w:rPr>
            </w:pPr>
            <w:r w:rsidRPr="002C0F5E">
              <w:rPr>
                <w:rFonts w:ascii="Times New Roman" w:eastAsia="Times New Roman" w:hAnsi="Times New Roman" w:cs="Times New Roman"/>
                <w:b/>
                <w:bCs/>
                <w:szCs w:val="24"/>
                <w:lang w:eastAsia="en-NG"/>
              </w:rPr>
              <w:t>Lesson Learned</w:t>
            </w:r>
          </w:p>
        </w:tc>
        <w:tc>
          <w:tcPr>
            <w:tcW w:w="0" w:type="auto"/>
            <w:vAlign w:val="center"/>
            <w:hideMark/>
          </w:tcPr>
          <w:p w14:paraId="1EF42E08" w14:textId="77777777" w:rsidR="002C0F5E" w:rsidRPr="002C0F5E" w:rsidRDefault="002C0F5E" w:rsidP="002C0F5E">
            <w:pPr>
              <w:spacing w:after="0"/>
              <w:jc w:val="center"/>
              <w:rPr>
                <w:rFonts w:ascii="Times New Roman" w:eastAsia="Times New Roman" w:hAnsi="Times New Roman" w:cs="Times New Roman"/>
                <w:b/>
                <w:bCs/>
                <w:szCs w:val="24"/>
                <w:lang w:eastAsia="en-NG"/>
              </w:rPr>
            </w:pPr>
            <w:r w:rsidRPr="002C0F5E">
              <w:rPr>
                <w:rFonts w:ascii="Times New Roman" w:eastAsia="Times New Roman" w:hAnsi="Times New Roman" w:cs="Times New Roman"/>
                <w:b/>
                <w:bCs/>
                <w:szCs w:val="24"/>
                <w:lang w:eastAsia="en-NG"/>
              </w:rPr>
              <w:t>Outcome</w:t>
            </w:r>
          </w:p>
        </w:tc>
      </w:tr>
      <w:tr w:rsidR="002C0F5E" w:rsidRPr="002C0F5E" w14:paraId="511D4EFD" w14:textId="77777777" w:rsidTr="002C0F5E">
        <w:trPr>
          <w:trHeight w:val="741"/>
          <w:tblCellSpacing w:w="15" w:type="dxa"/>
        </w:trPr>
        <w:tc>
          <w:tcPr>
            <w:tcW w:w="0" w:type="auto"/>
            <w:vAlign w:val="center"/>
            <w:hideMark/>
          </w:tcPr>
          <w:p w14:paraId="6547C9C8" w14:textId="77777777" w:rsidR="002C0F5E" w:rsidRPr="002C0F5E" w:rsidRDefault="002C0F5E" w:rsidP="002C0F5E">
            <w:pPr>
              <w:spacing w:after="0"/>
              <w:rPr>
                <w:rFonts w:ascii="Times New Roman" w:eastAsia="Times New Roman" w:hAnsi="Times New Roman" w:cs="Times New Roman"/>
                <w:szCs w:val="24"/>
                <w:lang w:eastAsia="en-NG"/>
              </w:rPr>
            </w:pPr>
            <w:r w:rsidRPr="002C0F5E">
              <w:rPr>
                <w:rFonts w:ascii="Times New Roman" w:eastAsia="Times New Roman" w:hAnsi="Times New Roman" w:cs="Times New Roman"/>
                <w:szCs w:val="24"/>
                <w:lang w:eastAsia="en-NG"/>
              </w:rPr>
              <w:t>Strengthen Supply Chain Security</w:t>
            </w:r>
          </w:p>
        </w:tc>
        <w:tc>
          <w:tcPr>
            <w:tcW w:w="0" w:type="auto"/>
            <w:vAlign w:val="center"/>
            <w:hideMark/>
          </w:tcPr>
          <w:p w14:paraId="0E14DADF" w14:textId="77777777" w:rsidR="002C0F5E" w:rsidRPr="002C0F5E" w:rsidRDefault="002C0F5E" w:rsidP="002C0F5E">
            <w:pPr>
              <w:spacing w:after="0"/>
              <w:rPr>
                <w:rFonts w:ascii="Times New Roman" w:eastAsia="Times New Roman" w:hAnsi="Times New Roman" w:cs="Times New Roman"/>
                <w:szCs w:val="24"/>
                <w:lang w:eastAsia="en-NG"/>
              </w:rPr>
            </w:pPr>
            <w:r w:rsidRPr="002C0F5E">
              <w:rPr>
                <w:rFonts w:ascii="Times New Roman" w:eastAsia="Times New Roman" w:hAnsi="Times New Roman" w:cs="Times New Roman"/>
                <w:szCs w:val="24"/>
                <w:lang w:eastAsia="en-NG"/>
              </w:rPr>
              <w:t>Improved vendor assessments and software integrity verification.</w:t>
            </w:r>
          </w:p>
        </w:tc>
      </w:tr>
      <w:tr w:rsidR="002C0F5E" w:rsidRPr="002C0F5E" w14:paraId="43B23210" w14:textId="77777777" w:rsidTr="002C0F5E">
        <w:trPr>
          <w:trHeight w:val="721"/>
          <w:tblCellSpacing w:w="15" w:type="dxa"/>
        </w:trPr>
        <w:tc>
          <w:tcPr>
            <w:tcW w:w="0" w:type="auto"/>
            <w:vAlign w:val="center"/>
            <w:hideMark/>
          </w:tcPr>
          <w:p w14:paraId="6C6C1FAB" w14:textId="77777777" w:rsidR="002C0F5E" w:rsidRPr="002C0F5E" w:rsidRDefault="002C0F5E" w:rsidP="002C0F5E">
            <w:pPr>
              <w:spacing w:after="0"/>
              <w:rPr>
                <w:rFonts w:ascii="Times New Roman" w:eastAsia="Times New Roman" w:hAnsi="Times New Roman" w:cs="Times New Roman"/>
                <w:szCs w:val="24"/>
                <w:lang w:eastAsia="en-NG"/>
              </w:rPr>
            </w:pPr>
            <w:r w:rsidRPr="002C0F5E">
              <w:rPr>
                <w:rFonts w:ascii="Times New Roman" w:eastAsia="Times New Roman" w:hAnsi="Times New Roman" w:cs="Times New Roman"/>
                <w:szCs w:val="24"/>
                <w:lang w:eastAsia="en-NG"/>
              </w:rPr>
              <w:t>Implement Continuous Monitoring</w:t>
            </w:r>
          </w:p>
        </w:tc>
        <w:tc>
          <w:tcPr>
            <w:tcW w:w="0" w:type="auto"/>
            <w:vAlign w:val="center"/>
            <w:hideMark/>
          </w:tcPr>
          <w:p w14:paraId="0B07C235" w14:textId="77777777" w:rsidR="002C0F5E" w:rsidRPr="002C0F5E" w:rsidRDefault="002C0F5E" w:rsidP="002C0F5E">
            <w:pPr>
              <w:spacing w:after="0"/>
              <w:rPr>
                <w:rFonts w:ascii="Times New Roman" w:eastAsia="Times New Roman" w:hAnsi="Times New Roman" w:cs="Times New Roman"/>
                <w:szCs w:val="24"/>
                <w:lang w:eastAsia="en-NG"/>
              </w:rPr>
            </w:pPr>
            <w:r w:rsidRPr="002C0F5E">
              <w:rPr>
                <w:rFonts w:ascii="Times New Roman" w:eastAsia="Times New Roman" w:hAnsi="Times New Roman" w:cs="Times New Roman"/>
                <w:szCs w:val="24"/>
                <w:lang w:eastAsia="en-NG"/>
              </w:rPr>
              <w:t>Increased use of SIEM, EDR, and threat detection tools.</w:t>
            </w:r>
          </w:p>
        </w:tc>
      </w:tr>
      <w:tr w:rsidR="002C0F5E" w:rsidRPr="002C0F5E" w14:paraId="3BB3C191" w14:textId="77777777" w:rsidTr="002C0F5E">
        <w:trPr>
          <w:trHeight w:val="721"/>
          <w:tblCellSpacing w:w="15" w:type="dxa"/>
        </w:trPr>
        <w:tc>
          <w:tcPr>
            <w:tcW w:w="0" w:type="auto"/>
            <w:vAlign w:val="center"/>
            <w:hideMark/>
          </w:tcPr>
          <w:p w14:paraId="26375C3E" w14:textId="77777777" w:rsidR="002C0F5E" w:rsidRPr="002C0F5E" w:rsidRDefault="002C0F5E" w:rsidP="002C0F5E">
            <w:pPr>
              <w:spacing w:after="0"/>
              <w:rPr>
                <w:rFonts w:ascii="Times New Roman" w:eastAsia="Times New Roman" w:hAnsi="Times New Roman" w:cs="Times New Roman"/>
                <w:szCs w:val="24"/>
                <w:lang w:eastAsia="en-NG"/>
              </w:rPr>
            </w:pPr>
            <w:r w:rsidRPr="002C0F5E">
              <w:rPr>
                <w:rFonts w:ascii="Times New Roman" w:eastAsia="Times New Roman" w:hAnsi="Times New Roman" w:cs="Times New Roman"/>
                <w:szCs w:val="24"/>
                <w:lang w:eastAsia="en-NG"/>
              </w:rPr>
              <w:t>Adopt Zero Trust Principles</w:t>
            </w:r>
          </w:p>
        </w:tc>
        <w:tc>
          <w:tcPr>
            <w:tcW w:w="0" w:type="auto"/>
            <w:vAlign w:val="center"/>
            <w:hideMark/>
          </w:tcPr>
          <w:p w14:paraId="34DA747D" w14:textId="77777777" w:rsidR="002C0F5E" w:rsidRPr="002C0F5E" w:rsidRDefault="002C0F5E" w:rsidP="002C0F5E">
            <w:pPr>
              <w:spacing w:after="0"/>
              <w:rPr>
                <w:rFonts w:ascii="Times New Roman" w:eastAsia="Times New Roman" w:hAnsi="Times New Roman" w:cs="Times New Roman"/>
                <w:szCs w:val="24"/>
                <w:lang w:eastAsia="en-NG"/>
              </w:rPr>
            </w:pPr>
            <w:r w:rsidRPr="002C0F5E">
              <w:rPr>
                <w:rFonts w:ascii="Times New Roman" w:eastAsia="Times New Roman" w:hAnsi="Times New Roman" w:cs="Times New Roman"/>
                <w:szCs w:val="24"/>
                <w:lang w:eastAsia="en-NG"/>
              </w:rPr>
              <w:t>Reduced reliance on implicit trust and strengthened access controls.</w:t>
            </w:r>
          </w:p>
        </w:tc>
      </w:tr>
    </w:tbl>
    <w:p w14:paraId="422440D0" w14:textId="77777777" w:rsidR="002C0F5E" w:rsidRPr="003B6CA6" w:rsidRDefault="002C0F5E" w:rsidP="003B6CA6">
      <w:pPr>
        <w:jc w:val="both"/>
      </w:pPr>
    </w:p>
    <w:p w14:paraId="213CC023" w14:textId="6B4128E5" w:rsidR="00975DFA" w:rsidRPr="002C0F5E" w:rsidRDefault="00975DFA" w:rsidP="00975DFA">
      <w:pPr>
        <w:pStyle w:val="Heading2"/>
        <w:rPr>
          <w:b/>
          <w:bCs/>
        </w:rPr>
      </w:pPr>
      <w:r w:rsidRPr="002C0F5E">
        <w:rPr>
          <w:b/>
          <w:bCs/>
        </w:rPr>
        <w:t>Long-Term Impact on Cybersecurity</w:t>
      </w:r>
    </w:p>
    <w:p w14:paraId="72196338" w14:textId="77777777" w:rsidR="002C0F5E" w:rsidRDefault="002C0F5E" w:rsidP="002C0F5E">
      <w:pPr>
        <w:jc w:val="both"/>
        <w:rPr>
          <w:rFonts w:ascii="Times New Roman" w:hAnsi="Times New Roman"/>
        </w:rPr>
      </w:pPr>
      <w:r>
        <w:t>The SolarWinds attack had a significant impact on cybersecurity practices around the world. Because the attackers successfully compromised a trusted software vendor and gained access to thousands of organizations, the incident exposed weaknesses in software supply chain security that many organizations had previously overlooked. The attack demonstrated that even well-established companies and government agencies could be compromised through trusted third-party relationships.</w:t>
      </w:r>
    </w:p>
    <w:p w14:paraId="5300527B" w14:textId="77777777" w:rsidR="002C0F5E" w:rsidRDefault="002C0F5E" w:rsidP="002C0F5E">
      <w:pPr>
        <w:jc w:val="both"/>
      </w:pPr>
      <w:r>
        <w:t>One of the most important outcomes of the attack was the increased focus on supply chain security. Organizations began implementing stricter vendor risk management processes, software verification procedures, and security assessments for third-party providers. Many companies also improved the protection of their software development environments to reduce the risk of similar compromises.</w:t>
      </w:r>
    </w:p>
    <w:p w14:paraId="4E6916B8" w14:textId="77777777" w:rsidR="002C0F5E" w:rsidRDefault="002C0F5E" w:rsidP="002C0F5E">
      <w:pPr>
        <w:jc w:val="both"/>
      </w:pPr>
      <w:r>
        <w:t>The attack also accelerated the adoption of the Zero Trust security model. Instead of automatically trusting users, devices, or software based on their location or source, organizations increasingly adopted the principle of "never trust, always verify." This approach helps limit the damage that can occur when a trusted system becomes compromised.</w:t>
      </w:r>
    </w:p>
    <w:p w14:paraId="3099691C" w14:textId="77777777" w:rsidR="002C0F5E" w:rsidRDefault="002C0F5E" w:rsidP="002C0F5E">
      <w:pPr>
        <w:jc w:val="both"/>
      </w:pPr>
      <w:r>
        <w:t>Additionally, governments and regulatory agencies introduced new cybersecurity requirements and guidance for protecting critical infrastructure and software supply chains. The SolarWinds incident remains one of the most influential examples of modern cyber espionage and continues to shape cybersecurity strategies worldwide.</w:t>
      </w:r>
    </w:p>
    <w:p w14:paraId="08622FF7" w14:textId="32927A2B" w:rsidR="002C0F5E" w:rsidRDefault="002C0F5E" w:rsidP="002C0F5E"/>
    <w:p w14:paraId="39D6D393" w14:textId="77777777" w:rsidR="002C0F5E" w:rsidRPr="002C0F5E" w:rsidRDefault="002C0F5E" w:rsidP="002C0F5E">
      <w:pPr>
        <w:pStyle w:val="Heading2"/>
        <w:spacing w:line="360" w:lineRule="auto"/>
        <w:rPr>
          <w:b/>
          <w:bCs/>
        </w:rPr>
      </w:pPr>
      <w:r w:rsidRPr="002C0F5E">
        <w:rPr>
          <w:b/>
          <w:bCs/>
        </w:rPr>
        <w:t>Long-Term Impact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3"/>
        <w:gridCol w:w="6003"/>
      </w:tblGrid>
      <w:tr w:rsidR="002C0F5E" w14:paraId="074ABFFC" w14:textId="77777777" w:rsidTr="002C0F5E">
        <w:trPr>
          <w:tblHeader/>
          <w:tblCellSpacing w:w="15" w:type="dxa"/>
        </w:trPr>
        <w:tc>
          <w:tcPr>
            <w:tcW w:w="0" w:type="auto"/>
            <w:vAlign w:val="center"/>
            <w:hideMark/>
          </w:tcPr>
          <w:p w14:paraId="017F74C4" w14:textId="77777777" w:rsidR="002C0F5E" w:rsidRDefault="002C0F5E">
            <w:pPr>
              <w:jc w:val="center"/>
              <w:rPr>
                <w:b/>
                <w:bCs/>
              </w:rPr>
            </w:pPr>
            <w:r>
              <w:rPr>
                <w:b/>
                <w:bCs/>
              </w:rPr>
              <w:t>Area</w:t>
            </w:r>
          </w:p>
        </w:tc>
        <w:tc>
          <w:tcPr>
            <w:tcW w:w="0" w:type="auto"/>
            <w:vAlign w:val="center"/>
            <w:hideMark/>
          </w:tcPr>
          <w:p w14:paraId="11AF25D3" w14:textId="77777777" w:rsidR="002C0F5E" w:rsidRDefault="002C0F5E">
            <w:pPr>
              <w:jc w:val="center"/>
              <w:rPr>
                <w:b/>
                <w:bCs/>
              </w:rPr>
            </w:pPr>
            <w:r>
              <w:rPr>
                <w:b/>
                <w:bCs/>
              </w:rPr>
              <w:t>Impact</w:t>
            </w:r>
          </w:p>
        </w:tc>
      </w:tr>
      <w:tr w:rsidR="002C0F5E" w14:paraId="57FB28FB" w14:textId="77777777" w:rsidTr="002C0F5E">
        <w:trPr>
          <w:tblCellSpacing w:w="15" w:type="dxa"/>
        </w:trPr>
        <w:tc>
          <w:tcPr>
            <w:tcW w:w="0" w:type="auto"/>
            <w:vAlign w:val="center"/>
            <w:hideMark/>
          </w:tcPr>
          <w:p w14:paraId="59B3EB98" w14:textId="77777777" w:rsidR="002C0F5E" w:rsidRDefault="002C0F5E">
            <w:r>
              <w:t>Supply Chain Security</w:t>
            </w:r>
          </w:p>
        </w:tc>
        <w:tc>
          <w:tcPr>
            <w:tcW w:w="0" w:type="auto"/>
            <w:vAlign w:val="center"/>
            <w:hideMark/>
          </w:tcPr>
          <w:p w14:paraId="6661FB86" w14:textId="77777777" w:rsidR="002C0F5E" w:rsidRDefault="002C0F5E">
            <w:r>
              <w:t>Increased focus on securing software vendors and third-party providers.</w:t>
            </w:r>
          </w:p>
        </w:tc>
      </w:tr>
      <w:tr w:rsidR="002C0F5E" w14:paraId="465FA639" w14:textId="77777777" w:rsidTr="002C0F5E">
        <w:trPr>
          <w:tblCellSpacing w:w="15" w:type="dxa"/>
        </w:trPr>
        <w:tc>
          <w:tcPr>
            <w:tcW w:w="0" w:type="auto"/>
            <w:vAlign w:val="center"/>
            <w:hideMark/>
          </w:tcPr>
          <w:p w14:paraId="59601533" w14:textId="77777777" w:rsidR="002C0F5E" w:rsidRDefault="002C0F5E">
            <w:r>
              <w:lastRenderedPageBreak/>
              <w:t>Zero Trust Adoption</w:t>
            </w:r>
          </w:p>
        </w:tc>
        <w:tc>
          <w:tcPr>
            <w:tcW w:w="0" w:type="auto"/>
            <w:vAlign w:val="center"/>
            <w:hideMark/>
          </w:tcPr>
          <w:p w14:paraId="561A3492" w14:textId="77777777" w:rsidR="002C0F5E" w:rsidRDefault="002C0F5E">
            <w:r>
              <w:t>Accelerated implementation of Zero Trust security frameworks.</w:t>
            </w:r>
          </w:p>
        </w:tc>
      </w:tr>
      <w:tr w:rsidR="002C0F5E" w14:paraId="2CD4D1DE" w14:textId="77777777" w:rsidTr="002C0F5E">
        <w:trPr>
          <w:tblCellSpacing w:w="15" w:type="dxa"/>
        </w:trPr>
        <w:tc>
          <w:tcPr>
            <w:tcW w:w="0" w:type="auto"/>
            <w:vAlign w:val="center"/>
            <w:hideMark/>
          </w:tcPr>
          <w:p w14:paraId="5E78A2BC" w14:textId="77777777" w:rsidR="002C0F5E" w:rsidRDefault="002C0F5E">
            <w:r>
              <w:t>Government Cybersecurity Policies</w:t>
            </w:r>
          </w:p>
        </w:tc>
        <w:tc>
          <w:tcPr>
            <w:tcW w:w="0" w:type="auto"/>
            <w:vAlign w:val="center"/>
            <w:hideMark/>
          </w:tcPr>
          <w:p w14:paraId="5507F1D1" w14:textId="77777777" w:rsidR="002C0F5E" w:rsidRDefault="002C0F5E">
            <w:r>
              <w:t>Led to stronger cybersecurity guidance and regulations.</w:t>
            </w:r>
          </w:p>
        </w:tc>
      </w:tr>
      <w:tr w:rsidR="002C0F5E" w14:paraId="3116EB5B" w14:textId="77777777" w:rsidTr="002C0F5E">
        <w:trPr>
          <w:tblCellSpacing w:w="15" w:type="dxa"/>
        </w:trPr>
        <w:tc>
          <w:tcPr>
            <w:tcW w:w="0" w:type="auto"/>
            <w:vAlign w:val="center"/>
            <w:hideMark/>
          </w:tcPr>
          <w:p w14:paraId="7B83FD8C" w14:textId="77777777" w:rsidR="002C0F5E" w:rsidRDefault="002C0F5E">
            <w:r>
              <w:t>Security Monitoring</w:t>
            </w:r>
          </w:p>
        </w:tc>
        <w:tc>
          <w:tcPr>
            <w:tcW w:w="0" w:type="auto"/>
            <w:vAlign w:val="center"/>
            <w:hideMark/>
          </w:tcPr>
          <w:p w14:paraId="11A2E424" w14:textId="77777777" w:rsidR="002C0F5E" w:rsidRDefault="002C0F5E">
            <w:r>
              <w:t>Increased investment in threat detection and incident response capabilities.</w:t>
            </w:r>
          </w:p>
        </w:tc>
      </w:tr>
    </w:tbl>
    <w:p w14:paraId="3DCAD8A5" w14:textId="77777777" w:rsidR="002C0F5E" w:rsidRPr="002C0F5E" w:rsidRDefault="002C0F5E" w:rsidP="002C0F5E"/>
    <w:p w14:paraId="32A3C2FA" w14:textId="77777777" w:rsidR="00975DFA" w:rsidRDefault="00975DFA" w:rsidP="00975DFA">
      <w:pPr>
        <w:pStyle w:val="Heading2"/>
      </w:pPr>
      <w:r>
        <w:t>Sources</w:t>
      </w:r>
    </w:p>
    <w:p w14:paraId="45224377" w14:textId="2D3BB169" w:rsidR="001871F5" w:rsidRDefault="002C0F5E" w:rsidP="002C0F5E">
      <w:pPr>
        <w:jc w:val="both"/>
      </w:pPr>
      <w:r w:rsidRPr="002C0F5E">
        <w:rPr>
          <w:b/>
          <w:bCs/>
        </w:rPr>
        <w:t>Note:</w:t>
      </w:r>
      <w:r w:rsidRPr="002C0F5E">
        <w:t xml:space="preserve"> Information for this report was compiled from official government cybersecurity advisories, industry threat intelligence reports, and vendor security disclosures related to the SolarWinds supply chain attack.</w:t>
      </w:r>
    </w:p>
    <w:p w14:paraId="3F409806" w14:textId="16C49C6A" w:rsidR="002C0F5E" w:rsidRPr="002C0F5E" w:rsidRDefault="00F53D4F" w:rsidP="002C0F5E">
      <w:pPr>
        <w:pStyle w:val="ListParagraph"/>
        <w:numPr>
          <w:ilvl w:val="0"/>
          <w:numId w:val="3"/>
        </w:numPr>
        <w:spacing w:line="360" w:lineRule="auto"/>
        <w:jc w:val="both"/>
      </w:pPr>
      <w:hyperlink r:id="rId5" w:tgtFrame="_blank" w:history="1">
        <w:r w:rsidR="002C0F5E" w:rsidRPr="002C0F5E">
          <w:rPr>
            <w:rStyle w:val="Hyperlink"/>
          </w:rPr>
          <w:t xml:space="preserve">Cybersecurity and Infrastructure Security Agency (CISA) </w:t>
        </w:r>
        <w:r w:rsidR="005F5BC0">
          <w:rPr>
            <w:rStyle w:val="Hyperlink"/>
            <w:lang w:val="en-US"/>
          </w:rPr>
          <w:t>-</w:t>
        </w:r>
        <w:r w:rsidR="002C0F5E" w:rsidRPr="002C0F5E">
          <w:rPr>
            <w:rStyle w:val="Hyperlink"/>
          </w:rPr>
          <w:t xml:space="preserve"> Alert AA20-352A: Advanced Persistent Threat Compromise of Government Agencies, Critical Infrastructure, and Private Sector Organizations</w:t>
        </w:r>
      </w:hyperlink>
      <w:r w:rsidR="002C0F5E" w:rsidRPr="002C0F5E">
        <w:t xml:space="preserve"> </w:t>
      </w:r>
    </w:p>
    <w:p w14:paraId="2C14FAB8" w14:textId="3CF305D2" w:rsidR="002C0F5E" w:rsidRPr="002C0F5E" w:rsidRDefault="00F53D4F" w:rsidP="002C0F5E">
      <w:pPr>
        <w:pStyle w:val="ListParagraph"/>
        <w:numPr>
          <w:ilvl w:val="0"/>
          <w:numId w:val="3"/>
        </w:numPr>
        <w:spacing w:line="360" w:lineRule="auto"/>
        <w:jc w:val="both"/>
      </w:pPr>
      <w:hyperlink r:id="rId6" w:tgtFrame="_blank" w:history="1">
        <w:r w:rsidR="002C0F5E" w:rsidRPr="002C0F5E">
          <w:rPr>
            <w:rStyle w:val="Hyperlink"/>
          </w:rPr>
          <w:t xml:space="preserve">National Institute of Standards and Technology (NIST) </w:t>
        </w:r>
        <w:r w:rsidR="005F5BC0">
          <w:rPr>
            <w:rStyle w:val="Hyperlink"/>
            <w:lang w:val="en-US"/>
          </w:rPr>
          <w:t>-</w:t>
        </w:r>
        <w:r w:rsidR="002C0F5E" w:rsidRPr="002C0F5E">
          <w:rPr>
            <w:rStyle w:val="Hyperlink"/>
          </w:rPr>
          <w:t xml:space="preserve"> Cyber Supply Chain Risk Management Resources</w:t>
        </w:r>
      </w:hyperlink>
      <w:r w:rsidR="002C0F5E" w:rsidRPr="002C0F5E">
        <w:t xml:space="preserve"> </w:t>
      </w:r>
    </w:p>
    <w:p w14:paraId="3BE324D5" w14:textId="6C55A7AE" w:rsidR="002C0F5E" w:rsidRPr="002C0F5E" w:rsidRDefault="00F53D4F" w:rsidP="002C0F5E">
      <w:pPr>
        <w:pStyle w:val="ListParagraph"/>
        <w:numPr>
          <w:ilvl w:val="0"/>
          <w:numId w:val="3"/>
        </w:numPr>
        <w:spacing w:line="360" w:lineRule="auto"/>
        <w:jc w:val="both"/>
      </w:pPr>
      <w:hyperlink r:id="rId7" w:tgtFrame="_blank" w:history="1">
        <w:r w:rsidR="002C0F5E" w:rsidRPr="002C0F5E">
          <w:rPr>
            <w:rStyle w:val="Hyperlink"/>
          </w:rPr>
          <w:t xml:space="preserve">SolarWinds Security Advisory </w:t>
        </w:r>
        <w:r w:rsidR="005F5BC0">
          <w:rPr>
            <w:rStyle w:val="Hyperlink"/>
            <w:lang w:val="en-US"/>
          </w:rPr>
          <w:t>-</w:t>
        </w:r>
        <w:r w:rsidR="002C0F5E" w:rsidRPr="002C0F5E">
          <w:rPr>
            <w:rStyle w:val="Hyperlink"/>
          </w:rPr>
          <w:t xml:space="preserve"> SUNBURST Supply Chain Compromise</w:t>
        </w:r>
      </w:hyperlink>
      <w:r w:rsidR="002C0F5E" w:rsidRPr="002C0F5E">
        <w:t xml:space="preserve"> </w:t>
      </w:r>
    </w:p>
    <w:p w14:paraId="1408DDDE" w14:textId="1D6DC464" w:rsidR="002C0F5E" w:rsidRPr="002C0F5E" w:rsidRDefault="00F53D4F" w:rsidP="002C0F5E">
      <w:pPr>
        <w:pStyle w:val="ListParagraph"/>
        <w:numPr>
          <w:ilvl w:val="0"/>
          <w:numId w:val="3"/>
        </w:numPr>
        <w:spacing w:line="360" w:lineRule="auto"/>
        <w:jc w:val="both"/>
      </w:pPr>
      <w:hyperlink r:id="rId8" w:tgtFrame="_blank" w:history="1">
        <w:r w:rsidR="002C0F5E" w:rsidRPr="002C0F5E">
          <w:rPr>
            <w:rStyle w:val="Hyperlink"/>
          </w:rPr>
          <w:t xml:space="preserve">Microsoft Security Blog </w:t>
        </w:r>
        <w:r w:rsidR="005F5BC0">
          <w:rPr>
            <w:rStyle w:val="Hyperlink"/>
            <w:lang w:val="en-US"/>
          </w:rPr>
          <w:t>-</w:t>
        </w:r>
        <w:r w:rsidR="002C0F5E" w:rsidRPr="002C0F5E">
          <w:rPr>
            <w:rStyle w:val="Hyperlink"/>
          </w:rPr>
          <w:t xml:space="preserve"> Deep Analysis of the </w:t>
        </w:r>
        <w:proofErr w:type="spellStart"/>
        <w:r w:rsidR="002C0F5E" w:rsidRPr="002C0F5E">
          <w:rPr>
            <w:rStyle w:val="Hyperlink"/>
          </w:rPr>
          <w:t>Solorigate</w:t>
        </w:r>
        <w:proofErr w:type="spellEnd"/>
        <w:r w:rsidR="002C0F5E" w:rsidRPr="002C0F5E">
          <w:rPr>
            <w:rStyle w:val="Hyperlink"/>
          </w:rPr>
          <w:t xml:space="preserve"> (SolarWinds) Attack</w:t>
        </w:r>
      </w:hyperlink>
      <w:r w:rsidR="002C0F5E" w:rsidRPr="002C0F5E">
        <w:t xml:space="preserve"> </w:t>
      </w:r>
    </w:p>
    <w:p w14:paraId="33344300" w14:textId="59D68AD9" w:rsidR="002C0F5E" w:rsidRPr="002C0F5E" w:rsidRDefault="00F53D4F" w:rsidP="002C0F5E">
      <w:pPr>
        <w:pStyle w:val="ListParagraph"/>
        <w:numPr>
          <w:ilvl w:val="0"/>
          <w:numId w:val="3"/>
        </w:numPr>
        <w:spacing w:line="360" w:lineRule="auto"/>
        <w:jc w:val="both"/>
      </w:pPr>
      <w:hyperlink r:id="rId9" w:tgtFrame="_blank" w:history="1">
        <w:r w:rsidR="002C0F5E" w:rsidRPr="002C0F5E">
          <w:rPr>
            <w:rStyle w:val="Hyperlink"/>
          </w:rPr>
          <w:t xml:space="preserve">Mandiant Threat Intelligence </w:t>
        </w:r>
        <w:r w:rsidR="005F5BC0">
          <w:rPr>
            <w:rStyle w:val="Hyperlink"/>
            <w:lang w:val="en-US"/>
          </w:rPr>
          <w:t>-</w:t>
        </w:r>
        <w:r w:rsidR="002C0F5E" w:rsidRPr="002C0F5E">
          <w:rPr>
            <w:rStyle w:val="Hyperlink"/>
          </w:rPr>
          <w:t xml:space="preserve"> SUNBURST and UNC2452 Investigation Resources</w:t>
        </w:r>
      </w:hyperlink>
      <w:r w:rsidR="002C0F5E" w:rsidRPr="002C0F5E">
        <w:t xml:space="preserve"> </w:t>
      </w:r>
    </w:p>
    <w:p w14:paraId="76FB1710" w14:textId="31B334BC" w:rsidR="002C0F5E" w:rsidRPr="002C0F5E" w:rsidRDefault="00F53D4F" w:rsidP="002C0F5E">
      <w:pPr>
        <w:pStyle w:val="ListParagraph"/>
        <w:numPr>
          <w:ilvl w:val="0"/>
          <w:numId w:val="3"/>
        </w:numPr>
        <w:spacing w:line="360" w:lineRule="auto"/>
        <w:jc w:val="both"/>
      </w:pPr>
      <w:hyperlink r:id="rId10" w:tgtFrame="_blank" w:history="1">
        <w:r w:rsidR="002C0F5E" w:rsidRPr="002C0F5E">
          <w:rPr>
            <w:rStyle w:val="Hyperlink"/>
          </w:rPr>
          <w:t xml:space="preserve">CrowdStrike </w:t>
        </w:r>
        <w:r w:rsidR="005F5BC0">
          <w:rPr>
            <w:rStyle w:val="Hyperlink"/>
            <w:lang w:val="en-US"/>
          </w:rPr>
          <w:t>-</w:t>
        </w:r>
        <w:r w:rsidR="002C0F5E" w:rsidRPr="002C0F5E">
          <w:rPr>
            <w:rStyle w:val="Hyperlink"/>
          </w:rPr>
          <w:t xml:space="preserve"> SolarWinds Supply Chain Attack Analysis</w:t>
        </w:r>
      </w:hyperlink>
      <w:r w:rsidR="002C0F5E" w:rsidRPr="002C0F5E">
        <w:t xml:space="preserve"> </w:t>
      </w:r>
    </w:p>
    <w:p w14:paraId="19B0A645" w14:textId="01096360" w:rsidR="002C0F5E" w:rsidRPr="002C0F5E" w:rsidRDefault="002C0F5E" w:rsidP="002C0F5E">
      <w:pPr>
        <w:pStyle w:val="ListParagraph"/>
        <w:numPr>
          <w:ilvl w:val="0"/>
          <w:numId w:val="3"/>
        </w:numPr>
        <w:spacing w:line="360" w:lineRule="auto"/>
        <w:jc w:val="both"/>
      </w:pPr>
      <w:r w:rsidRPr="002C0F5E">
        <w:t xml:space="preserve">IBM Security </w:t>
      </w:r>
      <w:r w:rsidR="005F5BC0">
        <w:rPr>
          <w:lang w:val="en-US"/>
        </w:rPr>
        <w:t xml:space="preserve">- </w:t>
      </w:r>
      <w:r w:rsidRPr="002C0F5E">
        <w:t xml:space="preserve">Understanding Supply Chain Attacks </w:t>
      </w:r>
    </w:p>
    <w:p w14:paraId="28E75672" w14:textId="0FDA5366" w:rsidR="002C0F5E" w:rsidRPr="002C0F5E" w:rsidRDefault="00F53D4F" w:rsidP="002C0F5E">
      <w:pPr>
        <w:pStyle w:val="ListParagraph"/>
        <w:numPr>
          <w:ilvl w:val="0"/>
          <w:numId w:val="3"/>
        </w:numPr>
        <w:spacing w:line="360" w:lineRule="auto"/>
        <w:jc w:val="both"/>
      </w:pPr>
      <w:hyperlink r:id="rId11" w:tgtFrame="_blank" w:history="1">
        <w:r w:rsidR="002C0F5E" w:rsidRPr="002C0F5E">
          <w:rPr>
            <w:rStyle w:val="Hyperlink"/>
          </w:rPr>
          <w:t xml:space="preserve">United States Government Accountability Office (GAO) </w:t>
        </w:r>
        <w:r w:rsidR="005F5BC0">
          <w:rPr>
            <w:rStyle w:val="Hyperlink"/>
            <w:lang w:val="en-US"/>
          </w:rPr>
          <w:t xml:space="preserve">- </w:t>
        </w:r>
        <w:r w:rsidR="002C0F5E" w:rsidRPr="002C0F5E">
          <w:rPr>
            <w:rStyle w:val="Hyperlink"/>
          </w:rPr>
          <w:t>SolarWinds Cyberattack and Federal Response Reports</w:t>
        </w:r>
      </w:hyperlink>
      <w:r w:rsidR="002C0F5E" w:rsidRPr="002C0F5E">
        <w:t xml:space="preserve"> </w:t>
      </w:r>
    </w:p>
    <w:p w14:paraId="4DEC21CA" w14:textId="7D3FD25F" w:rsidR="002C0F5E" w:rsidRPr="002C0F5E" w:rsidRDefault="002C0F5E" w:rsidP="002C0F5E">
      <w:pPr>
        <w:pStyle w:val="ListParagraph"/>
        <w:numPr>
          <w:ilvl w:val="0"/>
          <w:numId w:val="3"/>
        </w:numPr>
        <w:spacing w:line="360" w:lineRule="auto"/>
        <w:jc w:val="both"/>
      </w:pPr>
      <w:r w:rsidRPr="002C0F5E">
        <w:t xml:space="preserve">The White House Executive Order on Improving the Nation's Cybersecurity (2021) </w:t>
      </w:r>
    </w:p>
    <w:p w14:paraId="6611E4DB" w14:textId="143FFFAA" w:rsidR="002C0F5E" w:rsidRPr="00975DFA" w:rsidRDefault="00F53D4F" w:rsidP="002C0F5E">
      <w:pPr>
        <w:pStyle w:val="ListParagraph"/>
        <w:numPr>
          <w:ilvl w:val="0"/>
          <w:numId w:val="3"/>
        </w:numPr>
        <w:spacing w:line="360" w:lineRule="auto"/>
        <w:jc w:val="both"/>
      </w:pPr>
      <w:hyperlink r:id="rId12" w:tgtFrame="_blank" w:history="1">
        <w:r w:rsidR="002C0F5E" w:rsidRPr="002C0F5E">
          <w:rPr>
            <w:rStyle w:val="Hyperlink"/>
          </w:rPr>
          <w:t>Carnegie Mellon University Software Engineering Institute (CERT) – Supply Chain Security Resources</w:t>
        </w:r>
      </w:hyperlink>
    </w:p>
    <w:sectPr w:rsidR="002C0F5E" w:rsidRPr="00975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C4873"/>
    <w:multiLevelType w:val="multilevel"/>
    <w:tmpl w:val="3150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92256"/>
    <w:multiLevelType w:val="hybridMultilevel"/>
    <w:tmpl w:val="4530B1CE"/>
    <w:lvl w:ilvl="0" w:tplc="8DD6E8AA">
      <w:start w:val="2025"/>
      <w:numFmt w:val="bullet"/>
      <w:lvlText w:val=""/>
      <w:lvlJc w:val="left"/>
      <w:pPr>
        <w:ind w:left="870" w:hanging="510"/>
      </w:pPr>
      <w:rPr>
        <w:rFonts w:ascii="Tahoma" w:eastAsiaTheme="minorHAnsi"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E344675"/>
    <w:multiLevelType w:val="hybridMultilevel"/>
    <w:tmpl w:val="7CA66E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4545FC4"/>
    <w:multiLevelType w:val="multilevel"/>
    <w:tmpl w:val="36B6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1F5"/>
    <w:rsid w:val="001871F5"/>
    <w:rsid w:val="00213A79"/>
    <w:rsid w:val="002C0F5E"/>
    <w:rsid w:val="003B6CA6"/>
    <w:rsid w:val="005F5BC0"/>
    <w:rsid w:val="00975DFA"/>
    <w:rsid w:val="00B33889"/>
    <w:rsid w:val="00BF6A6E"/>
    <w:rsid w:val="00D6021A"/>
    <w:rsid w:val="00EB25FD"/>
    <w:rsid w:val="00F53D4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6FF8"/>
  <w15:chartTrackingRefBased/>
  <w15:docId w15:val="{7A1CC4F4-5172-4CD4-B8C1-60AF244A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1A"/>
    <w:pPr>
      <w:spacing w:line="240" w:lineRule="auto"/>
    </w:pPr>
    <w:rPr>
      <w:rFonts w:ascii="Tahoma" w:hAnsi="Tahoma"/>
      <w:sz w:val="24"/>
    </w:rPr>
  </w:style>
  <w:style w:type="paragraph" w:styleId="Heading2">
    <w:name w:val="heading 2"/>
    <w:basedOn w:val="Normal"/>
    <w:next w:val="Normal"/>
    <w:link w:val="Heading2Char"/>
    <w:uiPriority w:val="9"/>
    <w:unhideWhenUsed/>
    <w:qFormat/>
    <w:rsid w:val="00D6021A"/>
    <w:pPr>
      <w:keepNext/>
      <w:keepLines/>
      <w:spacing w:before="120" w:after="120"/>
      <w:outlineLvl w:val="1"/>
    </w:pPr>
    <w:rPr>
      <w:rFonts w:eastAsiaTheme="majorEastAsia" w:cstheme="majorBidi"/>
      <w:sz w:val="28"/>
      <w:szCs w:val="26"/>
    </w:rPr>
  </w:style>
  <w:style w:type="paragraph" w:styleId="Heading3">
    <w:name w:val="heading 3"/>
    <w:basedOn w:val="Normal"/>
    <w:next w:val="Normal"/>
    <w:link w:val="Heading3Char"/>
    <w:uiPriority w:val="9"/>
    <w:semiHidden/>
    <w:unhideWhenUsed/>
    <w:qFormat/>
    <w:rsid w:val="00213A7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021A"/>
    <w:rPr>
      <w:rFonts w:ascii="Tahoma" w:eastAsiaTheme="majorEastAsia" w:hAnsi="Tahoma" w:cstheme="majorBidi"/>
      <w:sz w:val="28"/>
      <w:szCs w:val="26"/>
    </w:rPr>
  </w:style>
  <w:style w:type="paragraph" w:styleId="NormalWeb">
    <w:name w:val="Normal (Web)"/>
    <w:basedOn w:val="Normal"/>
    <w:uiPriority w:val="99"/>
    <w:semiHidden/>
    <w:unhideWhenUsed/>
    <w:rsid w:val="001871F5"/>
    <w:pPr>
      <w:spacing w:before="100" w:beforeAutospacing="1" w:after="100" w:afterAutospacing="1"/>
    </w:pPr>
    <w:rPr>
      <w:rFonts w:ascii="Times New Roman" w:eastAsia="Times New Roman" w:hAnsi="Times New Roman" w:cs="Times New Roman"/>
      <w:szCs w:val="24"/>
      <w:lang w:eastAsia="en-NG"/>
    </w:rPr>
  </w:style>
  <w:style w:type="table" w:styleId="TableGrid">
    <w:name w:val="Table Grid"/>
    <w:basedOn w:val="TableNormal"/>
    <w:uiPriority w:val="39"/>
    <w:rsid w:val="00975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13A7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C0F5E"/>
    <w:rPr>
      <w:color w:val="0563C1" w:themeColor="hyperlink"/>
      <w:u w:val="single"/>
    </w:rPr>
  </w:style>
  <w:style w:type="character" w:styleId="UnresolvedMention">
    <w:name w:val="Unresolved Mention"/>
    <w:basedOn w:val="DefaultParagraphFont"/>
    <w:uiPriority w:val="99"/>
    <w:semiHidden/>
    <w:unhideWhenUsed/>
    <w:rsid w:val="002C0F5E"/>
    <w:rPr>
      <w:color w:val="605E5C"/>
      <w:shd w:val="clear" w:color="auto" w:fill="E1DFDD"/>
    </w:rPr>
  </w:style>
  <w:style w:type="paragraph" w:styleId="ListParagraph">
    <w:name w:val="List Paragraph"/>
    <w:basedOn w:val="Normal"/>
    <w:uiPriority w:val="34"/>
    <w:qFormat/>
    <w:rsid w:val="002C0F5E"/>
    <w:pPr>
      <w:ind w:left="720"/>
      <w:contextualSpacing/>
    </w:pPr>
  </w:style>
  <w:style w:type="character" w:styleId="FollowedHyperlink">
    <w:name w:val="FollowedHyperlink"/>
    <w:basedOn w:val="DefaultParagraphFont"/>
    <w:uiPriority w:val="99"/>
    <w:semiHidden/>
    <w:unhideWhenUsed/>
    <w:rsid w:val="005F5B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60274">
      <w:bodyDiv w:val="1"/>
      <w:marLeft w:val="0"/>
      <w:marRight w:val="0"/>
      <w:marTop w:val="0"/>
      <w:marBottom w:val="0"/>
      <w:divBdr>
        <w:top w:val="none" w:sz="0" w:space="0" w:color="auto"/>
        <w:left w:val="none" w:sz="0" w:space="0" w:color="auto"/>
        <w:bottom w:val="none" w:sz="0" w:space="0" w:color="auto"/>
        <w:right w:val="none" w:sz="0" w:space="0" w:color="auto"/>
      </w:divBdr>
    </w:div>
    <w:div w:id="100878967">
      <w:bodyDiv w:val="1"/>
      <w:marLeft w:val="0"/>
      <w:marRight w:val="0"/>
      <w:marTop w:val="0"/>
      <w:marBottom w:val="0"/>
      <w:divBdr>
        <w:top w:val="none" w:sz="0" w:space="0" w:color="auto"/>
        <w:left w:val="none" w:sz="0" w:space="0" w:color="auto"/>
        <w:bottom w:val="none" w:sz="0" w:space="0" w:color="auto"/>
        <w:right w:val="none" w:sz="0" w:space="0" w:color="auto"/>
      </w:divBdr>
    </w:div>
    <w:div w:id="134032566">
      <w:bodyDiv w:val="1"/>
      <w:marLeft w:val="0"/>
      <w:marRight w:val="0"/>
      <w:marTop w:val="0"/>
      <w:marBottom w:val="0"/>
      <w:divBdr>
        <w:top w:val="none" w:sz="0" w:space="0" w:color="auto"/>
        <w:left w:val="none" w:sz="0" w:space="0" w:color="auto"/>
        <w:bottom w:val="none" w:sz="0" w:space="0" w:color="auto"/>
        <w:right w:val="none" w:sz="0" w:space="0" w:color="auto"/>
      </w:divBdr>
    </w:div>
    <w:div w:id="292759407">
      <w:bodyDiv w:val="1"/>
      <w:marLeft w:val="0"/>
      <w:marRight w:val="0"/>
      <w:marTop w:val="0"/>
      <w:marBottom w:val="0"/>
      <w:divBdr>
        <w:top w:val="none" w:sz="0" w:space="0" w:color="auto"/>
        <w:left w:val="none" w:sz="0" w:space="0" w:color="auto"/>
        <w:bottom w:val="none" w:sz="0" w:space="0" w:color="auto"/>
        <w:right w:val="none" w:sz="0" w:space="0" w:color="auto"/>
      </w:divBdr>
    </w:div>
    <w:div w:id="351155666">
      <w:bodyDiv w:val="1"/>
      <w:marLeft w:val="0"/>
      <w:marRight w:val="0"/>
      <w:marTop w:val="0"/>
      <w:marBottom w:val="0"/>
      <w:divBdr>
        <w:top w:val="none" w:sz="0" w:space="0" w:color="auto"/>
        <w:left w:val="none" w:sz="0" w:space="0" w:color="auto"/>
        <w:bottom w:val="none" w:sz="0" w:space="0" w:color="auto"/>
        <w:right w:val="none" w:sz="0" w:space="0" w:color="auto"/>
      </w:divBdr>
    </w:div>
    <w:div w:id="520435530">
      <w:bodyDiv w:val="1"/>
      <w:marLeft w:val="0"/>
      <w:marRight w:val="0"/>
      <w:marTop w:val="0"/>
      <w:marBottom w:val="0"/>
      <w:divBdr>
        <w:top w:val="none" w:sz="0" w:space="0" w:color="auto"/>
        <w:left w:val="none" w:sz="0" w:space="0" w:color="auto"/>
        <w:bottom w:val="none" w:sz="0" w:space="0" w:color="auto"/>
        <w:right w:val="none" w:sz="0" w:space="0" w:color="auto"/>
      </w:divBdr>
    </w:div>
    <w:div w:id="610430603">
      <w:bodyDiv w:val="1"/>
      <w:marLeft w:val="0"/>
      <w:marRight w:val="0"/>
      <w:marTop w:val="0"/>
      <w:marBottom w:val="0"/>
      <w:divBdr>
        <w:top w:val="none" w:sz="0" w:space="0" w:color="auto"/>
        <w:left w:val="none" w:sz="0" w:space="0" w:color="auto"/>
        <w:bottom w:val="none" w:sz="0" w:space="0" w:color="auto"/>
        <w:right w:val="none" w:sz="0" w:space="0" w:color="auto"/>
      </w:divBdr>
    </w:div>
    <w:div w:id="678971961">
      <w:bodyDiv w:val="1"/>
      <w:marLeft w:val="0"/>
      <w:marRight w:val="0"/>
      <w:marTop w:val="0"/>
      <w:marBottom w:val="0"/>
      <w:divBdr>
        <w:top w:val="none" w:sz="0" w:space="0" w:color="auto"/>
        <w:left w:val="none" w:sz="0" w:space="0" w:color="auto"/>
        <w:bottom w:val="none" w:sz="0" w:space="0" w:color="auto"/>
        <w:right w:val="none" w:sz="0" w:space="0" w:color="auto"/>
      </w:divBdr>
      <w:divsChild>
        <w:div w:id="521892980">
          <w:marLeft w:val="0"/>
          <w:marRight w:val="0"/>
          <w:marTop w:val="0"/>
          <w:marBottom w:val="0"/>
          <w:divBdr>
            <w:top w:val="none" w:sz="0" w:space="0" w:color="auto"/>
            <w:left w:val="none" w:sz="0" w:space="0" w:color="auto"/>
            <w:bottom w:val="none" w:sz="0" w:space="0" w:color="auto"/>
            <w:right w:val="none" w:sz="0" w:space="0" w:color="auto"/>
          </w:divBdr>
          <w:divsChild>
            <w:div w:id="52370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17611">
      <w:bodyDiv w:val="1"/>
      <w:marLeft w:val="0"/>
      <w:marRight w:val="0"/>
      <w:marTop w:val="0"/>
      <w:marBottom w:val="0"/>
      <w:divBdr>
        <w:top w:val="none" w:sz="0" w:space="0" w:color="auto"/>
        <w:left w:val="none" w:sz="0" w:space="0" w:color="auto"/>
        <w:bottom w:val="none" w:sz="0" w:space="0" w:color="auto"/>
        <w:right w:val="none" w:sz="0" w:space="0" w:color="auto"/>
      </w:divBdr>
    </w:div>
    <w:div w:id="1139151289">
      <w:bodyDiv w:val="1"/>
      <w:marLeft w:val="0"/>
      <w:marRight w:val="0"/>
      <w:marTop w:val="0"/>
      <w:marBottom w:val="0"/>
      <w:divBdr>
        <w:top w:val="none" w:sz="0" w:space="0" w:color="auto"/>
        <w:left w:val="none" w:sz="0" w:space="0" w:color="auto"/>
        <w:bottom w:val="none" w:sz="0" w:space="0" w:color="auto"/>
        <w:right w:val="none" w:sz="0" w:space="0" w:color="auto"/>
      </w:divBdr>
    </w:div>
    <w:div w:id="1214997859">
      <w:bodyDiv w:val="1"/>
      <w:marLeft w:val="0"/>
      <w:marRight w:val="0"/>
      <w:marTop w:val="0"/>
      <w:marBottom w:val="0"/>
      <w:divBdr>
        <w:top w:val="none" w:sz="0" w:space="0" w:color="auto"/>
        <w:left w:val="none" w:sz="0" w:space="0" w:color="auto"/>
        <w:bottom w:val="none" w:sz="0" w:space="0" w:color="auto"/>
        <w:right w:val="none" w:sz="0" w:space="0" w:color="auto"/>
      </w:divBdr>
    </w:div>
    <w:div w:id="1238398540">
      <w:bodyDiv w:val="1"/>
      <w:marLeft w:val="0"/>
      <w:marRight w:val="0"/>
      <w:marTop w:val="0"/>
      <w:marBottom w:val="0"/>
      <w:divBdr>
        <w:top w:val="none" w:sz="0" w:space="0" w:color="auto"/>
        <w:left w:val="none" w:sz="0" w:space="0" w:color="auto"/>
        <w:bottom w:val="none" w:sz="0" w:space="0" w:color="auto"/>
        <w:right w:val="none" w:sz="0" w:space="0" w:color="auto"/>
      </w:divBdr>
    </w:div>
    <w:div w:id="1347097263">
      <w:bodyDiv w:val="1"/>
      <w:marLeft w:val="0"/>
      <w:marRight w:val="0"/>
      <w:marTop w:val="0"/>
      <w:marBottom w:val="0"/>
      <w:divBdr>
        <w:top w:val="none" w:sz="0" w:space="0" w:color="auto"/>
        <w:left w:val="none" w:sz="0" w:space="0" w:color="auto"/>
        <w:bottom w:val="none" w:sz="0" w:space="0" w:color="auto"/>
        <w:right w:val="none" w:sz="0" w:space="0" w:color="auto"/>
      </w:divBdr>
    </w:div>
    <w:div w:id="1373729646">
      <w:bodyDiv w:val="1"/>
      <w:marLeft w:val="0"/>
      <w:marRight w:val="0"/>
      <w:marTop w:val="0"/>
      <w:marBottom w:val="0"/>
      <w:divBdr>
        <w:top w:val="none" w:sz="0" w:space="0" w:color="auto"/>
        <w:left w:val="none" w:sz="0" w:space="0" w:color="auto"/>
        <w:bottom w:val="none" w:sz="0" w:space="0" w:color="auto"/>
        <w:right w:val="none" w:sz="0" w:space="0" w:color="auto"/>
      </w:divBdr>
    </w:div>
    <w:div w:id="1488207001">
      <w:bodyDiv w:val="1"/>
      <w:marLeft w:val="0"/>
      <w:marRight w:val="0"/>
      <w:marTop w:val="0"/>
      <w:marBottom w:val="0"/>
      <w:divBdr>
        <w:top w:val="none" w:sz="0" w:space="0" w:color="auto"/>
        <w:left w:val="none" w:sz="0" w:space="0" w:color="auto"/>
        <w:bottom w:val="none" w:sz="0" w:space="0" w:color="auto"/>
        <w:right w:val="none" w:sz="0" w:space="0" w:color="auto"/>
      </w:divBdr>
    </w:div>
    <w:div w:id="1855920717">
      <w:bodyDiv w:val="1"/>
      <w:marLeft w:val="0"/>
      <w:marRight w:val="0"/>
      <w:marTop w:val="0"/>
      <w:marBottom w:val="0"/>
      <w:divBdr>
        <w:top w:val="none" w:sz="0" w:space="0" w:color="auto"/>
        <w:left w:val="none" w:sz="0" w:space="0" w:color="auto"/>
        <w:bottom w:val="none" w:sz="0" w:space="0" w:color="auto"/>
        <w:right w:val="none" w:sz="0" w:space="0" w:color="auto"/>
      </w:divBdr>
    </w:div>
    <w:div w:id="2024042337">
      <w:bodyDiv w:val="1"/>
      <w:marLeft w:val="0"/>
      <w:marRight w:val="0"/>
      <w:marTop w:val="0"/>
      <w:marBottom w:val="0"/>
      <w:divBdr>
        <w:top w:val="none" w:sz="0" w:space="0" w:color="auto"/>
        <w:left w:val="none" w:sz="0" w:space="0" w:color="auto"/>
        <w:bottom w:val="none" w:sz="0" w:space="0" w:color="auto"/>
        <w:right w:val="none" w:sz="0" w:space="0" w:color="auto"/>
      </w:divBdr>
    </w:div>
    <w:div w:id="207704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security/blo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larwinds.com/securityadvisory?" TargetMode="External"/><Relationship Id="rId12" Type="http://schemas.openxmlformats.org/officeDocument/2006/relationships/hyperlink" Target="https://www.sei.cm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rc.nist.gov/projects/cyber-supply-chain-risk-management?" TargetMode="External"/><Relationship Id="rId11" Type="http://schemas.openxmlformats.org/officeDocument/2006/relationships/hyperlink" Target="https://www.gao.gov/" TargetMode="External"/><Relationship Id="rId5" Type="http://schemas.openxmlformats.org/officeDocument/2006/relationships/hyperlink" Target="https://www.cisa.gov/news-events/cybersecurity-advisories/aa20-352a?" TargetMode="External"/><Relationship Id="rId10" Type="http://schemas.openxmlformats.org/officeDocument/2006/relationships/hyperlink" Target="https://www.crowdstrike.com/blog?" TargetMode="External"/><Relationship Id="rId4" Type="http://schemas.openxmlformats.org/officeDocument/2006/relationships/webSettings" Target="webSettings.xml"/><Relationship Id="rId9" Type="http://schemas.openxmlformats.org/officeDocument/2006/relationships/hyperlink" Target="https://www.mandiant.com/resourc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1909</Words>
  <Characters>10883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Ayeni</dc:creator>
  <cp:keywords/>
  <dc:description/>
  <cp:lastModifiedBy>Ayeni</cp:lastModifiedBy>
  <cp:revision>4</cp:revision>
  <dcterms:created xsi:type="dcterms:W3CDTF">2026-06-09T16:58:00Z</dcterms:created>
  <dcterms:modified xsi:type="dcterms:W3CDTF">2026-06-09T17:54:00Z</dcterms:modified>
</cp:coreProperties>
</file>