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Product Requirements Document</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0" w:name="product-requirements-document"/>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Product Requirements Document</w:t>
      </w:r>
    </w:p>
    <w:p>
      <w:pPr>
        <w:pStyle w:val="FirstParagraph"/>
      </w:pPr>
      <w:r>
        <w:rPr>
          <w:b/>
          <w:bCs/>
        </w:rPr>
        <w:t xml:space="preserve">Ogma Library</w:t>
      </w:r>
    </w:p>
    <w:p>
      <w:pPr>
        <w:pStyle w:val="BodyText"/>
      </w:pPr>
      <w:r>
        <w:rPr>
          <w:i/>
          <w:iCs/>
        </w:rPr>
        <w:t xml:space="preserve">A Local-First Personal and Classroom Library Operating System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Details</w:t>
            </w:r>
          </w:p>
        </w:tc>
      </w:tr>
      <w:tr>
        <w:trPr>
          <w:cantSplit/>
        </w:trPr>
        <w:tc>
          <w:tcPr/>
          <w:p>
            <w:pPr>
              <w:pStyle w:val="Compact"/>
            </w:pPr>
            <w:r>
              <w:rPr>
                <w:b/>
                <w:bCs/>
              </w:rPr>
              <w:t xml:space="preserve">Product</w:t>
            </w:r>
          </w:p>
        </w:tc>
        <w:tc>
          <w:tcPr/>
          <w:p>
            <w:pPr>
              <w:pStyle w:val="Compact"/>
            </w:pPr>
            <w:r>
              <w:t xml:space="preserve">Ogma Library</w:t>
            </w:r>
          </w:p>
        </w:tc>
      </w:tr>
      <w:tr>
        <w:trPr>
          <w:cantSplit/>
        </w:trPr>
        <w:tc>
          <w:tcPr/>
          <w:p>
            <w:pPr>
              <w:pStyle w:val="Compact"/>
            </w:pPr>
            <w:r>
              <w:rPr>
                <w:b/>
                <w:bCs/>
              </w:rPr>
              <w:t xml:space="preserve">Company</w:t>
            </w:r>
          </w:p>
        </w:tc>
        <w:tc>
          <w:tcPr/>
          <w:p>
            <w:pPr>
              <w:pStyle w:val="Compact"/>
            </w:pPr>
            <w:r>
              <w:t xml:space="preserve">Chwezi Core Systems</w:t>
            </w:r>
          </w:p>
        </w:tc>
      </w:tr>
      <w:tr>
        <w:trPr>
          <w:cantSplit/>
        </w:trPr>
        <w:tc>
          <w:tcPr/>
          <w:p>
            <w:pPr>
              <w:pStyle w:val="Compact"/>
            </w:pPr>
            <w:r>
              <w:rPr>
                <w:b/>
                <w:bCs/>
              </w:rPr>
              <w:t xml:space="preserve">Website</w:t>
            </w:r>
          </w:p>
        </w:tc>
        <w:tc>
          <w:tcPr/>
          <w:p>
            <w:pPr>
              <w:pStyle w:val="Compact"/>
            </w:pPr>
            <w:r>
              <w:t xml:space="preserve">chwezicore.com</w:t>
            </w:r>
          </w:p>
        </w:tc>
      </w:tr>
      <w:tr>
        <w:trPr>
          <w:cantSplit/>
        </w:trPr>
        <w:tc>
          <w:tcPr/>
          <w:p>
            <w:pPr>
              <w:pStyle w:val="Compact"/>
            </w:pPr>
            <w:r>
              <w:rPr>
                <w:b/>
                <w:bCs/>
              </w:rPr>
              <w:t xml:space="preserve">Product Owner</w:t>
            </w:r>
          </w:p>
        </w:tc>
        <w:tc>
          <w:tcPr/>
          <w:p>
            <w:pPr>
              <w:pStyle w:val="Compact"/>
            </w:pPr>
            <w:r>
              <w:t xml:space="preserve">Peter Bamuhigire</w:t>
            </w:r>
          </w:p>
        </w:tc>
      </w:tr>
      <w:tr>
        <w:trPr>
          <w:cantSplit/>
        </w:trPr>
        <w:tc>
          <w:tcPr/>
          <w:p>
            <w:pPr>
              <w:pStyle w:val="Compact"/>
            </w:pPr>
            <w:r>
              <w:rPr>
                <w:b/>
                <w:bCs/>
              </w:rPr>
              <w:t xml:space="preserve">Author</w:t>
            </w:r>
          </w:p>
        </w:tc>
        <w:tc>
          <w:tcPr/>
          <w:p>
            <w:pPr>
              <w:pStyle w:val="Compact"/>
            </w:pPr>
            <w:r>
              <w:t xml:space="preserve">Peter Bamuhigire, Lead Consultant, Chwezi Core (chwezicore.com)</w:t>
            </w:r>
          </w:p>
        </w:tc>
      </w:tr>
      <w:tr>
        <w:trPr>
          <w:cantSplit/>
        </w:trPr>
        <w:tc>
          <w:tcPr/>
          <w:p>
            <w:pPr>
              <w:pStyle w:val="Compact"/>
            </w:pPr>
            <w:r>
              <w:rPr>
                <w:b/>
                <w:bCs/>
              </w:rPr>
              <w:t xml:space="preserve">Document 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w:t>
            </w:r>
          </w:p>
        </w:tc>
      </w:tr>
      <w:tr>
        <w:trPr>
          <w:cantSplit/>
        </w:trPr>
        <w:tc>
          <w:tcPr/>
          <w:p>
            <w:pPr>
              <w:pStyle w:val="Compact"/>
            </w:pPr>
            <w:r>
              <w:rPr>
                <w:b/>
                <w:bCs/>
              </w:rPr>
              <w:t xml:space="preserve">Supersedes</w:t>
            </w:r>
          </w:p>
        </w:tc>
        <w:tc>
          <w:tcPr/>
          <w:p>
            <w:pPr>
              <w:pStyle w:val="Compact"/>
            </w:pPr>
            <w:r>
              <w:t xml:space="preserve">Version 0.1 DRAFT (2026-05-30, single-user scope)</w:t>
            </w:r>
          </w:p>
        </w:tc>
      </w:tr>
      <w:tr>
        <w:trPr>
          <w:cantSplit/>
        </w:trP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bookmarkStart w:id="9" w:name="version-20-baseline-note"/>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Version 2.0 Baseline Note</w:t>
      </w:r>
    </w:p>
    <w:p>
      <w:pPr>
        <w:pStyle w:val="FirstParagraph"/>
      </w:pPr>
      <w:r>
        <w:t xml:space="preserve">This version documents the full product defined by the scope expansion of 2026-07-06: the single-user desktop product plus the classroom/LAN e-library (FR-LAN, FR-CLIENT, FR-ADMIN groups), the Extension SDK (FR-EXT), promoted premium-experience requirements (FR-UX-001 to FR-UX-008), multilingual scope (English + French at MVP; Spanish, Italian, German at final), and store distribution. It records implementation status honestly against the codebase: grand-plan Phases 00–18 are implemented; Phases 19–23 (hardening, performance acceptance, full i18n and accessibility audit, packaging and store submission, launch operations) are outstanding. The scope expansion carries a Change Impact Analysis entry in</w:t>
      </w:r>
      <w:r>
        <w:t xml:space="preserve"> </w:t>
      </w:r>
      <w:r>
        <w:rPr>
          <w:rStyle w:val="VerbatimChar"/>
        </w:rPr>
        <w:t xml:space="preserve">_registry/change-impact.yaml</w:t>
      </w:r>
      <w:r>
        <w:t xml:space="preserve">.</w:t>
      </w:r>
    </w:p>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bookmarkEnd w:id="9"/>
    <w:bookmarkEnd w:id="10"/>
    <w:bookmarkStart w:id="11" w:name="executive-summary"/>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Executive Summary</w:t>
      </w:r>
    </w:p>
    <w:p>
      <w:pPr>
        <w:pStyle w:val="FirstParagraph"/>
      </w:pPr>
      <w:r>
        <w:t xml:space="preserve">Ogma Library is a local-first, premium desktop application that turns a folder of</w:t>
      </w:r>
      <w:r>
        <w:t xml:space="preserve"> </w:t>
      </w:r>
      <w:r>
        <w:rPr>
          <w:i/>
          <w:iCs/>
        </w:rPr>
        <w:t xml:space="preserve">Portable Document Format</w:t>
      </w:r>
      <w:r>
        <w:t xml:space="preserve"> </w:t>
      </w:r>
      <w:r>
        <w:t xml:space="preserve">(PDF) files into a managed, searchable, beautiful personal library — and, in its classroom mode, into a shared school e-library served over the local network. It is not a PDF viewer with</w:t>
      </w:r>
      <w:r>
        <w:t xml:space="preserve"> </w:t>
      </w:r>
      <w:r>
        <w:rPr>
          <w:i/>
          <w:iCs/>
        </w:rPr>
        <w:t xml:space="preserve">Artificial Intelligence</w:t>
      </w:r>
      <w:r>
        <w:t xml:space="preserve"> </w:t>
      </w:r>
      <w:r>
        <w:t xml:space="preserve">(AI) features bolted on. It is a private, immersive library operating system in which scanning, metadata repair, three-dimensional browsing, reading progress, annotations, full-text and semantic search, explainable AI recommendations, and portable ownership reinforce one another as one system.</w:t>
      </w:r>
    </w:p>
    <w:p>
      <w:pPr>
        <w:pStyle w:val="BodyText"/>
      </w:pPr>
      <w:r>
        <w:t xml:space="preserve">The product promise governs every requirement that follows:</w:t>
      </w:r>
    </w:p>
    <w:p>
      <w:pPr>
        <w:pStyle w:val="BlockText"/>
      </w:pPr>
      <w:r>
        <w:t xml:space="preserve">Ogma Library gives readers private, durable, beautiful command over their PDF collections.</w:t>
      </w:r>
    </w:p>
    <w:p>
      <w:pPr>
        <w:pStyle w:val="FirstParagraph"/>
      </w:pPr>
      <w:r>
        <w:t xml:space="preserve">Privacy, durability, beauty, and command are acceptance criteria, each decomposed into measurable thresholds in Section 8 of this document and in the baselined</w:t>
      </w:r>
      <w:r>
        <w:t xml:space="preserve"> </w:t>
      </w:r>
      <w:r>
        <w:rPr>
          <w:i/>
          <w:iCs/>
        </w:rPr>
        <w:t xml:space="preserve">Software Requirements Specification</w:t>
      </w:r>
      <w:r>
        <w:t xml:space="preserve"> </w:t>
      </w:r>
      <w:r>
        <w:t xml:space="preserve">(SRS): cold start ≤ 3 s at P95 on the binding reference machine (NFR-OGMA-001), metadata search ≤ 150 ms at P95 on a 2,000-book catalogue (NFR-OGMA-003), crash-free session rate ≥ 99.5% (NFR-PROD-006), 0 bytes transmitted off-device on a default install, and 0 irreversible destructive operations.</w:t>
      </w:r>
    </w:p>
    <w:p>
      <w:pPr>
        <w:pStyle w:val="BodyText"/>
      </w:pPr>
      <w:r>
        <w:t xml:space="preserve">Baseline v2.0 (this document) supersedes the v1.0 single-user baseline of 2026-05-30 in three ways:</w:t>
      </w:r>
    </w:p>
    <w:p>
      <w:pPr>
        <w:pStyle w:val="Compact"/>
        <w:numPr>
          <w:ilvl w:val="0"/>
          <w:numId w:val="1001"/>
        </w:numPr>
      </w:pPr>
      <w:r>
        <w:rPr>
          <w:b/>
          <w:bCs/>
        </w:rPr>
        <w:t xml:space="preserve">Scope.</w:t>
      </w:r>
      <w:r>
        <w:t xml:space="preserve"> </w:t>
      </w:r>
      <w:r>
        <w:t xml:space="preserve">The product now spans two deployment modes of one codebase (owner decision D-008): a zero-friction standalone mode with no login, and a classroom/LAN host mode in which a school computer serves the catalogue and PDF streams over TLS to student clients on the local network only, with school-managed AI keys, per-student privacy, quotas, and audit (FR-LAN, FR-CLIENT, FR-ADMIN groups). An Extension SDK (FR-EXT), promoted premium-experience requirements (FR-UX-001 to FR-UX-008), English + French at MVP with Spanish, Italian, and German at final, and distribution through Velopack, MSIX + Microsoft Store, notarized DMG + Mac App Store, and GitHub releases complete the expansion.</w:t>
      </w:r>
    </w:p>
    <w:p>
      <w:pPr>
        <w:pStyle w:val="Compact"/>
        <w:numPr>
          <w:ilvl w:val="0"/>
          <w:numId w:val="1001"/>
        </w:numPr>
      </w:pPr>
      <w:r>
        <w:rPr>
          <w:b/>
          <w:bCs/>
        </w:rPr>
        <w:t xml:space="preserve">Market grounding.</w:t>
      </w:r>
      <w:r>
        <w:t xml:space="preserve"> </w:t>
      </w:r>
      <w:r>
        <w:t xml:space="preserve">Section 11 records the researched competitive landscape (2026-07-06): no competitor combines Windows-first premium desktop, local-first zero-telemetry defaults, one-time licensing, local OCR + local embeddings behind a provider-neutral gateway, and a spatial 3D library metaphor — and no competitor has any classroom/LAN mode. Pricing is an owner decision pending, hypothesised at a one-time USD 149–249 license plus an optional ~USD 39/yr update plan, with education licensing as a second lane.</w:t>
      </w:r>
    </w:p>
    <w:p>
      <w:pPr>
        <w:pStyle w:val="Compact"/>
        <w:numPr>
          <w:ilvl w:val="0"/>
          <w:numId w:val="1001"/>
        </w:numPr>
      </w:pPr>
      <w:r>
        <w:rPr>
          <w:b/>
          <w:bCs/>
        </w:rPr>
        <w:t xml:space="preserve">Honest implementation status.</w:t>
      </w:r>
      <w:r>
        <w:t xml:space="preserve"> </w:t>
      </w:r>
      <w:r>
        <w:t xml:space="preserve">The codebase at</w:t>
      </w:r>
      <w:r>
        <w:t xml:space="preserve"> </w:t>
      </w:r>
      <w:r>
        <w:rPr>
          <w:rStyle w:val="VerbatimChar"/>
        </w:rPr>
        <w:t xml:space="preserve">C:\wamp64\www\Ogma-Library</w:t>
      </w:r>
      <w:r>
        <w:t xml:space="preserve"> </w:t>
      </w:r>
      <w:r>
        <w:t xml:space="preserve">implements grand-plan Phases 00–18 — ingestion, catalogue, metadata enrichment with reversible write-back, the PDFium reader, FTS5 + semantic + hybrid search, the four-tier AI gateway with Privacy Center, the Three.js 3D shelf, OCR, and the complete LAN/classroom/school-admin track — verified by 800 executed automated cases in the 2026-08-13 canonical Release run. Phases 19–23 (security hardening, formal performance acceptance on reference hardware, es/it/de localization and the WCAG 2.2 AA audit, packaging/signing/store submission, and launch operations) are outstanding. All performance figures to date are trend-only; formal NFR acceptance occurs at Phase 20.</w:t>
      </w:r>
    </w:p>
    <w:p>
      <w:pPr>
        <w:pStyle w:val="FirstParagraph"/>
      </w:pPr>
      <w:r>
        <w:t xml:space="preserve">The engagement is Hybrid (Water-Scrum-Fall): the Waterfall SRS baseline was signed before development, and delivery proceeds Agile across the 24-phase grand plan summarized in Section 9. Ogma Library is owned by Chwezi Core Systems / Peter Bamuhigire. It serves readers, researchers, collectors, power librarians, and privacy-sensitive users who hold their own corpus on their own device — and students, teachers, and school administrators who share one collection on one network without surrendering it to a cloud service.</w:t>
      </w:r>
    </w:p>
    <w:bookmarkEnd w:id="11"/>
    <w:bookmarkStart w:id="16" w:name="Xccf6ae43a2bf14b753246fc7cca5e49d68ace00"/>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Problem Statement: Knowledge Trapped in a Folder of PDFs</w:t>
      </w:r>
    </w:p>
    <w:bookmarkStart w:id="12" w:name="the-core-failure"/>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The Core Failure</w:t>
      </w:r>
    </w:p>
    <w:p>
      <w:pPr>
        <w:pStyle w:val="FirstParagraph"/>
      </w:pPr>
      <w:r>
        <w:t xml:space="preserve">People who read seriously accumulate hundreds or thousands of PDF files over years — books, papers, manuals, reports, scans. The files sit in nested folders with names like</w:t>
      </w:r>
      <w:r>
        <w:t xml:space="preserve"> </w:t>
      </w:r>
      <w:r>
        <w:rPr>
          <w:rStyle w:val="VerbatimChar"/>
        </w:rPr>
        <w:t xml:space="preserve">scan_0042_final_v2.pdf</w:t>
      </w:r>
      <w:r>
        <w:t xml:space="preserve">. The operating system file browser can list them, but it cannot tell the reader what a file is, whether they have read it, where they stopped, what they highlighted, why they kept it, or which of their own documents answers a question they have right now. The knowledge exists, but it is not</w:t>
      </w:r>
      <w:r>
        <w:t xml:space="preserve"> </w:t>
      </w:r>
      <w:r>
        <w:rPr>
          <w:i/>
          <w:iCs/>
        </w:rPr>
        <w:t xml:space="preserve">visible</w:t>
      </w:r>
      <w:r>
        <w:t xml:space="preserve">, not</w:t>
      </w:r>
      <w:r>
        <w:t xml:space="preserve"> </w:t>
      </w:r>
      <w:r>
        <w:rPr>
          <w:i/>
          <w:iCs/>
        </w:rPr>
        <w:t xml:space="preserve">usable</w:t>
      </w:r>
      <w:r>
        <w:t xml:space="preserve">, and not</w:t>
      </w:r>
      <w:r>
        <w:t xml:space="preserve"> </w:t>
      </w:r>
      <w:r>
        <w:rPr>
          <w:i/>
          <w:iCs/>
        </w:rPr>
        <w:t xml:space="preserve">intelligent</w:t>
      </w:r>
      <w:r>
        <w:t xml:space="preserve">. The collection grows faster than the reader's ability to command it, and the larger it gets, the more intimidating and less useful it becomes.</w:t>
      </w:r>
    </w:p>
    <w:p>
      <w:pPr>
        <w:pStyle w:val="BodyText"/>
      </w:pPr>
      <w:r>
        <w:t xml:space="preserve">Generic PDF viewers do not solve this. They open one file at a time, treat the collection as invisible, lose reading position across sessions, store annotations inside the file or not at all, and offer no search across the whole corpus. Cloud reading services solve some of this but at the cost of ownership: they ingest the user's files into a proprietary container on someone else's server, which is unacceptable to a reader who treats their library as private property held on their own device.</w:t>
      </w:r>
    </w:p>
    <w:bookmarkEnd w:id="12"/>
    <w:bookmarkStart w:id="13" w:name="the-institutional-failure"/>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The Institutional Failure</w:t>
      </w:r>
    </w:p>
    <w:p>
      <w:pPr>
        <w:pStyle w:val="FirstParagraph"/>
      </w:pPr>
      <w:r>
        <w:t xml:space="preserve">Schools and small institutions face the same failure at shared scale, plus three problems of their own. First, a school's PDF collection typically lives on one computer, so only one person at a time can use it; there is no e-library product that serves a folder of PDFs to every computer on a school's local network without a cloud subscription and an internet dependency. Second, when institutions do adopt AI search tools, the API keys, spend, and student data handling are uncontrolled — untenable where the users are minors subject to GDPR children's-consent rules, US COPPA/FERPA considerations, and the Uganda Data Protection and Privacy Act 2019 (owner decision D-003 targets all three regimes at the strictest common denominator). Third, student reading state — progress, notes, questions — either does not exist or is not private. No product on the researched market (Section 11) offers a LAN-only classroom library with school-managed AI keys, per-student privacy, quotas, and audit.</w:t>
      </w:r>
    </w:p>
    <w:bookmarkEnd w:id="13"/>
    <w:bookmarkStart w:id="14" w:name="the-pain-framed-by-persona"/>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The Pain, Framed by Persona</w:t>
      </w:r>
    </w:p>
    <w:p>
      <w:pPr>
        <w:pStyle w:val="FirstParagraph"/>
      </w:pPr>
      <w:r>
        <w:t xml:space="preserve">Each of the 8 personas defined in Section 4 experiences the underlying failure through a different lens.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Persona</w:t>
            </w:r>
          </w:p>
        </w:tc>
        <w:tc>
          <w:tcPr>
            <w:shd w:fill="132338"/>
          </w:tcPr>
          <w:p>
            <w:pPr>
              <w:pStyle w:val="Compact"/>
            </w:pPr>
            <w:r>
              <w:rPr>
                <w:rFonts w:ascii="Public Sans" w:hAnsi="Public Sans" w:eastAsia="Public Sans"/>
                <w:b/>
                <w:color w:val="FFFFFF"/>
                <w:sz w:val="17"/>
              </w:rPr>
              <w:t xml:space="preserve">The pain in their words</w:t>
            </w:r>
          </w:p>
        </w:tc>
        <w:tc>
          <w:tcPr>
            <w:shd w:fill="132338"/>
          </w:tcPr>
          <w:p>
            <w:pPr>
              <w:pStyle w:val="Compact"/>
            </w:pPr>
            <w:r>
              <w:rPr>
                <w:rFonts w:ascii="Public Sans" w:hAnsi="Public Sans" w:eastAsia="Public Sans"/>
                <w:b/>
                <w:color w:val="FFFFFF"/>
                <w:sz w:val="17"/>
              </w:rPr>
              <w:t xml:space="preserve">What the failure costs them</w:t>
            </w:r>
          </w:p>
        </w:tc>
      </w:tr>
      <w:tr>
        <w:trPr>
          <w:cantSplit/>
        </w:trPr>
        <w:tc>
          <w:tcPr/>
          <w:p>
            <w:pPr>
              <w:pStyle w:val="Compact"/>
            </w:pPr>
            <w:r>
              <w:t xml:space="preserve">Serious reader</w:t>
            </w:r>
          </w:p>
        </w:tc>
        <w:tc>
          <w:tcPr/>
          <w:p>
            <w:pPr>
              <w:pStyle w:val="Compact"/>
            </w:pPr>
            <w:r>
              <w:t xml:space="preserve">"I know I started that book but I cannot find it or remember where I stopped."</w:t>
            </w:r>
          </w:p>
        </w:tc>
        <w:tc>
          <w:tcPr/>
          <w:p>
            <w:pPr>
              <w:pStyle w:val="Compact"/>
            </w:pPr>
            <w:r>
              <w:t xml:space="preserve">Re-reading, abandoned books, a collection too large to enjoy.</w:t>
            </w:r>
          </w:p>
        </w:tc>
      </w:tr>
      <w:tr>
        <w:trPr>
          <w:cantSplit/>
        </w:trPr>
        <w:tc>
          <w:tcPr/>
          <w:p>
            <w:pPr>
              <w:pStyle w:val="Compact"/>
            </w:pPr>
            <w:r>
              <w:t xml:space="preserve">Researcher</w:t>
            </w:r>
          </w:p>
        </w:tc>
        <w:tc>
          <w:tcPr/>
          <w:p>
            <w:pPr>
              <w:pStyle w:val="Compact"/>
            </w:pPr>
            <w:r>
              <w:t xml:space="preserve">"The answer is somewhere in my own documents and I cannot get to it in time."</w:t>
            </w:r>
          </w:p>
        </w:tc>
        <w:tc>
          <w:tcPr/>
          <w:p>
            <w:pPr>
              <w:pStyle w:val="Compact"/>
            </w:pPr>
            <w:r>
              <w:t xml:space="preserve">Intent-to-source latency measured in minutes, not seconds.</w:t>
            </w:r>
          </w:p>
        </w:tc>
      </w:tr>
      <w:tr>
        <w:trPr>
          <w:cantSplit/>
        </w:trPr>
        <w:tc>
          <w:tcPr/>
          <w:p>
            <w:pPr>
              <w:pStyle w:val="Compact"/>
            </w:pPr>
            <w:r>
              <w:t xml:space="preserve">Collector</w:t>
            </w:r>
          </w:p>
        </w:tc>
        <w:tc>
          <w:tcPr/>
          <w:p>
            <w:pPr>
              <w:pStyle w:val="Compact"/>
            </w:pPr>
            <w:r>
              <w:t xml:space="preserve">"Half my files have no title, no cover, and the wrong author, and fixing one risks corrupting the file."</w:t>
            </w:r>
          </w:p>
        </w:tc>
        <w:tc>
          <w:tcPr/>
          <w:p>
            <w:pPr>
              <w:pStyle w:val="Compact"/>
            </w:pPr>
            <w:r>
              <w:t xml:space="preserve">Decayed metadata; fear of irreversible edits; no safe path to repair.</w:t>
            </w:r>
          </w:p>
        </w:tc>
      </w:tr>
      <w:tr>
        <w:trPr>
          <w:cantSplit/>
        </w:trPr>
        <w:tc>
          <w:tcPr/>
          <w:p>
            <w:pPr>
              <w:pStyle w:val="Compact"/>
            </w:pPr>
            <w:r>
              <w:t xml:space="preserve">Power librarian</w:t>
            </w:r>
          </w:p>
        </w:tc>
        <w:tc>
          <w:tcPr/>
          <w:p>
            <w:pPr>
              <w:pStyle w:val="Compact"/>
            </w:pPr>
            <w:r>
              <w:t xml:space="preserve">"I cannot see which files are duplicates, which are missing covers, or which have gone missing."</w:t>
            </w:r>
          </w:p>
        </w:tc>
        <w:tc>
          <w:tcPr/>
          <w:p>
            <w:pPr>
              <w:pStyle w:val="Compact"/>
            </w:pPr>
            <w:r>
              <w:t xml:space="preserve">No maintenance surface for a large collection; silent rot.</w:t>
            </w:r>
          </w:p>
        </w:tc>
      </w:tr>
      <w:tr>
        <w:trPr>
          <w:cantSplit/>
        </w:trPr>
        <w:tc>
          <w:tcPr/>
          <w:p>
            <w:pPr>
              <w:pStyle w:val="Compact"/>
            </w:pPr>
            <w:r>
              <w:t xml:space="preserve">Privacy-sensitive user</w:t>
            </w:r>
          </w:p>
        </w:tc>
        <w:tc>
          <w:tcPr/>
          <w:p>
            <w:pPr>
              <w:pStyle w:val="Compact"/>
            </w:pPr>
            <w:r>
              <w:t xml:space="preserve">"I want recommendations from my own library without uploading my documents to anyone."</w:t>
            </w:r>
          </w:p>
        </w:tc>
        <w:tc>
          <w:tcPr/>
          <w:p>
            <w:pPr>
              <w:pStyle w:val="Compact"/>
            </w:pPr>
            <w:r>
              <w:t xml:space="preserve">Forced choice between intelligence and privacy.</w:t>
            </w:r>
          </w:p>
        </w:tc>
      </w:tr>
      <w:tr>
        <w:trPr>
          <w:cantSplit/>
        </w:trPr>
        <w:tc>
          <w:tcPr/>
          <w:p>
            <w:pPr>
              <w:pStyle w:val="Compact"/>
            </w:pPr>
            <w:r>
              <w:t xml:space="preserve">Student</w:t>
            </w:r>
          </w:p>
        </w:tc>
        <w:tc>
          <w:tcPr/>
          <w:p>
            <w:pPr>
              <w:pStyle w:val="Compact"/>
            </w:pPr>
            <w:r>
              <w:t xml:space="preserve">"The library is on one computer in one room, and my notes vanish when someone else logs in."</w:t>
            </w:r>
          </w:p>
        </w:tc>
        <w:tc>
          <w:tcPr/>
          <w:p>
            <w:pPr>
              <w:pStyle w:val="Compact"/>
            </w:pPr>
            <w:r>
              <w:t xml:space="preserve">No access from the lab or classroom; no private reading state.</w:t>
            </w:r>
          </w:p>
        </w:tc>
      </w:tr>
      <w:tr>
        <w:trPr>
          <w:cantSplit/>
        </w:trPr>
        <w:tc>
          <w:tcPr/>
          <w:p>
            <w:pPr>
              <w:pStyle w:val="Compact"/>
            </w:pPr>
            <w:r>
              <w:t xml:space="preserve">Teacher</w:t>
            </w:r>
          </w:p>
        </w:tc>
        <w:tc>
          <w:tcPr/>
          <w:p>
            <w:pPr>
              <w:pStyle w:val="Compact"/>
            </w:pPr>
            <w:r>
              <w:t xml:space="preserve">"I cannot see whether the class is actually reading the assigned shelf."</w:t>
            </w:r>
          </w:p>
        </w:tc>
        <w:tc>
          <w:tcPr/>
          <w:p>
            <w:pPr>
              <w:pStyle w:val="Compact"/>
            </w:pPr>
            <w:r>
              <w:t xml:space="preserve">No class-level visibility; assignment by verbal instruction only.</w:t>
            </w:r>
          </w:p>
        </w:tc>
      </w:tr>
      <w:tr>
        <w:trPr>
          <w:cantSplit/>
        </w:trPr>
        <w:tc>
          <w:tcPr/>
          <w:p>
            <w:pPr>
              <w:pStyle w:val="Compact"/>
            </w:pPr>
            <w:r>
              <w:t xml:space="preserve">School administrator</w:t>
            </w:r>
          </w:p>
        </w:tc>
        <w:tc>
          <w:tcPr/>
          <w:p>
            <w:pPr>
              <w:pStyle w:val="Compact"/>
            </w:pPr>
            <w:r>
              <w:t xml:space="preserve">"I cannot give students AI search without handing out an API key I cannot control or afford."</w:t>
            </w:r>
          </w:p>
        </w:tc>
        <w:tc>
          <w:tcPr/>
          <w:p>
            <w:pPr>
              <w:pStyle w:val="Compact"/>
            </w:pPr>
            <w:r>
              <w:t xml:space="preserve">Uncontrolled AI spend; unmanaged minors'-data exposure; no audit trail.</w:t>
            </w:r>
          </w:p>
        </w:tc>
      </w:tr>
    </w:tbl>
    <w:bookmarkEnd w:id="14"/>
    <w:bookmarkStart w:id="15" w:name="why-the-problem-persists"/>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Why the Problem Persists</w:t>
      </w:r>
    </w:p>
    <w:p>
      <w:pPr>
        <w:pStyle w:val="FirstParagraph"/>
      </w:pPr>
      <w:r>
        <w:t xml:space="preserve">The four needs — visibility, usability, intelligence, and privacy — are usually delivered by different products that contradict one another. File browsers preserve privacy but offer no intelligence. Cloud reading services offer intelligence but sacrifice privacy and ownership. PDF editors edit files but do not manage collections. Classroom platforms manage students but do not serve a local PDF collection. The researched market (Section 11) confirms the gap concretely: the only premium one-time-license incumbents (DEVONthink 4, Bookends) are macOS-only, everything else is subscription or cloud-dependent, and no competitor has any classroom/LAN mode. No single product treats the user's own folder of PDFs as a first-class library that is simultaneously private, durable, beautiful, and commanded by the reader — on one machine or across one school network. That gap is the problem Ogma Library exists to close.</w:t>
      </w:r>
    </w:p>
    <w:bookmarkEnd w:id="15"/>
    <w:bookmarkEnd w:id="16"/>
    <w:bookmarkStart w:id="22" w:name="product-vision-and-principles"/>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Product Vision and Principles</w:t>
      </w:r>
    </w:p>
    <w:bookmarkStart w:id="17" w:name="product-promise"/>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Product Promise</w:t>
      </w:r>
    </w:p>
    <w:p>
      <w:pPr>
        <w:pStyle w:val="BlockText"/>
      </w:pPr>
      <w:r>
        <w:t xml:space="preserve">Ogma Library gives readers private, durable, beautiful command over their PDF collections.</w:t>
      </w:r>
    </w:p>
    <w:p>
      <w:pPr>
        <w:pStyle w:val="FirstParagraph"/>
      </w:pPr>
      <w:r>
        <w:t xml:space="preserve">The four nouns in the promise —</w:t>
      </w:r>
      <w:r>
        <w:t xml:space="preserve"> </w:t>
      </w:r>
      <w:r>
        <w:rPr>
          <w:i/>
          <w:iCs/>
        </w:rPr>
        <w:t xml:space="preserve">private</w:t>
      </w:r>
      <w:r>
        <w:t xml:space="preserve">,</w:t>
      </w:r>
      <w:r>
        <w:t xml:space="preserve"> </w:t>
      </w:r>
      <w:r>
        <w:rPr>
          <w:i/>
          <w:iCs/>
        </w:rPr>
        <w:t xml:space="preserve">durable</w:t>
      </w:r>
      <w:r>
        <w:t xml:space="preserve">,</w:t>
      </w:r>
      <w:r>
        <w:t xml:space="preserve"> </w:t>
      </w:r>
      <w:r>
        <w:rPr>
          <w:i/>
          <w:iCs/>
        </w:rPr>
        <w:t xml:space="preserve">beautiful</w:t>
      </w:r>
      <w:r>
        <w:t xml:space="preserve">,</w:t>
      </w:r>
      <w:r>
        <w:t xml:space="preserve"> </w:t>
      </w:r>
      <w:r>
        <w:rPr>
          <w:i/>
          <w:iCs/>
        </w:rPr>
        <w:t xml:space="preserve">command</w:t>
      </w:r>
      <w:r>
        <w:t xml:space="preserve"> </w:t>
      </w:r>
      <w:r>
        <w:t xml:space="preserve">— are acceptance criteria, not adjectives. Privacy is verified by the privacy-tier and payload-preview requirements (FR-AI-004, FR-AI-005, FR-AI-011, FR-ADMIN-007); durability by the catalogue-of-record, backup, and reversibility requirements (FR-META-005, NFR-OGMA-008); beauty by the calm-control experience requirements (FR-UX-001 to FR-UX-008) and multi-mode browsing (FR-CAT-001); command by search within budget (NFR-OGMA-003, NFR-OGMA-004), reading progress, and the library health dashboard (FR-META-008).</w:t>
      </w:r>
    </w:p>
    <w:bookmarkEnd w:id="17"/>
    <w:bookmarkStart w:id="18" w:name="the-three-core-promises"/>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The Three Core Promises</w:t>
      </w:r>
    </w:p>
    <w:p>
      <w:pPr>
        <w:pStyle w:val="FirstParagraph"/>
      </w:pPr>
      <w:r>
        <w:t xml:space="preserve">The product makes the library</w:t>
      </w:r>
      <w:r>
        <w:t xml:space="preserve"> </w:t>
      </w:r>
      <w:r>
        <w:rPr>
          <w:i/>
          <w:iCs/>
        </w:rPr>
        <w:t xml:space="preserve">visible</w:t>
      </w:r>
      <w:r>
        <w:t xml:space="preserve">,</w:t>
      </w:r>
      <w:r>
        <w:t xml:space="preserve"> </w:t>
      </w:r>
      <w:r>
        <w:rPr>
          <w:i/>
          <w:iCs/>
        </w:rPr>
        <w:t xml:space="preserve">usable</w:t>
      </w:r>
      <w:r>
        <w:t xml:space="preserve">, and</w:t>
      </w:r>
      <w:r>
        <w:t xml:space="preserve"> </w:t>
      </w:r>
      <w:r>
        <w:rPr>
          <w:i/>
          <w:iCs/>
        </w:rPr>
        <w:t xml:space="preserve">intelligent</w:t>
      </w:r>
      <w:r>
        <w:t xml:space="preserve">. These promises map onto the feature groups in Section 6 and the success metrics in Section 8.</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Promise</w:t>
            </w:r>
          </w:p>
        </w:tc>
        <w:tc>
          <w:tcPr>
            <w:shd w:fill="132338"/>
          </w:tcPr>
          <w:p>
            <w:pPr>
              <w:pStyle w:val="Compact"/>
            </w:pPr>
            <w:r>
              <w:rPr>
                <w:rFonts w:ascii="Public Sans" w:hAnsi="Public Sans" w:eastAsia="Public Sans"/>
                <w:b/>
                <w:color w:val="FFFFFF"/>
                <w:sz w:val="17"/>
              </w:rPr>
              <w:t xml:space="preserve">Definition</w:t>
            </w:r>
          </w:p>
        </w:tc>
        <w:tc>
          <w:tcPr>
            <w:shd w:fill="132338"/>
          </w:tcPr>
          <w:p>
            <w:pPr>
              <w:pStyle w:val="Compact"/>
            </w:pPr>
            <w:r>
              <w:rPr>
                <w:rFonts w:ascii="Public Sans" w:hAnsi="Public Sans" w:eastAsia="Public Sans"/>
                <w:b/>
                <w:color w:val="FFFFFF"/>
                <w:sz w:val="17"/>
              </w:rPr>
              <w:t xml:space="preserve">Delivered through</w:t>
            </w:r>
          </w:p>
        </w:tc>
      </w:tr>
      <w:tr>
        <w:trPr>
          <w:cantSplit/>
        </w:trPr>
        <w:tc>
          <w:tcPr/>
          <w:p>
            <w:pPr>
              <w:pStyle w:val="Compact"/>
            </w:pPr>
            <w:r>
              <w:t xml:space="preserve">Visible</w:t>
            </w:r>
          </w:p>
        </w:tc>
        <w:tc>
          <w:tcPr/>
          <w:p>
            <w:pPr>
              <w:pStyle w:val="Compact"/>
            </w:pPr>
            <w:r>
              <w:t xml:space="preserve">The collection renders as covers, spines, shelves, and metadata across multiple browsing modes, so the reader sees a library rather than a list of file names.</w:t>
            </w:r>
          </w:p>
        </w:tc>
        <w:tc>
          <w:tcPr/>
          <w:p>
            <w:pPr>
              <w:pStyle w:val="Compact"/>
            </w:pPr>
            <w:r>
              <w:t xml:space="preserve">3D shelf, grid, list, and directory views; covers and spine textures; full metadata inspection.</w:t>
            </w:r>
          </w:p>
        </w:tc>
      </w:tr>
      <w:tr>
        <w:trPr>
          <w:cantSplit/>
        </w:trPr>
        <w:tc>
          <w:tcPr/>
          <w:p>
            <w:pPr>
              <w:pStyle w:val="Compact"/>
            </w:pPr>
            <w:r>
              <w:t xml:space="preserve">Usable</w:t>
            </w:r>
          </w:p>
        </w:tc>
        <w:tc>
          <w:tcPr/>
          <w:p>
            <w:pPr>
              <w:pStyle w:val="Compact"/>
            </w:pPr>
            <w:r>
              <w:t xml:space="preserve">The reader resumes, navigates, annotates, searches, and measures reading without remembering file paths — alone or as an enrolled classroom profile.</w:t>
            </w:r>
          </w:p>
        </w:tc>
        <w:tc>
          <w:tcPr/>
          <w:p>
            <w:pPr>
              <w:pStyle w:val="Compact"/>
            </w:pPr>
            <w:r>
              <w:t xml:space="preserve">Reading progress, bookmarks, highlights and notes, search, reading statistics, per-student private state.</w:t>
            </w:r>
          </w:p>
        </w:tc>
      </w:tr>
      <w:tr>
        <w:trPr>
          <w:cantSplit/>
        </w:trPr>
        <w:tc>
          <w:tcPr/>
          <w:p>
            <w:pPr>
              <w:pStyle w:val="Compact"/>
            </w:pPr>
            <w:r>
              <w:t xml:space="preserve">Intelligent</w:t>
            </w:r>
          </w:p>
        </w:tc>
        <w:tc>
          <w:tcPr/>
          <w:p>
            <w:pPr>
              <w:pStyle w:val="Compact"/>
            </w:pPr>
            <w:r>
              <w:t xml:space="preserve">An AI reading advisor recommends books from the reader's</w:t>
            </w:r>
            <w:r>
              <w:t xml:space="preserve"> </w:t>
            </w:r>
            <w:r>
              <w:rPr>
                <w:i/>
                <w:iCs/>
              </w:rPr>
              <w:t xml:space="preserve">own</w:t>
            </w:r>
            <w:r>
              <w:t xml:space="preserve"> </w:t>
            </w:r>
            <w:r>
              <w:t xml:space="preserve">collection (or the school's shared collection), with a stated reason and stated confidence, never as an opaque black box.</w:t>
            </w:r>
          </w:p>
        </w:tc>
        <w:tc>
          <w:tcPr/>
          <w:p>
            <w:pPr>
              <w:pStyle w:val="Compact"/>
            </w:pPr>
            <w:r>
              <w:t xml:space="preserve">Provider-neutral AI gateway, explainable ranked recommendations, reading plans, host-proxied managed AI for classrooms.</w:t>
            </w:r>
          </w:p>
        </w:tc>
      </w:tr>
    </w:tbl>
    <w:bookmarkEnd w:id="18"/>
    <w:bookmarkStart w:id="19" w:name="two-deployment-modes-one-codebase"/>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Two Deployment Modes, One Codebase</w:t>
      </w:r>
    </w:p>
    <w:p>
      <w:pPr>
        <w:pStyle w:val="FirstParagraph"/>
      </w:pPr>
      <w:r>
        <w:t xml:space="preserve">Owner decision D-008 (2026-05-30) fixes the deployment model that shapes every architectural requirement:</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Property</w:t>
            </w:r>
          </w:p>
        </w:tc>
        <w:tc>
          <w:tcPr>
            <w:shd w:fill="132338"/>
          </w:tcPr>
          <w:p>
            <w:pPr>
              <w:pStyle w:val="Compact"/>
            </w:pPr>
            <w:r>
              <w:rPr>
                <w:rFonts w:ascii="Public Sans" w:hAnsi="Public Sans" w:eastAsia="Public Sans"/>
                <w:b/>
                <w:color w:val="FFFFFF"/>
                <w:sz w:val="17"/>
              </w:rPr>
              <w:t xml:space="preserve">Standalone (home, MVP default)</w:t>
            </w:r>
          </w:p>
        </w:tc>
        <w:tc>
          <w:tcPr>
            <w:shd w:fill="132338"/>
          </w:tcPr>
          <w:p>
            <w:pPr>
              <w:pStyle w:val="Compact"/>
            </w:pPr>
            <w:r>
              <w:rPr>
                <w:rFonts w:ascii="Public Sans" w:hAnsi="Public Sans" w:eastAsia="Public Sans"/>
                <w:b/>
                <w:color w:val="FFFFFF"/>
                <w:sz w:val="17"/>
              </w:rPr>
              <w:t xml:space="preserve">Classroom / LAN host (school)</w:t>
            </w:r>
          </w:p>
        </w:tc>
      </w:tr>
      <w:tr>
        <w:trPr>
          <w:cantSplit/>
        </w:trPr>
        <w:tc>
          <w:tcPr/>
          <w:p>
            <w:pPr>
              <w:pStyle w:val="Compact"/>
            </w:pPr>
            <w:r>
              <w:t xml:space="preserve">Login</w:t>
            </w:r>
          </w:p>
        </w:tc>
        <w:tc>
          <w:tcPr/>
          <w:p>
            <w:pPr>
              <w:pStyle w:val="Compact"/>
            </w:pPr>
            <w:r>
              <w:t xml:space="preserve">None — the OS user account is the boundary</w:t>
            </w:r>
          </w:p>
        </w:tc>
        <w:tc>
          <w:tcPr/>
          <w:p>
            <w:pPr>
              <w:pStyle w:val="Compact"/>
            </w:pPr>
            <w:r>
              <w:t xml:space="preserve">Admin-created student/teacher accounts with roles</w:t>
            </w:r>
          </w:p>
        </w:tc>
      </w:tr>
      <w:tr>
        <w:trPr>
          <w:cantSplit/>
        </w:trPr>
        <w:tc>
          <w:tcPr/>
          <w:p>
            <w:pPr>
              <w:pStyle w:val="Compact"/>
            </w:pPr>
            <w:r>
              <w:t xml:space="preserve">AI key</w:t>
            </w:r>
          </w:p>
        </w:tc>
        <w:tc>
          <w:tcPr/>
          <w:p>
            <w:pPr>
              <w:pStyle w:val="Compact"/>
            </w:pPr>
            <w:r>
              <w:t xml:space="preserve">Set by the user, in the local OS credential store</w:t>
            </w:r>
          </w:p>
        </w:tc>
        <w:tc>
          <w:tcPr/>
          <w:p>
            <w:pPr>
              <w:pStyle w:val="Compact"/>
            </w:pPr>
            <w:r>
              <w:t xml:space="preserve">Set by the admin only, in the host's OS credential store; masked after entry; never transmitted to clients</w:t>
            </w:r>
          </w:p>
        </w:tc>
      </w:tr>
      <w:tr>
        <w:trPr>
          <w:cantSplit/>
        </w:trPr>
        <w:tc>
          <w:tcPr/>
          <w:p>
            <w:pPr>
              <w:pStyle w:val="Compact"/>
            </w:pPr>
            <w:r>
              <w:t xml:space="preserve">AI calls</w:t>
            </w:r>
          </w:p>
        </w:tc>
        <w:tc>
          <w:tcPr/>
          <w:p>
            <w:pPr>
              <w:pStyle w:val="Compact"/>
            </w:pPr>
            <w:r>
              <w:t xml:space="preserve">Made by the local app</w:t>
            </w:r>
          </w:p>
        </w:tc>
        <w:tc>
          <w:tcPr/>
          <w:p>
            <w:pPr>
              <w:pStyle w:val="Compact"/>
            </w:pPr>
            <w:r>
              <w:t xml:space="preserve">Proxied by the host — a single egress chokepoint</w:t>
            </w:r>
          </w:p>
        </w:tc>
      </w:tr>
      <w:tr>
        <w:trPr>
          <w:cantSplit/>
        </w:trPr>
        <w:tc>
          <w:tcPr/>
          <w:p>
            <w:pPr>
              <w:pStyle w:val="Compact"/>
            </w:pPr>
            <w:r>
              <w:t xml:space="preserve">Data</w:t>
            </w:r>
          </w:p>
        </w:tc>
        <w:tc>
          <w:tcPr/>
          <w:p>
            <w:pPr>
              <w:pStyle w:val="Compact"/>
            </w:pPr>
            <w:r>
              <w:t xml:space="preserve">Local, per computer</w:t>
            </w:r>
          </w:p>
        </w:tc>
        <w:tc>
          <w:tcPr/>
          <w:p>
            <w:pPr>
              <w:pStyle w:val="Compact"/>
            </w:pPr>
            <w:r>
              <w:t xml:space="preserve">Central on the host; clients cache for offline; the host is the source of truth</w:t>
            </w:r>
          </w:p>
        </w:tc>
      </w:tr>
      <w:tr>
        <w:trPr>
          <w:cantSplit/>
        </w:trPr>
        <w:tc>
          <w:tcPr/>
          <w:p>
            <w:pPr>
              <w:pStyle w:val="Compact"/>
            </w:pPr>
            <w:r>
              <w:t xml:space="preserve">Network surface</w:t>
            </w:r>
          </w:p>
        </w:tc>
        <w:tc>
          <w:tcPr/>
          <w:p>
            <w:pPr>
              <w:pStyle w:val="Compact"/>
            </w:pPr>
            <w:r>
              <w:t xml:space="preserve">No inbound listener</w:t>
            </w:r>
          </w:p>
        </w:tc>
        <w:tc>
          <w:tcPr/>
          <w:p>
            <w:pPr>
              <w:pStyle w:val="Compact"/>
            </w:pPr>
            <w:r>
              <w:t xml:space="preserve">LAN only; no inbound internet listener; internet/remote access out of scope until post-V2, behind a fresh DPIA</w:t>
            </w:r>
          </w:p>
        </w:tc>
      </w:tr>
    </w:tbl>
    <w:bookmarkEnd w:id="19"/>
    <w:bookmarkStart w:id="20" w:name="the-seven-product-principles"/>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The Seven Product Principles</w:t>
      </w:r>
    </w:p>
    <w:p>
      <w:pPr>
        <w:pStyle w:val="FirstParagraph"/>
      </w:pPr>
      <w:r>
        <w:t xml:space="preserve">These principles are binding design constraints. Every requirement in the SRS is checked against them, and a requirement that violates one is rejected at the verification gate.</w:t>
      </w:r>
    </w:p>
    <w:p>
      <w:pPr>
        <w:pStyle w:val="Compact"/>
        <w:numPr>
          <w:ilvl w:val="0"/>
          <w:numId w:val="1002"/>
        </w:numPr>
      </w:pPr>
      <w:r>
        <w:rPr>
          <w:b/>
          <w:bCs/>
        </w:rPr>
        <w:t xml:space="preserve">Local-first by default.</w:t>
      </w:r>
      <w:r>
        <w:t xml:space="preserve"> </w:t>
      </w:r>
      <w:r>
        <w:t xml:space="preserve">The catalogue, reading state, annotations, thumbnails, and indexes live on the user's machine (or the school's host) unless the user explicitly opts into off-device transmission. The default install transmits 0 bytes off-device.</w:t>
      </w:r>
    </w:p>
    <w:p>
      <w:pPr>
        <w:pStyle w:val="Compact"/>
        <w:numPr>
          <w:ilvl w:val="0"/>
          <w:numId w:val="1002"/>
        </w:numPr>
      </w:pPr>
      <w:r>
        <w:rPr>
          <w:b/>
          <w:bCs/>
        </w:rPr>
        <w:t xml:space="preserve">AI is explainable.</w:t>
      </w:r>
      <w:r>
        <w:t xml:space="preserve"> </w:t>
      </w:r>
      <w:r>
        <w:t xml:space="preserve">Every recommendation states why a book matched, which metadata or content supported the match, and the system's confidence. An AI output with no stated rationale is a defect, not a feature.</w:t>
      </w:r>
    </w:p>
    <w:p>
      <w:pPr>
        <w:pStyle w:val="Compact"/>
        <w:numPr>
          <w:ilvl w:val="0"/>
          <w:numId w:val="1002"/>
        </w:numPr>
      </w:pPr>
      <w:r>
        <w:rPr>
          <w:b/>
          <w:bCs/>
        </w:rPr>
        <w:t xml:space="preserve">Files remain the user's files.</w:t>
      </w:r>
      <w:r>
        <w:t xml:space="preserve"> </w:t>
      </w:r>
      <w:r>
        <w:t xml:space="preserve">Ogma augments the folder with a</w:t>
      </w:r>
      <w:r>
        <w:t xml:space="preserve"> </w:t>
      </w:r>
      <w:r>
        <w:rPr>
          <w:i/>
          <w:iCs/>
        </w:rPr>
        <w:t xml:space="preserve">catalogue of record</w:t>
      </w:r>
      <w:r>
        <w:t xml:space="preserve">; it never replaces the folder, never moves files without consent, and never locks books into a proprietary container. Classroom clients never mutate host files or host metadata (FR-CLIENT-010).</w:t>
      </w:r>
    </w:p>
    <w:p>
      <w:pPr>
        <w:pStyle w:val="Compact"/>
        <w:numPr>
          <w:ilvl w:val="0"/>
          <w:numId w:val="1002"/>
        </w:numPr>
      </w:pPr>
      <w:r>
        <w:rPr>
          <w:b/>
          <w:bCs/>
        </w:rPr>
        <w:t xml:space="preserve">Metadata is reversible.</w:t>
      </w:r>
      <w:r>
        <w:t xml:space="preserve"> </w:t>
      </w:r>
      <w:r>
        <w:t xml:space="preserve">Any write-back to a PDF first creates a backup, shows a field-level diff, and permits restore (FR-META-005). A destructive operation with no restore path is prohibited — the pattern is backup, diff, verify, restore.</w:t>
      </w:r>
    </w:p>
    <w:p>
      <w:pPr>
        <w:pStyle w:val="Compact"/>
        <w:numPr>
          <w:ilvl w:val="0"/>
          <w:numId w:val="1002"/>
        </w:numPr>
      </w:pPr>
      <w:r>
        <w:rPr>
          <w:b/>
          <w:bCs/>
        </w:rPr>
        <w:t xml:space="preserve">3D is functional, not gimmick.</w:t>
      </w:r>
      <w:r>
        <w:t xml:space="preserve"> </w:t>
      </w:r>
      <w:r>
        <w:t xml:space="preserve">The 3D shelf exists to aid discovery and spatial memory. Grid and list views remain first-class; no capability is reachable</w:t>
      </w:r>
      <w:r>
        <w:t xml:space="preserve"> </w:t>
      </w:r>
      <w:r>
        <w:rPr>
          <w:i/>
          <w:iCs/>
        </w:rPr>
        <w:t xml:space="preserve">only</w:t>
      </w:r>
      <w:r>
        <w:t xml:space="preserve"> </w:t>
      </w:r>
      <w:r>
        <w:t xml:space="preserve">through the 3D view, and an accessible fallback exists.</w:t>
      </w:r>
    </w:p>
    <w:p>
      <w:pPr>
        <w:pStyle w:val="Compact"/>
        <w:numPr>
          <w:ilvl w:val="0"/>
          <w:numId w:val="1002"/>
        </w:numPr>
      </w:pPr>
      <w:r>
        <w:rPr>
          <w:b/>
          <w:bCs/>
        </w:rPr>
        <w:t xml:space="preserve">Offline remains useful.</w:t>
      </w:r>
      <w:r>
        <w:t xml:space="preserve"> </w:t>
      </w:r>
      <w:r>
        <w:t xml:space="preserve">Reading, browsing, metadata editing, search, and local AI operate without an internet connection wherever technically possible. A classroom client that loses its host keeps local reading state and re-syncs on reconnect (FR-LAN-008, FR-CLIENT-011).</w:t>
      </w:r>
    </w:p>
    <w:p>
      <w:pPr>
        <w:pStyle w:val="Compact"/>
        <w:numPr>
          <w:ilvl w:val="0"/>
          <w:numId w:val="1002"/>
        </w:numPr>
      </w:pPr>
      <w:r>
        <w:rPr>
          <w:b/>
          <w:bCs/>
        </w:rPr>
        <w:t xml:space="preserve">Premium means calm control.</w:t>
      </w:r>
      <w:r>
        <w:t xml:space="preserve"> </w:t>
      </w:r>
      <w:r>
        <w:t xml:space="preserve">The product feels refined rather than busy and makes a large collection less intimidating rather than more. Premium is expressed as the measurable thresholds in Section 7 and the FR-UX group, never as marketing language.</w:t>
      </w:r>
    </w:p>
    <w:bookmarkEnd w:id="20"/>
    <w:bookmarkStart w:id="21" w:name="baseline-v20-construction-principles"/>
    <w:p>
      <w:pPr>
        <w:pStyle w:val="Heading2"/>
      </w:pPr>
      <w:r>
        <w:rPr>
          <w:rStyle w:val="SectionNumber"/>
          <w:rFonts w:ascii="Spectral" w:hAnsi="Spectral" w:eastAsia="Spectral"/>
          <w:color w:val="132338"/>
        </w:rPr>
        <w:t xml:space="preserve">4.5</w:t>
      </w:r>
      <w:r>
        <w:rPr>
          <w:rFonts w:ascii="Spectral" w:hAnsi="Spectral" w:eastAsia="Spectral"/>
          <w:color w:val="132338"/>
        </w:rPr>
        <w:tab/>
      </w:r>
      <w:r>
        <w:rPr>
          <w:rFonts w:ascii="Spectral" w:hAnsi="Spectral" w:eastAsia="Spectral"/>
          <w:color w:val="132338"/>
        </w:rPr>
        <w:t xml:space="preserve">Baseline v2.0 Construction Principles</w:t>
      </w:r>
    </w:p>
    <w:p>
      <w:pPr>
        <w:pStyle w:val="FirstParagraph"/>
      </w:pPr>
      <w:r>
        <w:t xml:space="preserve">The grand plan (codebase</w:t>
      </w:r>
      <w:r>
        <w:t xml:space="preserve"> </w:t>
      </w:r>
      <w:r>
        <w:rPr>
          <w:rStyle w:val="VerbatimChar"/>
        </w:rPr>
        <w:t xml:space="preserve">docs/plans/grand-plan/README.md</w:t>
      </w:r>
      <w:r>
        <w:t xml:space="preserve"> </w:t>
      </w:r>
      <w:r>
        <w:t xml:space="preserve">§2) binds four further principles that baseline v2.0 adopts:</w:t>
      </w:r>
    </w:p>
    <w:p>
      <w:pPr>
        <w:pStyle w:val="Compact"/>
        <w:numPr>
          <w:ilvl w:val="0"/>
          <w:numId w:val="1003"/>
        </w:numPr>
      </w:pPr>
      <w:r>
        <w:rPr>
          <w:b/>
          <w:bCs/>
        </w:rPr>
        <w:t xml:space="preserve">Multilingual by construction.</w:t>
      </w:r>
      <w:r>
        <w:t xml:space="preserve"> </w:t>
      </w:r>
      <w:r>
        <w:t xml:space="preserve">No hard-coded user-facing string (lint-gated, pseudolocale-tested). MVP ships full English + French (FR-UX-004); Spanish, Italian, and German complete the launch scope at Phase 21.</w:t>
      </w:r>
    </w:p>
    <w:p>
      <w:pPr>
        <w:pStyle w:val="Compact"/>
        <w:numPr>
          <w:ilvl w:val="0"/>
          <w:numId w:val="1003"/>
        </w:numPr>
      </w:pPr>
      <w:r>
        <w:rPr>
          <w:b/>
          <w:bCs/>
        </w:rPr>
        <w:t xml:space="preserve">Beautiful and iconified.</w:t>
      </w:r>
      <w:r>
        <w:t xml:space="preserve"> </w:t>
      </w:r>
      <w:r>
        <w:t xml:space="preserve">Every primary surface carries an icon from the flat full-color premium icon system (owner decisions D-001, D-004, D-005: SVG masters from Flaticon Premium, PNG exports at 16/24/32/48 px). Icons always pair with a localized text/aria label; color is never the sole carrier of meaning.</w:t>
      </w:r>
    </w:p>
    <w:p>
      <w:pPr>
        <w:pStyle w:val="Compact"/>
        <w:numPr>
          <w:ilvl w:val="0"/>
          <w:numId w:val="1003"/>
        </w:numPr>
      </w:pPr>
      <w:r>
        <w:rPr>
          <w:b/>
          <w:bCs/>
        </w:rPr>
        <w:t xml:space="preserve">Accessible as a gate.</w:t>
      </w:r>
      <w:r>
        <w:t xml:space="preserve"> </w:t>
      </w:r>
      <w:r>
        <w:t xml:space="preserve">WCAG 2.2 Level AA — keyboard and screen-reader operability of all core flows (FR-UX-005) — is a release gate audited at Phase 21, not an aspiration.</w:t>
      </w:r>
    </w:p>
    <w:p>
      <w:pPr>
        <w:pStyle w:val="Compact"/>
        <w:numPr>
          <w:ilvl w:val="0"/>
          <w:numId w:val="1003"/>
        </w:numPr>
      </w:pPr>
      <w:r>
        <w:rPr>
          <w:b/>
          <w:bCs/>
        </w:rPr>
        <w:t xml:space="preserve">Everything is tested.</w:t>
      </w:r>
      <w:r>
        <w:t xml:space="preserve"> </w:t>
      </w:r>
      <w:r>
        <w:t xml:space="preserve">Each phase carries unit, integration, fault-injection, performance, and accessibility tests asserted against a fully synthetic golden corpus (owner decision D-007/CON-9); the codebase currently holds 800 executed automated cases in the 2026-08-13 canonical Release run across unit, headless-UI, and architecture layers.</w:t>
      </w:r>
    </w:p>
    <w:bookmarkEnd w:id="21"/>
    <w:bookmarkEnd w:id="22"/>
    <w:bookmarkStart w:id="34" w:name="personas-and-jobs-to-be-done"/>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Personas and Jobs to Be Done</w:t>
      </w:r>
    </w:p>
    <w:p>
      <w:pPr>
        <w:pStyle w:val="FirstParagraph"/>
      </w:pPr>
      <w:r>
        <w:t xml:space="preserve">Ogma Library serves 8 primary personas. The first three derive from the input specification; the next two expose design requirements a premium product must satisfy; the last three are the classroom personas added by the baseline v2.0 scope expansion. Each persona is defined by a primary job, a single measurable success signal, and the critical features that must exist for the persona to succeed. Section 8 grounds each success signal in a numeric threshold.</w:t>
      </w:r>
    </w:p>
    <w:bookmarkStart w:id="23" w:name="persona-summary"/>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Persona Summary</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Persona</w:t>
            </w:r>
          </w:p>
        </w:tc>
        <w:tc>
          <w:tcPr>
            <w:shd w:fill="132338"/>
          </w:tcPr>
          <w:p>
            <w:pPr>
              <w:pStyle w:val="Compact"/>
            </w:pPr>
            <w:r>
              <w:rPr>
                <w:rFonts w:ascii="Public Sans" w:hAnsi="Public Sans" w:eastAsia="Public Sans"/>
                <w:b/>
                <w:color w:val="FFFFFF"/>
                <w:sz w:val="17"/>
              </w:rPr>
              <w:t xml:space="preserve">Primary job</w:t>
            </w:r>
          </w:p>
        </w:tc>
        <w:tc>
          <w:tcPr>
            <w:shd w:fill="132338"/>
          </w:tcPr>
          <w:p>
            <w:pPr>
              <w:pStyle w:val="Compact"/>
            </w:pPr>
            <w:r>
              <w:rPr>
                <w:rFonts w:ascii="Public Sans" w:hAnsi="Public Sans" w:eastAsia="Public Sans"/>
                <w:b/>
                <w:color w:val="FFFFFF"/>
                <w:sz w:val="17"/>
              </w:rPr>
              <w:t xml:space="preserve">Product success signal</w:t>
            </w:r>
          </w:p>
        </w:tc>
        <w:tc>
          <w:tcPr>
            <w:shd w:fill="132338"/>
          </w:tcPr>
          <w:p>
            <w:pPr>
              <w:pStyle w:val="Compact"/>
            </w:pPr>
            <w:r>
              <w:rPr>
                <w:rFonts w:ascii="Public Sans" w:hAnsi="Public Sans" w:eastAsia="Public Sans"/>
                <w:b/>
                <w:color w:val="FFFFFF"/>
                <w:sz w:val="17"/>
              </w:rPr>
              <w:t xml:space="preserve">Critical features</w:t>
            </w:r>
          </w:p>
        </w:tc>
      </w:tr>
      <w:tr>
        <w:trPr>
          <w:cantSplit/>
        </w:trPr>
        <w:tc>
          <w:tcPr/>
          <w:p>
            <w:pPr>
              <w:pStyle w:val="Compact"/>
            </w:pPr>
            <w:r>
              <w:t xml:space="preserve">Serious reader</w:t>
            </w:r>
          </w:p>
        </w:tc>
        <w:tc>
          <w:tcPr/>
          <w:p>
            <w:pPr>
              <w:pStyle w:val="Compact"/>
            </w:pPr>
            <w:r>
              <w:t xml:space="preserve">Re-discover and continue books accumulated over years</w:t>
            </w:r>
          </w:p>
        </w:tc>
        <w:tc>
          <w:tcPr/>
          <w:p>
            <w:pPr>
              <w:pStyle w:val="Compact"/>
            </w:pPr>
            <w:r>
              <w:t xml:space="preserve">Can find, resume, and browse books without remembering file names</w:t>
            </w:r>
          </w:p>
        </w:tc>
        <w:tc>
          <w:tcPr/>
          <w:p>
            <w:pPr>
              <w:pStyle w:val="Compact"/>
            </w:pPr>
            <w:r>
              <w:t xml:space="preserve">3D shelf, grid view, reading progress, virtual shelves, reading statistics</w:t>
            </w:r>
          </w:p>
        </w:tc>
      </w:tr>
      <w:tr>
        <w:trPr>
          <w:cantSplit/>
        </w:trPr>
        <w:tc>
          <w:tcPr/>
          <w:p>
            <w:pPr>
              <w:pStyle w:val="Compact"/>
            </w:pPr>
            <w:r>
              <w:t xml:space="preserve">Researcher</w:t>
            </w:r>
          </w:p>
        </w:tc>
        <w:tc>
          <w:tcPr/>
          <w:p>
            <w:pPr>
              <w:pStyle w:val="Compact"/>
            </w:pPr>
            <w:r>
              <w:t xml:space="preserve">Find the right document for a topic or question</w:t>
            </w:r>
          </w:p>
        </w:tc>
        <w:tc>
          <w:tcPr/>
          <w:p>
            <w:pPr>
              <w:pStyle w:val="Compact"/>
            </w:pPr>
            <w:r>
              <w:t xml:space="preserve">Can move from intent to relevant source in seconds</w:t>
            </w:r>
          </w:p>
        </w:tc>
        <w:tc>
          <w:tcPr/>
          <w:p>
            <w:pPr>
              <w:pStyle w:val="Compact"/>
            </w:pPr>
            <w:r>
              <w:t xml:space="preserve">Full-text search, semantic search, AI advisor, annotations, citation export</w:t>
            </w:r>
          </w:p>
        </w:tc>
      </w:tr>
      <w:tr>
        <w:trPr>
          <w:cantSplit/>
        </w:trPr>
        <w:tc>
          <w:tcPr/>
          <w:p>
            <w:pPr>
              <w:pStyle w:val="Compact"/>
            </w:pPr>
            <w:r>
              <w:t xml:space="preserve">Collector</w:t>
            </w:r>
          </w:p>
        </w:tc>
        <w:tc>
          <w:tcPr/>
          <w:p>
            <w:pPr>
              <w:pStyle w:val="Compact"/>
            </w:pPr>
            <w:r>
              <w:t xml:space="preserve">Correct and preserve metadata</w:t>
            </w:r>
          </w:p>
        </w:tc>
        <w:tc>
          <w:tcPr/>
          <w:p>
            <w:pPr>
              <w:pStyle w:val="Compact"/>
            </w:pPr>
            <w:r>
              <w:t xml:space="preserve">Can repair, enrich, export, and write metadata safely</w:t>
            </w:r>
          </w:p>
        </w:tc>
        <w:tc>
          <w:tcPr/>
          <w:p>
            <w:pPr>
              <w:pStyle w:val="Compact"/>
            </w:pPr>
            <w:r>
              <w:t xml:space="preserve">ISBN detection, Google Books / Open Library lookup, metadata editor, backups</w:t>
            </w:r>
          </w:p>
        </w:tc>
      </w:tr>
      <w:tr>
        <w:trPr>
          <w:cantSplit/>
        </w:trPr>
        <w:tc>
          <w:tcPr/>
          <w:p>
            <w:pPr>
              <w:pStyle w:val="Compact"/>
            </w:pPr>
            <w:r>
              <w:t xml:space="preserve">Power librarian</w:t>
            </w:r>
          </w:p>
        </w:tc>
        <w:tc>
          <w:tcPr/>
          <w:p>
            <w:pPr>
              <w:pStyle w:val="Compact"/>
            </w:pPr>
            <w:r>
              <w:t xml:space="preserve">Maintain a large collection over time</w:t>
            </w:r>
          </w:p>
        </w:tc>
        <w:tc>
          <w:tcPr/>
          <w:p>
            <w:pPr>
              <w:pStyle w:val="Compact"/>
            </w:pPr>
            <w:r>
              <w:t xml:space="preserve">Can audit duplicates, missing metadata, unavailable files, and broken covers</w:t>
            </w:r>
          </w:p>
        </w:tc>
        <w:tc>
          <w:tcPr/>
          <w:p>
            <w:pPr>
              <w:pStyle w:val="Compact"/>
            </w:pPr>
            <w:r>
              <w:t xml:space="preserve">Library health dashboard, duplicate detection, batch jobs</w:t>
            </w:r>
          </w:p>
        </w:tc>
      </w:tr>
      <w:tr>
        <w:trPr>
          <w:cantSplit/>
        </w:trPr>
        <w:tc>
          <w:tcPr/>
          <w:p>
            <w:pPr>
              <w:pStyle w:val="Compact"/>
            </w:pPr>
            <w:r>
              <w:t xml:space="preserve">Privacy-sensitive user</w:t>
            </w:r>
          </w:p>
        </w:tc>
        <w:tc>
          <w:tcPr/>
          <w:p>
            <w:pPr>
              <w:pStyle w:val="Compact"/>
            </w:pPr>
            <w:r>
              <w:t xml:space="preserve">Use AI without exposing documents unnecessarily</w:t>
            </w:r>
          </w:p>
        </w:tc>
        <w:tc>
          <w:tcPr/>
          <w:p>
            <w:pPr>
              <w:pStyle w:val="Compact"/>
            </w:pPr>
            <w:r>
              <w:t xml:space="preserve">Can choose local-only or metadata-only AI modes</w:t>
            </w:r>
          </w:p>
        </w:tc>
        <w:tc>
          <w:tcPr/>
          <w:p>
            <w:pPr>
              <w:pStyle w:val="Compact"/>
            </w:pPr>
            <w:r>
              <w:t xml:space="preserve">Privacy tiers, payload preview, local embeddings, explicit content-upload controls</w:t>
            </w:r>
          </w:p>
        </w:tc>
      </w:tr>
      <w:tr>
        <w:trPr>
          <w:cantSplit/>
        </w:trPr>
        <w:tc>
          <w:tcPr/>
          <w:p>
            <w:pPr>
              <w:pStyle w:val="Compact"/>
            </w:pPr>
            <w:r>
              <w:t xml:space="preserve">Student (classroom client)</w:t>
            </w:r>
          </w:p>
        </w:tc>
        <w:tc>
          <w:tcPr/>
          <w:p>
            <w:pPr>
              <w:pStyle w:val="Compact"/>
            </w:pPr>
            <w:r>
              <w:t xml:space="preserve">Read and search the school's shared collection from any LAN computer</w:t>
            </w:r>
          </w:p>
        </w:tc>
        <w:tc>
          <w:tcPr/>
          <w:p>
            <w:pPr>
              <w:pStyle w:val="Compact"/>
            </w:pPr>
            <w:r>
              <w:t xml:space="preserve">Can join with a code, read a streamed book, and keep private notes</w:t>
            </w:r>
          </w:p>
        </w:tc>
        <w:tc>
          <w:tcPr/>
          <w:p>
            <w:pPr>
              <w:pStyle w:val="Compact"/>
            </w:pPr>
            <w:r>
              <w:t xml:space="preserve">Classroom join, streamed reading, private per-profile state, explainable AI search</w:t>
            </w:r>
          </w:p>
        </w:tc>
      </w:tr>
      <w:tr>
        <w:trPr>
          <w:cantSplit/>
        </w:trPr>
        <w:tc>
          <w:tcPr/>
          <w:p>
            <w:pPr>
              <w:pStyle w:val="Compact"/>
            </w:pPr>
            <w:r>
              <w:t xml:space="preserve">Teacher</w:t>
            </w:r>
          </w:p>
        </w:tc>
        <w:tc>
          <w:tcPr/>
          <w:p>
            <w:pPr>
              <w:pStyle w:val="Compact"/>
            </w:pPr>
            <w:r>
              <w:t xml:space="preserve">Guide a class through a shared collection</w:t>
            </w:r>
          </w:p>
        </w:tc>
        <w:tc>
          <w:tcPr/>
          <w:p>
            <w:pPr>
              <w:pStyle w:val="Compact"/>
            </w:pPr>
            <w:r>
              <w:t xml:space="preserve">Can see class-level reading dashboards and assign shelves</w:t>
            </w:r>
          </w:p>
        </w:tc>
        <w:tc>
          <w:tcPr/>
          <w:p>
            <w:pPr>
              <w:pStyle w:val="Compact"/>
            </w:pPr>
            <w:r>
              <w:t xml:space="preserve">Shared shelves, class dashboards, role-scoped access</w:t>
            </w:r>
          </w:p>
        </w:tc>
      </w:tr>
      <w:tr>
        <w:trPr>
          <w:cantSplit/>
        </w:trPr>
        <w:tc>
          <w:tcPr/>
          <w:p>
            <w:pPr>
              <w:pStyle w:val="Compact"/>
            </w:pPr>
            <w:r>
              <w:t xml:space="preserve">School administrator</w:t>
            </w:r>
          </w:p>
        </w:tc>
        <w:tc>
          <w:tcPr/>
          <w:p>
            <w:pPr>
              <w:pStyle w:val="Compact"/>
            </w:pPr>
            <w:r>
              <w:t xml:space="preserve">Operate the shared library and control AI spend and privacy</w:t>
            </w:r>
          </w:p>
        </w:tc>
        <w:tc>
          <w:tcPr/>
          <w:p>
            <w:pPr>
              <w:pStyle w:val="Compact"/>
            </w:pPr>
            <w:r>
              <w:t xml:space="preserve">Can publish content, enroll/revoke profiles, set AI quotas and tiers, audit usage</w:t>
            </w:r>
          </w:p>
        </w:tc>
        <w:tc>
          <w:tcPr/>
          <w:p>
            <w:pPr>
              <w:pStyle w:val="Compact"/>
            </w:pPr>
            <w:r>
              <w:t xml:space="preserve">Host mode, entitlements, managed AI keys, quotas, audit export</w:t>
            </w:r>
          </w:p>
        </w:tc>
      </w:tr>
    </w:tbl>
    <w:bookmarkEnd w:id="23"/>
    <w:bookmarkStart w:id="32" w:name="persona-narratives"/>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Persona Narratives</w:t>
      </w:r>
    </w:p>
    <w:bookmarkStart w:id="24" w:name="serious-reader"/>
    <w:p>
      <w:pPr>
        <w:pStyle w:val="Heading3"/>
      </w:pPr>
      <w:r>
        <w:rPr>
          <w:rStyle w:val="SectionNumber"/>
          <w:rFonts w:ascii="Spectral" w:hAnsi="Spectral" w:eastAsia="Spectral"/>
          <w:color w:val="132338"/>
        </w:rPr>
        <w:t xml:space="preserve">5.2.1</w:t>
      </w:r>
      <w:r>
        <w:rPr>
          <w:rFonts w:ascii="Spectral" w:hAnsi="Spectral" w:eastAsia="Spectral"/>
          <w:color w:val="132338"/>
        </w:rPr>
        <w:tab/>
      </w:r>
      <w:r>
        <w:rPr>
          <w:rFonts w:ascii="Spectral" w:hAnsi="Spectral" w:eastAsia="Spectral"/>
          <w:color w:val="132338"/>
        </w:rPr>
        <w:t xml:space="preserve">Serious Reader</w:t>
      </w:r>
    </w:p>
    <w:p>
      <w:pPr>
        <w:pStyle w:val="FirstParagraph"/>
      </w:pPr>
      <w:r>
        <w:t xml:space="preserve">The serious reader has a folder of books built over many years and reads across several at once. Their failure mode is forgetting what they own and where they stopped. They succeed when they open Ogma, see their library as covers and spines, recognise a book on sight, and resume it at the exact page and scroll position they left. FR-UX-007 makes this a scripted, measured journey: locate a known book and resume reading within 60 s of app launch on reference hardware. The 3D shelf and grid view make the collection recognisable; reading progress and bookmarks make every book resumable; virtual shelves and reading statistics let them shape and reflect on their habit.</w:t>
      </w:r>
    </w:p>
    <w:bookmarkEnd w:id="24"/>
    <w:bookmarkStart w:id="25" w:name="researcher"/>
    <w:p>
      <w:pPr>
        <w:pStyle w:val="Heading3"/>
      </w:pPr>
      <w:r>
        <w:rPr>
          <w:rStyle w:val="SectionNumber"/>
          <w:rFonts w:ascii="Spectral" w:hAnsi="Spectral" w:eastAsia="Spectral"/>
          <w:color w:val="132338"/>
        </w:rPr>
        <w:t xml:space="preserve">5.2.2</w:t>
      </w:r>
      <w:r>
        <w:rPr>
          <w:rFonts w:ascii="Spectral" w:hAnsi="Spectral" w:eastAsia="Spectral"/>
          <w:color w:val="132338"/>
        </w:rPr>
        <w:tab/>
      </w:r>
      <w:r>
        <w:rPr>
          <w:rFonts w:ascii="Spectral" w:hAnsi="Spectral" w:eastAsia="Spectral"/>
          <w:color w:val="132338"/>
        </w:rPr>
        <w:t xml:space="preserve">Researcher</w:t>
      </w:r>
    </w:p>
    <w:p>
      <w:pPr>
        <w:pStyle w:val="FirstParagraph"/>
      </w:pPr>
      <w:r>
        <w:t xml:space="preserve">The researcher arrives with a question, not a file name. They succeed when typing a natural-language query surfaces the right document — by title, by a note they wrote, by a passage in the text, or by semantic similarity — and when the result explains</w:t>
      </w:r>
      <w:r>
        <w:t xml:space="preserve"> </w:t>
      </w:r>
      <w:r>
        <w:rPr>
          <w:i/>
          <w:iCs/>
        </w:rPr>
        <w:t xml:space="preserve">where</w:t>
      </w:r>
      <w:r>
        <w:t xml:space="preserve"> </w:t>
      </w:r>
      <w:r>
        <w:t xml:space="preserve">it matched (FR-SEARCH-003). Full-text search, semantic search, the AI advisor, durable annotations, and citation export to BibTeX, RIS, and CSL JSON (FR-READ-013) are critical; without them the researcher's intent-to-source latency stays in minutes. Their signals are the 150 ms metadata-search and 500 ms full-text-search budgets (NFR-OGMA-003, NFR-OGMA-004) in Section 8.</w:t>
      </w:r>
    </w:p>
    <w:bookmarkEnd w:id="25"/>
    <w:bookmarkStart w:id="26" w:name="collector"/>
    <w:p>
      <w:pPr>
        <w:pStyle w:val="Heading3"/>
      </w:pPr>
      <w:r>
        <w:rPr>
          <w:rStyle w:val="SectionNumber"/>
          <w:rFonts w:ascii="Spectral" w:hAnsi="Spectral" w:eastAsia="Spectral"/>
          <w:color w:val="132338"/>
        </w:rPr>
        <w:t xml:space="preserve">5.2.3</w:t>
      </w:r>
      <w:r>
        <w:rPr>
          <w:rFonts w:ascii="Spectral" w:hAnsi="Spectral" w:eastAsia="Spectral"/>
          <w:color w:val="132338"/>
        </w:rPr>
        <w:tab/>
      </w:r>
      <w:r>
        <w:rPr>
          <w:rFonts w:ascii="Spectral" w:hAnsi="Spectral" w:eastAsia="Spectral"/>
          <w:color w:val="132338"/>
        </w:rPr>
        <w:t xml:space="preserve">Collector</w:t>
      </w:r>
    </w:p>
    <w:p>
      <w:pPr>
        <w:pStyle w:val="FirstParagraph"/>
      </w:pPr>
      <w:r>
        <w:t xml:space="preserve">The collector cares that each book carries a correct title, author, cover, and identifier, and that fixing one file never corrupts it. They succeed when Ogma detects an</w:t>
      </w:r>
      <w:r>
        <w:t xml:space="preserve"> </w:t>
      </w:r>
      <w:r>
        <w:rPr>
          <w:i/>
          <w:iCs/>
        </w:rPr>
        <w:t xml:space="preserve">International Standard Book Number</w:t>
      </w:r>
      <w:r>
        <w:t xml:space="preserve"> </w:t>
      </w:r>
      <w:r>
        <w:t xml:space="preserve">(ISBN), looks it up against Google Books and Open Library, proposes a reviewable merge with per-field provenance, and — only on confirmation — writes metadata back to the PDF after creating a backup and showing a field-level diff (FR-META-005). The collector's trust depends on reversibility; a single irreversible corruption breaks the relationship permanently, which is why write-back reversibility is a 100% gate in Section 8.</w:t>
      </w:r>
    </w:p>
    <w:bookmarkEnd w:id="26"/>
    <w:bookmarkStart w:id="27" w:name="power-librarian"/>
    <w:p>
      <w:pPr>
        <w:pStyle w:val="Heading3"/>
      </w:pPr>
      <w:r>
        <w:rPr>
          <w:rStyle w:val="SectionNumber"/>
          <w:rFonts w:ascii="Spectral" w:hAnsi="Spectral" w:eastAsia="Spectral"/>
          <w:color w:val="132338"/>
        </w:rPr>
        <w:t xml:space="preserve">5.2.4</w:t>
      </w:r>
      <w:r>
        <w:rPr>
          <w:rFonts w:ascii="Spectral" w:hAnsi="Spectral" w:eastAsia="Spectral"/>
          <w:color w:val="132338"/>
        </w:rPr>
        <w:tab/>
      </w:r>
      <w:r>
        <w:rPr>
          <w:rFonts w:ascii="Spectral" w:hAnsi="Spectral" w:eastAsia="Spectral"/>
          <w:color w:val="132338"/>
        </w:rPr>
        <w:t xml:space="preserve">Power Librarian</w:t>
      </w:r>
    </w:p>
    <w:p>
      <w:pPr>
        <w:pStyle w:val="FirstParagraph"/>
      </w:pPr>
      <w:r>
        <w:t xml:space="preserve">The power librarian owns a large, living collection and needs a maintenance surface, not just a reader. They succeed when the library health dashboard (FR-META-008) surfaces duplicates, files missing covers or ISBNs, files that have gone unavailable, and failed thumbnail or extraction jobs — and when batch operations fix issues at scale with preview and undo (FR-CAT-005). Smart shelves (FR-CAT-006) and the Work/Edition model (FR-CAT-007) exist for this persona.</w:t>
      </w:r>
    </w:p>
    <w:bookmarkEnd w:id="27"/>
    <w:bookmarkStart w:id="28" w:name="privacy-sensitive-user"/>
    <w:p>
      <w:pPr>
        <w:pStyle w:val="Heading3"/>
      </w:pPr>
      <w:r>
        <w:rPr>
          <w:rStyle w:val="SectionNumber"/>
          <w:rFonts w:ascii="Spectral" w:hAnsi="Spectral" w:eastAsia="Spectral"/>
          <w:color w:val="132338"/>
        </w:rPr>
        <w:t xml:space="preserve">5.2.5</w:t>
      </w:r>
      <w:r>
        <w:rPr>
          <w:rFonts w:ascii="Spectral" w:hAnsi="Spectral" w:eastAsia="Spectral"/>
          <w:color w:val="132338"/>
        </w:rPr>
        <w:tab/>
      </w:r>
      <w:r>
        <w:rPr>
          <w:rFonts w:ascii="Spectral" w:hAnsi="Spectral" w:eastAsia="Spectral"/>
          <w:color w:val="132338"/>
        </w:rPr>
        <w:t xml:space="preserve">Privacy-Sensitive User</w:t>
      </w:r>
    </w:p>
    <w:p>
      <w:pPr>
        <w:pStyle w:val="FirstParagraph"/>
      </w:pPr>
      <w:r>
        <w:t xml:space="preserve">The privacy-sensitive user wants the intelligence of the AI advisor without surrendering their documents. They succeed when the default privacy tier transmits nothing, metadata-only mode is the cloud default (FR-AI-004), content-aware mode is opt-in per library or per query (FR-AI-005), and a</w:t>
      </w:r>
      <w:r>
        <w:t xml:space="preserve"> </w:t>
      </w:r>
      <w:r>
        <w:rPr>
          <w:i/>
          <w:iCs/>
        </w:rPr>
        <w:t xml:space="preserve">payload preview</w:t>
      </w:r>
      <w:r>
        <w:t xml:space="preserve"> </w:t>
      </w:r>
      <w:r>
        <w:t xml:space="preserve">shows the exact data that will leave the device before any off-device call. Local embeddings via Ollama (FR-AI-006) give semantic search with zero cloud upload, and the Privacy Center (FR-AI-011) exposes every provider key, recent call payload, and erasure control on one surface.</w:t>
      </w:r>
    </w:p>
    <w:bookmarkEnd w:id="28"/>
    <w:bookmarkStart w:id="29" w:name="student-classroom-client"/>
    <w:p>
      <w:pPr>
        <w:pStyle w:val="Heading3"/>
      </w:pPr>
      <w:r>
        <w:rPr>
          <w:rStyle w:val="SectionNumber"/>
          <w:rFonts w:ascii="Spectral" w:hAnsi="Spectral" w:eastAsia="Spectral"/>
          <w:color w:val="132338"/>
        </w:rPr>
        <w:t xml:space="preserve">5.2.6</w:t>
      </w:r>
      <w:r>
        <w:rPr>
          <w:rFonts w:ascii="Spectral" w:hAnsi="Spectral" w:eastAsia="Spectral"/>
          <w:color w:val="132338"/>
        </w:rPr>
        <w:tab/>
      </w:r>
      <w:r>
        <w:rPr>
          <w:rFonts w:ascii="Spectral" w:hAnsi="Spectral" w:eastAsia="Spectral"/>
          <w:color w:val="132338"/>
        </w:rPr>
        <w:t xml:space="preserve">Student (Classroom Client)</w:t>
      </w:r>
    </w:p>
    <w:p>
      <w:pPr>
        <w:pStyle w:val="FirstParagraph"/>
      </w:pPr>
      <w:r>
        <w:t xml:space="preserve">The student sits at any computer on the school's network. They succeed when they join the school library with a QR join code (FR-LAN-005), browse the shared catalogue, read a streamed book without needing a full-file copy (FR-CLIENT-004), and keep reading progress, bookmarks, and notes that are private to their own profile — invisible to other students (FR-CLIENT-008). When they use AI search, they see the privacy-tier label and payload preview before anything leaves the device (FR-ADMIN-007), and they can delete their own AI history (FR-ADMIN-012). When the host is down, they keep their local reading state and re-sync on reconnect (FR-CLIENT-011).</w:t>
      </w:r>
    </w:p>
    <w:bookmarkEnd w:id="29"/>
    <w:bookmarkStart w:id="30" w:name="teacher"/>
    <w:p>
      <w:pPr>
        <w:pStyle w:val="Heading3"/>
      </w:pPr>
      <w:r>
        <w:rPr>
          <w:rStyle w:val="SectionNumber"/>
          <w:rFonts w:ascii="Spectral" w:hAnsi="Spectral" w:eastAsia="Spectral"/>
          <w:color w:val="132338"/>
        </w:rPr>
        <w:t xml:space="preserve">5.2.7</w:t>
      </w:r>
      <w:r>
        <w:rPr>
          <w:rFonts w:ascii="Spectral" w:hAnsi="Spectral" w:eastAsia="Spectral"/>
          <w:color w:val="132338"/>
        </w:rPr>
        <w:tab/>
      </w:r>
      <w:r>
        <w:rPr>
          <w:rFonts w:ascii="Spectral" w:hAnsi="Spectral" w:eastAsia="Spectral"/>
          <w:color w:val="132338"/>
        </w:rPr>
        <w:t xml:space="preserve">Teacher</w:t>
      </w:r>
    </w:p>
    <w:p>
      <w:pPr>
        <w:pStyle w:val="FirstParagraph"/>
      </w:pPr>
      <w:r>
        <w:t xml:space="preserve">The teacher guides a class through a shared collection. They succeed when they can assign shared shelves and view class-level reading dashboards that are aggregate by design — per-student visibility is disclosed to students, never covert surveillance (FR-CLIENT-012). Their capabilities are role-scoped (FR-CLIENT-003): more than a student, less than an administrator.</w:t>
      </w:r>
    </w:p>
    <w:bookmarkEnd w:id="30"/>
    <w:bookmarkStart w:id="31" w:name="school-administrator"/>
    <w:p>
      <w:pPr>
        <w:pStyle w:val="Heading3"/>
      </w:pPr>
      <w:r>
        <w:rPr>
          <w:rStyle w:val="SectionNumber"/>
          <w:rFonts w:ascii="Spectral" w:hAnsi="Spectral" w:eastAsia="Spectral"/>
          <w:color w:val="132338"/>
        </w:rPr>
        <w:t xml:space="preserve">5.2.8</w:t>
      </w:r>
      <w:r>
        <w:rPr>
          <w:rFonts w:ascii="Spectral" w:hAnsi="Spectral" w:eastAsia="Spectral"/>
          <w:color w:val="132338"/>
        </w:rPr>
        <w:tab/>
      </w:r>
      <w:r>
        <w:rPr>
          <w:rFonts w:ascii="Spectral" w:hAnsi="Spectral" w:eastAsia="Spectral"/>
          <w:color w:val="132338"/>
        </w:rPr>
        <w:t xml:space="preserve">School Administrator</w:t>
      </w:r>
    </w:p>
    <w:p>
      <w:pPr>
        <w:pStyle w:val="FirstParagraph"/>
      </w:pPr>
      <w:r>
        <w:t xml:space="preserve">The administrator operates the host. They succeed when they can publish or unpublish folders (FR-ADMIN-001) — unpublished content is never even enumerable by clients (FR-LAN-009) — enroll and revoke profiles (FR-ADMIN-003), store the school's AI key in the host OS credential store where no client and no other person can read it (FR-ADMIN-004), set the class privacy tier with metadata-only as the default (FR-ADMIN-006), enforce per-student quotas and rate limits (FR-ADMIN-008, FR-ADMIN-009), and export the audit log (FR-LAN-010). The administrator sees usage, cost, and quota utilization (FR-ADMIN-010) — never students' private reading content (per D-008).</w:t>
      </w:r>
    </w:p>
    <w:bookmarkEnd w:id="31"/>
    <w:bookmarkEnd w:id="32"/>
    <w:bookmarkStart w:id="33" w:name="persona-research-status"/>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Persona Research Status</w:t>
      </w:r>
    </w:p>
    <w:p>
      <w:pPr>
        <w:pStyle w:val="FirstParagraph"/>
      </w:pPr>
      <w:r>
        <w:t xml:space="preserve">The first three personas derive from the owner's input specification and the owner's own use; the classroom personas derive from the owner's expanded vision recorded in the grand plan. No external user research has yet validated them. Per the PRD-generation skill's Field-of-Dreams check, this PRD is</w:t>
      </w:r>
      <w:r>
        <w:t xml:space="preserve"> </w:t>
      </w:r>
      <w:r>
        <w:rPr>
          <w:i/>
          <w:iCs/>
        </w:rPr>
        <w:t xml:space="preserve">research-pending</w:t>
      </w:r>
      <w:r>
        <w:t xml:space="preserve">: the Phase 23 public beta is the planned validation instrument, and willingness-to-pay validation is bound to the pricing decision (OQ-11, Section 10) before store submission.</w:t>
      </w:r>
    </w:p>
    <w:bookmarkEnd w:id="33"/>
    <w:bookmarkEnd w:id="34"/>
    <w:bookmarkStart w:id="40" w:name="scope-mvp-and-release-tiers"/>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Scope, MVP, and Release Tiers</w:t>
      </w:r>
    </w:p>
    <w:bookmarkStart w:id="35" w:name="release-tier-model"/>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Release Tier Model</w:t>
      </w:r>
    </w:p>
    <w:p>
      <w:pPr>
        <w:pStyle w:val="FirstParagraph"/>
      </w:pPr>
      <w:r>
        <w:t xml:space="preserve">Every feature carries a priority tier — MVP, V1, or V2 — fixed in</w:t>
      </w:r>
      <w:r>
        <w:t xml:space="preserve"> </w:t>
      </w:r>
      <w:r>
        <w:rPr>
          <w:rStyle w:val="VerbatimChar"/>
        </w:rPr>
        <w:t xml:space="preserve">_context/features.md</w:t>
      </w:r>
      <w:r>
        <w:t xml:space="preserve"> </w:t>
      </w:r>
      <w:r>
        <w:t xml:space="preserve">(the authoritative, closed feature inventory) and preserved by stable requirement-ID prefixes throughout the SRS. The tiers define a shippable spine first, then progressive enrichment. Tier is a</w:t>
      </w:r>
      <w:r>
        <w:t xml:space="preserve"> </w:t>
      </w:r>
      <w:r>
        <w:rPr>
          <w:i/>
          <w:iCs/>
        </w:rPr>
        <w:t xml:space="preserve">release</w:t>
      </w:r>
      <w:r>
        <w:t xml:space="preserve"> </w:t>
      </w:r>
      <w:r>
        <w:t xml:space="preserve">concept, not a build-order concept: the codebase already implements most V1 and V2 functional groups (Section 9), but a tier ships only when its gates — including the Phase 19–21 hardening gates — pass.</w:t>
      </w:r>
    </w:p>
    <w:p>
      <w:pPr>
        <w:pStyle w:val="Compact"/>
        <w:numPr>
          <w:ilvl w:val="0"/>
          <w:numId w:val="1004"/>
        </w:numPr>
      </w:pPr>
      <w:r>
        <w:rPr>
          <w:b/>
          <w:bCs/>
        </w:rPr>
        <w:t xml:space="preserve">MVP</w:t>
      </w:r>
      <w:r>
        <w:t xml:space="preserve"> </w:t>
      </w:r>
      <w:r>
        <w:t xml:space="preserve">delivers a usable single-user library: choose a root, scan it, browse it in every view, repair metadata through online lookup, read with resume and annotations, search metadata within budget, and ask a provider-neutral AI advisor for explained recommendations — with AI fully disableable, in full English and French, with the premium-experience floor (FR-UX-001 to FR-UX-005, FR-UX-007, FR-UX-008).</w:t>
      </w:r>
    </w:p>
    <w:p>
      <w:pPr>
        <w:pStyle w:val="Compact"/>
        <w:numPr>
          <w:ilvl w:val="0"/>
          <w:numId w:val="1004"/>
        </w:numPr>
      </w:pPr>
      <w:r>
        <w:rPr>
          <w:b/>
          <w:bCs/>
        </w:rPr>
        <w:t xml:space="preserve">V1</w:t>
      </w:r>
      <w:r>
        <w:t xml:space="preserve"> </w:t>
      </w:r>
      <w:r>
        <w:t xml:space="preserve">deepens the product: scan health reporting, bulk editing, provenance, confirmed reversible PDF write-back, password-protected and OCR PDFs, full-text/semantic/hybrid search, reading plans, local embeddings, query history and cost visibility, smart shelves, health dashboard, citation export, reading memory, annotation layers, Privacy Center, and in-app help.</w:t>
      </w:r>
    </w:p>
    <w:p>
      <w:pPr>
        <w:pStyle w:val="Compact"/>
        <w:numPr>
          <w:ilvl w:val="0"/>
          <w:numId w:val="1004"/>
        </w:numPr>
      </w:pPr>
      <w:r>
        <w:rPr>
          <w:b/>
          <w:bCs/>
        </w:rPr>
        <w:t xml:space="preserve">V2</w:t>
      </w:r>
      <w:r>
        <w:t xml:space="preserve"> </w:t>
      </w:r>
      <w:r>
        <w:t xml:space="preserve">extends the product: split view, AI answer mode with local-evidence citation, the Work/Edition model, the full classroom/LAN product (FR-LAN, FR-CLIENT, FR-ADMIN), the Extension SDK (FR-EXT), and Spanish/Italian/German.</w:t>
      </w:r>
    </w:p>
    <w:bookmarkEnd w:id="35"/>
    <w:bookmarkStart w:id="36" w:name="what-each-tier-contains"/>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What Each Tier Contains</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Module group</w:t>
            </w:r>
          </w:p>
        </w:tc>
        <w:tc>
          <w:tcPr>
            <w:shd w:fill="132338"/>
          </w:tcPr>
          <w:p>
            <w:pPr>
              <w:pStyle w:val="Compact"/>
            </w:pPr>
            <w:r>
              <w:rPr>
                <w:rFonts w:ascii="Public Sans" w:hAnsi="Public Sans" w:eastAsia="Public Sans"/>
                <w:b/>
                <w:color w:val="FFFFFF"/>
                <w:sz w:val="17"/>
              </w:rPr>
              <w:t xml:space="preserve">MVP</w:t>
            </w:r>
          </w:p>
        </w:tc>
        <w:tc>
          <w:tcPr>
            <w:shd w:fill="132338"/>
          </w:tcPr>
          <w:p>
            <w:pPr>
              <w:pStyle w:val="Compact"/>
            </w:pPr>
            <w:r>
              <w:rPr>
                <w:rFonts w:ascii="Public Sans" w:hAnsi="Public Sans" w:eastAsia="Public Sans"/>
                <w:b/>
                <w:color w:val="FFFFFF"/>
                <w:sz w:val="17"/>
              </w:rPr>
              <w:t xml:space="preserve">V1</w:t>
            </w:r>
          </w:p>
        </w:tc>
        <w:tc>
          <w:tcPr>
            <w:shd w:fill="132338"/>
          </w:tcPr>
          <w:p>
            <w:pPr>
              <w:pStyle w:val="Compact"/>
            </w:pPr>
            <w:r>
              <w:rPr>
                <w:rFonts w:ascii="Public Sans" w:hAnsi="Public Sans" w:eastAsia="Public Sans"/>
                <w:b/>
                <w:color w:val="FFFFFF"/>
                <w:sz w:val="17"/>
              </w:rPr>
              <w:t xml:space="preserve">V2</w:t>
            </w:r>
          </w:p>
        </w:tc>
      </w:tr>
      <w:tr>
        <w:trPr>
          <w:cantSplit/>
        </w:trPr>
        <w:tc>
          <w:tcPr/>
          <w:p>
            <w:pPr>
              <w:pStyle w:val="Compact"/>
            </w:pPr>
            <w:r>
              <w:t xml:space="preserve">LIB — Library setup and scanning</w:t>
            </w:r>
          </w:p>
        </w:tc>
        <w:tc>
          <w:tcPr/>
          <w:p>
            <w:pPr>
              <w:pStyle w:val="Compact"/>
            </w:pPr>
            <w:r>
              <w:t xml:space="preserve">FR-LIB-001 to FR-LIB-006</w:t>
            </w:r>
          </w:p>
        </w:tc>
        <w:tc>
          <w:tcPr/>
          <w:p>
            <w:pPr>
              <w:pStyle w:val="Compact"/>
            </w:pPr>
            <w:r>
              <w:t xml:space="preserve">FR-LIB-007</w:t>
            </w:r>
          </w:p>
        </w:tc>
        <w:tc>
          <w:tcPr/>
          <w:p>
            <w:pPr>
              <w:pStyle w:val="Compact"/>
            </w:pPr>
            <w:r>
              <w:t xml:space="preserve">—</w:t>
            </w:r>
          </w:p>
        </w:tc>
      </w:tr>
      <w:tr>
        <w:trPr>
          <w:cantSplit/>
        </w:trPr>
        <w:tc>
          <w:tcPr/>
          <w:p>
            <w:pPr>
              <w:pStyle w:val="Compact"/>
            </w:pPr>
            <w:r>
              <w:t xml:space="preserve">CAT — Catalogue browsing</w:t>
            </w:r>
          </w:p>
        </w:tc>
        <w:tc>
          <w:tcPr/>
          <w:p>
            <w:pPr>
              <w:pStyle w:val="Compact"/>
            </w:pPr>
            <w:r>
              <w:t xml:space="preserve">FR-CAT-001 to FR-CAT-004</w:t>
            </w:r>
          </w:p>
        </w:tc>
        <w:tc>
          <w:tcPr/>
          <w:p>
            <w:pPr>
              <w:pStyle w:val="Compact"/>
            </w:pPr>
            <w:r>
              <w:t xml:space="preserve">FR-CAT-005, FR-CAT-006</w:t>
            </w:r>
          </w:p>
        </w:tc>
        <w:tc>
          <w:tcPr/>
          <w:p>
            <w:pPr>
              <w:pStyle w:val="Compact"/>
            </w:pPr>
            <w:r>
              <w:t xml:space="preserve">FR-CAT-007</w:t>
            </w:r>
          </w:p>
        </w:tc>
      </w:tr>
      <w:tr>
        <w:trPr>
          <w:cantSplit/>
        </w:trPr>
        <w:tc>
          <w:tcPr/>
          <w:p>
            <w:pPr>
              <w:pStyle w:val="Compact"/>
            </w:pPr>
            <w:r>
              <w:t xml:space="preserve">META — Metadata enrichment</w:t>
            </w:r>
          </w:p>
        </w:tc>
        <w:tc>
          <w:tcPr/>
          <w:p>
            <w:pPr>
              <w:pStyle w:val="Compact"/>
            </w:pPr>
            <w:r>
              <w:t xml:space="preserve">FR-META-001 to FR-META-003</w:t>
            </w:r>
          </w:p>
        </w:tc>
        <w:tc>
          <w:tcPr/>
          <w:p>
            <w:pPr>
              <w:pStyle w:val="Compact"/>
            </w:pPr>
            <w:r>
              <w:t xml:space="preserve">FR-META-004 to FR-META-008</w:t>
            </w:r>
          </w:p>
        </w:tc>
        <w:tc>
          <w:tcPr/>
          <w:p>
            <w:pPr>
              <w:pStyle w:val="Compact"/>
            </w:pPr>
            <w:r>
              <w:t xml:space="preserve">—</w:t>
            </w:r>
          </w:p>
        </w:tc>
      </w:tr>
      <w:tr>
        <w:trPr>
          <w:cantSplit/>
        </w:trPr>
        <w:tc>
          <w:tcPr/>
          <w:p>
            <w:pPr>
              <w:pStyle w:val="Compact"/>
            </w:pPr>
            <w:r>
              <w:t xml:space="preserve">READ — PDF reader</w:t>
            </w:r>
          </w:p>
        </w:tc>
        <w:tc>
          <w:tcPr/>
          <w:p>
            <w:pPr>
              <w:pStyle w:val="Compact"/>
            </w:pPr>
            <w:r>
              <w:t xml:space="preserve">FR-READ-001 to FR-READ-008</w:t>
            </w:r>
          </w:p>
        </w:tc>
        <w:tc>
          <w:tcPr/>
          <w:p>
            <w:pPr>
              <w:pStyle w:val="Compact"/>
            </w:pPr>
            <w:r>
              <w:t xml:space="preserve">FR-READ-009 to FR-READ-011, FR-READ-013 to FR-READ-015</w:t>
            </w:r>
          </w:p>
        </w:tc>
        <w:tc>
          <w:tcPr/>
          <w:p>
            <w:pPr>
              <w:pStyle w:val="Compact"/>
            </w:pPr>
            <w:r>
              <w:t xml:space="preserve">FR-READ-012</w:t>
            </w:r>
          </w:p>
        </w:tc>
      </w:tr>
      <w:tr>
        <w:trPr>
          <w:cantSplit/>
        </w:trPr>
        <w:tc>
          <w:tcPr/>
          <w:p>
            <w:pPr>
              <w:pStyle w:val="Compact"/>
            </w:pPr>
            <w:r>
              <w:t xml:space="preserve">SEARCH — Search and indexing</w:t>
            </w:r>
          </w:p>
        </w:tc>
        <w:tc>
          <w:tcPr/>
          <w:p>
            <w:pPr>
              <w:pStyle w:val="Compact"/>
            </w:pPr>
            <w:r>
              <w:t xml:space="preserve">FR-SEARCH-001</w:t>
            </w:r>
          </w:p>
        </w:tc>
        <w:tc>
          <w:tcPr/>
          <w:p>
            <w:pPr>
              <w:pStyle w:val="Compact"/>
            </w:pPr>
            <w:r>
              <w:t xml:space="preserve">FR-SEARCH-002 to FR-SEARCH-006</w:t>
            </w:r>
          </w:p>
        </w:tc>
        <w:tc>
          <w:tcPr/>
          <w:p>
            <w:pPr>
              <w:pStyle w:val="Compact"/>
            </w:pPr>
            <w:r>
              <w:t xml:space="preserve">—</w:t>
            </w:r>
          </w:p>
        </w:tc>
      </w:tr>
      <w:tr>
        <w:trPr>
          <w:cantSplit/>
        </w:trPr>
        <w:tc>
          <w:tcPr/>
          <w:p>
            <w:pPr>
              <w:pStyle w:val="Compact"/>
            </w:pPr>
            <w:r>
              <w:t xml:space="preserve">AI — AI advisor</w:t>
            </w:r>
          </w:p>
        </w:tc>
        <w:tc>
          <w:tcPr/>
          <w:p>
            <w:pPr>
              <w:pStyle w:val="Compact"/>
            </w:pPr>
            <w:r>
              <w:t xml:space="preserve">FR-AI-001 to FR-AI-004</w:t>
            </w:r>
          </w:p>
        </w:tc>
        <w:tc>
          <w:tcPr/>
          <w:p>
            <w:pPr>
              <w:pStyle w:val="Compact"/>
            </w:pPr>
            <w:r>
              <w:t xml:space="preserve">FR-AI-005 to FR-AI-007, FR-AI-009 to FR-AI-011</w:t>
            </w:r>
          </w:p>
        </w:tc>
        <w:tc>
          <w:tcPr/>
          <w:p>
            <w:pPr>
              <w:pStyle w:val="Compact"/>
            </w:pPr>
            <w:r>
              <w:t xml:space="preserve">FR-AI-008</w:t>
            </w:r>
          </w:p>
        </w:tc>
      </w:tr>
      <w:tr>
        <w:trPr>
          <w:cantSplit/>
        </w:trPr>
        <w:tc>
          <w:tcPr/>
          <w:p>
            <w:pPr>
              <w:pStyle w:val="Compact"/>
            </w:pPr>
            <w:r>
              <w:t xml:space="preserve">UX — Premium experience</w:t>
            </w:r>
          </w:p>
        </w:tc>
        <w:tc>
          <w:tcPr/>
          <w:p>
            <w:pPr>
              <w:pStyle w:val="Compact"/>
            </w:pPr>
            <w:r>
              <w:t xml:space="preserve">FR-UX-001 to FR-UX-005, FR-UX-007, FR-UX-008</w:t>
            </w:r>
          </w:p>
        </w:tc>
        <w:tc>
          <w:tcPr/>
          <w:p>
            <w:pPr>
              <w:pStyle w:val="Compact"/>
            </w:pPr>
            <w:r>
              <w:t xml:space="preserve">FR-UX-006</w:t>
            </w:r>
          </w:p>
        </w:tc>
        <w:tc>
          <w:tcPr/>
          <w:p>
            <w:pPr>
              <w:pStyle w:val="Compact"/>
            </w:pPr>
            <w:r>
              <w:t xml:space="preserve">es/it/de per FR-UX-004</w:t>
            </w:r>
          </w:p>
        </w:tc>
      </w:tr>
      <w:tr>
        <w:trPr>
          <w:cantSplit/>
        </w:trPr>
        <w:tc>
          <w:tcPr/>
          <w:p>
            <w:pPr>
              <w:pStyle w:val="Compact"/>
            </w:pPr>
            <w:r>
              <w:t xml:space="preserve">LAN — LAN library host</w:t>
            </w:r>
          </w:p>
        </w:tc>
        <w:tc>
          <w:tcPr/>
          <w:p>
            <w:pPr>
              <w:pStyle w:val="Compact"/>
            </w:pPr>
            <w:r>
              <w:t xml:space="preserve">—</w:t>
            </w:r>
          </w:p>
        </w:tc>
        <w:tc>
          <w:tcPr/>
          <w:p>
            <w:pPr>
              <w:pStyle w:val="Compact"/>
            </w:pPr>
            <w:r>
              <w:t xml:space="preserve">—</w:t>
            </w:r>
          </w:p>
        </w:tc>
        <w:tc>
          <w:tcPr/>
          <w:p>
            <w:pPr>
              <w:pStyle w:val="Compact"/>
            </w:pPr>
            <w:r>
              <w:t xml:space="preserve">FR-LAN-001 to FR-LAN-010</w:t>
            </w:r>
          </w:p>
        </w:tc>
      </w:tr>
      <w:tr>
        <w:trPr>
          <w:cantSplit/>
        </w:trPr>
        <w:tc>
          <w:tcPr/>
          <w:p>
            <w:pPr>
              <w:pStyle w:val="Compact"/>
            </w:pPr>
            <w:r>
              <w:t xml:space="preserve">CLIENT — Classroom client</w:t>
            </w:r>
          </w:p>
        </w:tc>
        <w:tc>
          <w:tcPr/>
          <w:p>
            <w:pPr>
              <w:pStyle w:val="Compact"/>
            </w:pPr>
            <w:r>
              <w:t xml:space="preserve">—</w:t>
            </w:r>
          </w:p>
        </w:tc>
        <w:tc>
          <w:tcPr/>
          <w:p>
            <w:pPr>
              <w:pStyle w:val="Compact"/>
            </w:pPr>
            <w:r>
              <w:t xml:space="preserve">—</w:t>
            </w:r>
          </w:p>
        </w:tc>
        <w:tc>
          <w:tcPr/>
          <w:p>
            <w:pPr>
              <w:pStyle w:val="Compact"/>
            </w:pPr>
            <w:r>
              <w:t xml:space="preserve">FR-CLIENT-001 to FR-CLIENT-013</w:t>
            </w:r>
          </w:p>
        </w:tc>
      </w:tr>
      <w:tr>
        <w:trPr>
          <w:cantSplit/>
        </w:trPr>
        <w:tc>
          <w:tcPr/>
          <w:p>
            <w:pPr>
              <w:pStyle w:val="Compact"/>
            </w:pPr>
            <w:r>
              <w:t xml:space="preserve">ADMIN — School administration and managed AI</w:t>
            </w:r>
          </w:p>
        </w:tc>
        <w:tc>
          <w:tcPr/>
          <w:p>
            <w:pPr>
              <w:pStyle w:val="Compact"/>
            </w:pPr>
            <w:r>
              <w:t xml:space="preserve">—</w:t>
            </w:r>
          </w:p>
        </w:tc>
        <w:tc>
          <w:tcPr/>
          <w:p>
            <w:pPr>
              <w:pStyle w:val="Compact"/>
            </w:pPr>
            <w:r>
              <w:t xml:space="preserve">—</w:t>
            </w:r>
          </w:p>
        </w:tc>
        <w:tc>
          <w:tcPr/>
          <w:p>
            <w:pPr>
              <w:pStyle w:val="Compact"/>
            </w:pPr>
            <w:r>
              <w:t xml:space="preserve">FR-ADMIN-001 to FR-ADMIN-013</w:t>
            </w:r>
          </w:p>
        </w:tc>
      </w:tr>
      <w:tr>
        <w:trPr>
          <w:cantSplit/>
        </w:trPr>
        <w:tc>
          <w:tcPr/>
          <w:p>
            <w:pPr>
              <w:pStyle w:val="Compact"/>
            </w:pPr>
            <w:r>
              <w:t xml:space="preserve">EXT — Extension SDK</w:t>
            </w:r>
          </w:p>
        </w:tc>
        <w:tc>
          <w:tcPr/>
          <w:p>
            <w:pPr>
              <w:pStyle w:val="Compact"/>
            </w:pPr>
            <w:r>
              <w:t xml:space="preserve">—</w:t>
            </w:r>
          </w:p>
        </w:tc>
        <w:tc>
          <w:tcPr/>
          <w:p>
            <w:pPr>
              <w:pStyle w:val="Compact"/>
            </w:pPr>
            <w:r>
              <w:t xml:space="preserve">—</w:t>
            </w:r>
          </w:p>
        </w:tc>
        <w:tc>
          <w:tcPr/>
          <w:p>
            <w:pPr>
              <w:pStyle w:val="Compact"/>
            </w:pPr>
            <w:r>
              <w:t xml:space="preserve">FR-EXT-001 to FR-EXT-003</w:t>
            </w:r>
          </w:p>
        </w:tc>
      </w:tr>
    </w:tbl>
    <w:bookmarkEnd w:id="36"/>
    <w:bookmarkStart w:id="37" w:name="mvp-acceptance-boundary"/>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MVP Acceptance Boundary</w:t>
      </w:r>
    </w:p>
    <w:p>
      <w:pPr>
        <w:pStyle w:val="FirstParagraph"/>
      </w:pPr>
      <w:r>
        <w:t xml:space="preserve">The MVP is accepted when a reader can, with no internet for the core path and no AI provider key: select a library root, scan a collection of 2,000 PDF files with the catalogue browsable while scanning continues (FR-UX-001, install-to-browsable ≤ 5 min on reference hardware), browse it in 3D shelf, grid, list, and directory views, open any book and resume its last position, annotate it with highlights and notes that survive reopen, search metadata within 150 ms at P95 (NFR-OGMA-003), operate every core flow by keyboard alone (FR-UX-005), switch between English and French at runtime (FR-UX-004), and — if and only if they choose to enable it — receive AI recommendations drawn from their own collection with a stated reason and confidence. AI being absent or disabled must never block any core reading, browsing, or metadata path (FR-AI-001).</w:t>
      </w:r>
    </w:p>
    <w:bookmarkEnd w:id="37"/>
    <w:bookmarkStart w:id="38" w:name="classroom-acceptance-boundary-v2"/>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Classroom Acceptance Boundary (V2)</w:t>
      </w:r>
    </w:p>
    <w:p>
      <w:pPr>
        <w:pStyle w:val="FirstParagraph"/>
      </w:pPr>
      <w:r>
        <w:t xml:space="preserve">The classroom product is accepted when: a default install runs no inbound listener and enabling host mode is explicit, reversible, and audited (FR-LAN-001); a student joins with a code, streams a published book over TLS without a full-file copy (FR-LAN-002, FR-CLIENT-004), and holds private per-profile reading state (FR-CLIENT-002, FR-CLIENT-008); the school's AI key never leaves the host and every student AI call routes through the host gateway under the class privacy tier, quotas, and rate limits (FR-ADMIN-004 to FR-ADMIN-009); revocation takes effect at next connection (FR-CLIENT-009); and the administrator can export the host audit log (FR-LAN-010). Access is LAN-only by owner decision D-008 — no inbound internet listener ships.</w:t>
      </w:r>
    </w:p>
    <w:bookmarkEnd w:id="38"/>
    <w:bookmarkStart w:id="39" w:name="explicitly-out-of-scope"/>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Explicitly Out of Scope</w:t>
      </w:r>
    </w:p>
    <w:p>
      <w:pPr>
        <w:pStyle w:val="FirstParagraph"/>
      </w:pPr>
      <w:r>
        <w:t xml:space="preserve">The following are deliberately excluded. The data model admits them later, but no committed requirement depends on them.</w:t>
      </w:r>
    </w:p>
    <w:p>
      <w:pPr>
        <w:pStyle w:val="Compact"/>
        <w:numPr>
          <w:ilvl w:val="0"/>
          <w:numId w:val="1005"/>
        </w:numPr>
      </w:pPr>
      <w:r>
        <w:rPr>
          <w:b/>
          <w:bCs/>
        </w:rPr>
        <w:t xml:space="preserve">Cloud sync.</w:t>
      </w:r>
      <w:r>
        <w:t xml:space="preserve"> </w:t>
      </w:r>
      <w:r>
        <w:t xml:space="preserve">The catalogue, reading state, and annotations remain on the device or the school host. The schema is designed to allow encrypted sync later; any future sync feature requires a fresh DPIA before shipping (Section 10, OQ-08 resolution).</w:t>
      </w:r>
    </w:p>
    <w:p>
      <w:pPr>
        <w:pStyle w:val="Compact"/>
        <w:numPr>
          <w:ilvl w:val="0"/>
          <w:numId w:val="1005"/>
        </w:numPr>
      </w:pPr>
      <w:r>
        <w:rPr>
          <w:b/>
          <w:bCs/>
        </w:rPr>
        <w:t xml:space="preserve">Internet/remote access to a classroom host.</w:t>
      </w:r>
      <w:r>
        <w:t xml:space="preserve"> </w:t>
      </w:r>
      <w:r>
        <w:t xml:space="preserve">Owner decision D-008 confines classroom access to the school's local network. Remote access is revisited post-V2 only, behind a fresh DPIA, because the users include minors.</w:t>
      </w:r>
    </w:p>
    <w:p>
      <w:pPr>
        <w:pStyle w:val="Compact"/>
        <w:numPr>
          <w:ilvl w:val="0"/>
          <w:numId w:val="1005"/>
        </w:numPr>
      </w:pPr>
      <w:r>
        <w:rPr>
          <w:b/>
          <w:bCs/>
        </w:rPr>
        <w:t xml:space="preserve">EPUB and CBZ formats.</w:t>
      </w:r>
      <w:r>
        <w:t xml:space="preserve"> </w:t>
      </w:r>
      <w:r>
        <w:t xml:space="preserve">The schema is format-extensible, but the product supports PDF only through V1 (Section 10, OQ-07 resolution).</w:t>
      </w:r>
    </w:p>
    <w:p>
      <w:pPr>
        <w:pStyle w:val="Compact"/>
        <w:numPr>
          <w:ilvl w:val="0"/>
          <w:numId w:val="1005"/>
        </w:numPr>
      </w:pPr>
      <w:r>
        <w:rPr>
          <w:b/>
          <w:bCs/>
        </w:rPr>
        <w:t xml:space="preserve">PDF write-back of highlight annotations.</w:t>
      </w:r>
      <w:r>
        <w:t xml:space="preserve"> </w:t>
      </w:r>
      <w:r>
        <w:t xml:space="preserve">Highlights and notes persist in the catalogue of record (FR-READ-008); only bibliographic metadata write-back is in scope, with backup and diff (FR-META-005). Any future annotation write-back inherits the same reversibility contract (OQ-03 resolution).</w:t>
      </w:r>
    </w:p>
    <w:p>
      <w:pPr>
        <w:pStyle w:val="Compact"/>
        <w:numPr>
          <w:ilvl w:val="0"/>
          <w:numId w:val="1005"/>
        </w:numPr>
      </w:pPr>
      <w:r>
        <w:rPr>
          <w:b/>
          <w:bCs/>
        </w:rPr>
        <w:t xml:space="preserve">Local knowledge graph.</w:t>
      </w:r>
      <w:r>
        <w:t xml:space="preserve"> </w:t>
      </w:r>
      <w:r>
        <w:t xml:space="preserve">Noted in the source material; not committed in this baseline.</w:t>
      </w:r>
    </w:p>
    <w:p>
      <w:pPr>
        <w:pStyle w:val="FirstParagraph"/>
      </w:pPr>
      <w:r>
        <w:t xml:space="preserve">These exclusions are ratified scope decisions (owner decisions D-002, D-007, D-008), not deferrals of unresolved design.</w:t>
      </w:r>
    </w:p>
    <w:bookmarkEnd w:id="39"/>
    <w:bookmarkEnd w:id="40"/>
    <w:bookmarkStart w:id="55" w:name="feature-overview"/>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Feature Overview</w:t>
      </w:r>
    </w:p>
    <w:p>
      <w:pPr>
        <w:pStyle w:val="FirstParagraph"/>
      </w:pPr>
      <w:r>
        <w:t xml:space="preserve">This section summarises the product feature surface at module level. Each module group owns a stable requirement-ID prefix carried through the SRS, where the detailed stimulus-response requirements are authored; the inventory in</w:t>
      </w:r>
      <w:r>
        <w:t xml:space="preserve"> </w:t>
      </w:r>
      <w:r>
        <w:rPr>
          <w:rStyle w:val="VerbatimChar"/>
        </w:rPr>
        <w:t xml:space="preserve">_context/features.md</w:t>
      </w:r>
      <w:r>
        <w:t xml:space="preserve"> </w:t>
      </w:r>
      <w:r>
        <w:t xml:space="preserve">is authoritative and closed. Implementation status is stated per group against the codebase as verified 2026-07-06 (</w:t>
      </w:r>
      <w:r>
        <w:rPr>
          <w:rStyle w:val="VerbatimChar"/>
        </w:rPr>
        <w:t xml:space="preserve">_context/build-status.md</w:t>
      </w:r>
      <w:r>
        <w:t xml:space="preserve">); "implemented" means the code and its automated tests exist through grand-plan Phase 18, with formal performance acceptance still pending at Phase 20.</w:t>
      </w:r>
    </w:p>
    <w:bookmarkStart w:id="47" w:name="core-module-groups"/>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Core Module Groups</w:t>
      </w:r>
    </w:p>
    <w:bookmarkStart w:id="41" w:name="X55de6bdea169e34514a0987a2de9c7a70ea7da8"/>
    <w:p>
      <w:pPr>
        <w:pStyle w:val="Heading3"/>
      </w:pPr>
      <w:r>
        <w:rPr>
          <w:rStyle w:val="SectionNumber"/>
          <w:rFonts w:ascii="Spectral" w:hAnsi="Spectral" w:eastAsia="Spectral"/>
          <w:color w:val="132338"/>
        </w:rPr>
        <w:t xml:space="preserve">7.1.1</w:t>
      </w:r>
      <w:r>
        <w:rPr>
          <w:rFonts w:ascii="Spectral" w:hAnsi="Spectral" w:eastAsia="Spectral"/>
          <w:color w:val="132338"/>
        </w:rPr>
        <w:tab/>
      </w:r>
      <w:r>
        <w:rPr>
          <w:rFonts w:ascii="Spectral" w:hAnsi="Spectral" w:eastAsia="Spectral"/>
          <w:color w:val="132338"/>
        </w:rPr>
        <w:t xml:space="preserve">LIB — Library Setup and Scanning</w:t>
      </w:r>
      <w:r>
        <w:rPr>
          <w:rFonts w:ascii="Spectral" w:hAnsi="Spectral" w:eastAsia="Spectral"/>
          <w:color w:val="132338"/>
        </w:rPr>
        <w:t xml:space="preserve"> </w:t>
      </w:r>
      <w:r>
        <w:rPr>
          <w:rFonts w:ascii="Spectral" w:hAnsi="Spectral" w:eastAsia="Spectral"/>
          <w:i/>
          <w:iCs/>
          <w:color w:val="132338"/>
        </w:rPr>
        <w:t xml:space="preserve">(implemented)</w:t>
      </w:r>
    </w:p>
    <w:p>
      <w:pPr>
        <w:pStyle w:val="FirstParagraph"/>
      </w:pPr>
      <w:r>
        <w:t xml:space="preserve">LIB establishes the library from the user's own folder. The user chooses a root, Ogma recursively discovers PDF files while respecting excluded folders, and each file receives a stable identity from its relative path plus a content hash so that renamed or moved files re-match rather than duplicate (FR-LIB-003). Removed or unavailable files are detected without deleting user metadata, shelves, notes, or progress (FR-LIB-004). Thumbnails and</w:t>
      </w:r>
      <w:r>
        <w:t xml:space="preserve"> </w:t>
      </w:r>
      <w:r>
        <w:rPr>
          <w:i/>
          <w:iCs/>
        </w:rPr>
        <w:t xml:space="preserve">spine textures</w:t>
      </w:r>
      <w:r>
        <w:t xml:space="preserve"> </w:t>
      </w:r>
      <w:r>
        <w:t xml:space="preserve">are generated in background jobs that keep the interface responsive, with visible and retryable failures (FR-LIB-005). Rescans are incremental (FR-LIB-006), and a scan health report surfaces failed, password-protected, unsupported, and metadata-gap files (FR-LIB-007). Code:</w:t>
      </w:r>
      <w:r>
        <w:t xml:space="preserve"> </w:t>
      </w:r>
      <w:r>
        <w:rPr>
          <w:rStyle w:val="VerbatimChar"/>
        </w:rPr>
        <w:t xml:space="preserve">IngestionOrchestrator</w:t>
      </w:r>
      <w:r>
        <w:t xml:space="preserve">,</w:t>
      </w:r>
      <w:r>
        <w:t xml:space="preserve"> </w:t>
      </w:r>
      <w:r>
        <w:rPr>
          <w:rStyle w:val="VerbatimChar"/>
        </w:rPr>
        <w:t xml:space="preserve">BookIdentityService</w:t>
      </w:r>
      <w:r>
        <w:t xml:space="preserve">,</w:t>
      </w:r>
      <w:r>
        <w:t xml:space="preserve"> </w:t>
      </w:r>
      <w:r>
        <w:rPr>
          <w:rStyle w:val="VerbatimChar"/>
        </w:rPr>
        <w:t xml:space="preserve">BookIngestionWorker</w:t>
      </w:r>
      <w:r>
        <w:t xml:space="preserve">.</w:t>
      </w:r>
    </w:p>
    <w:bookmarkEnd w:id="41"/>
    <w:bookmarkStart w:id="42" w:name="Xd129c2dc48af94f068f518077b16819d3080366"/>
    <w:p>
      <w:pPr>
        <w:pStyle w:val="Heading3"/>
      </w:pPr>
      <w:r>
        <w:rPr>
          <w:rStyle w:val="SectionNumber"/>
          <w:rFonts w:ascii="Spectral" w:hAnsi="Spectral" w:eastAsia="Spectral"/>
          <w:color w:val="132338"/>
        </w:rPr>
        <w:t xml:space="preserve">7.1.2</w:t>
      </w:r>
      <w:r>
        <w:rPr>
          <w:rFonts w:ascii="Spectral" w:hAnsi="Spectral" w:eastAsia="Spectral"/>
          <w:color w:val="132338"/>
        </w:rPr>
        <w:tab/>
      </w:r>
      <w:r>
        <w:rPr>
          <w:rFonts w:ascii="Spectral" w:hAnsi="Spectral" w:eastAsia="Spectral"/>
          <w:color w:val="132338"/>
        </w:rPr>
        <w:t xml:space="preserve">CAT — Catalogue Browsing</w:t>
      </w:r>
      <w:r>
        <w:rPr>
          <w:rFonts w:ascii="Spectral" w:hAnsi="Spectral" w:eastAsia="Spectral"/>
          <w:color w:val="132338"/>
        </w:rPr>
        <w:t xml:space="preserve"> </w:t>
      </w:r>
      <w:r>
        <w:rPr>
          <w:rFonts w:ascii="Spectral" w:hAnsi="Spectral" w:eastAsia="Spectral"/>
          <w:i/>
          <w:iCs/>
          <w:color w:val="132338"/>
        </w:rPr>
        <w:t xml:space="preserve">(implemented, including smart shelves and bulk edit)</w:t>
      </w:r>
    </w:p>
    <w:p>
      <w:pPr>
        <w:pStyle w:val="FirstParagraph"/>
      </w:pPr>
      <w:r>
        <w:t xml:space="preserve">CAT renders the collection as a browsable library across 3D shelf, grid, list, and directory views, all opening the same book detail and reader (FR-CAT-001). Sorting and filtering combine predictably and clear cleanly (FR-CAT-002).</w:t>
      </w:r>
      <w:r>
        <w:t xml:space="preserve"> </w:t>
      </w:r>
      <w:r>
        <w:rPr>
          <w:i/>
          <w:iCs/>
        </w:rPr>
        <w:t xml:space="preserve">Virtual shelves</w:t>
      </w:r>
      <w:r>
        <w:t xml:space="preserve"> </w:t>
      </w:r>
      <w:r>
        <w:t xml:space="preserve">let a book belong to multiple collections independent of file path (FR-CAT-003);</w:t>
      </w:r>
      <w:r>
        <w:t xml:space="preserve"> </w:t>
      </w:r>
      <w:r>
        <w:rPr>
          <w:i/>
          <w:iCs/>
        </w:rPr>
        <w:t xml:space="preserve">smart shelves</w:t>
      </w:r>
      <w:r>
        <w:t xml:space="preserve"> </w:t>
      </w:r>
      <w:r>
        <w:t xml:space="preserve">are saved filter definitions whose membership auto-updates (FR-CAT-006, implemented as</w:t>
      </w:r>
      <w:r>
        <w:t xml:space="preserve"> </w:t>
      </w:r>
      <w:r>
        <w:rPr>
          <w:rStyle w:val="VerbatimChar"/>
        </w:rPr>
        <w:t xml:space="preserve">SmartShelfCondition</w:t>
      </w:r>
      <w:r>
        <w:t xml:space="preserve"> </w:t>
      </w:r>
      <w:r>
        <w:t xml:space="preserve">plus evaluator). Bulk editing is previewed before commit and undoable (FR-CAT-005). The Work/Edition model for grouping duplicate files and editions under one intellectual work (FR-CAT-007) is specified for V2 and not yet implemented as a distinct layer.</w:t>
      </w:r>
    </w:p>
    <w:bookmarkEnd w:id="42"/>
    <w:bookmarkStart w:id="43" w:name="Xf827f5472f5208b7b68a697b0f3964c8fd12b7a"/>
    <w:p>
      <w:pPr>
        <w:pStyle w:val="Heading3"/>
      </w:pPr>
      <w:r>
        <w:rPr>
          <w:rStyle w:val="SectionNumber"/>
          <w:rFonts w:ascii="Spectral" w:hAnsi="Spectral" w:eastAsia="Spectral"/>
          <w:color w:val="132338"/>
        </w:rPr>
        <w:t xml:space="preserve">7.1.3</w:t>
      </w:r>
      <w:r>
        <w:rPr>
          <w:rFonts w:ascii="Spectral" w:hAnsi="Spectral" w:eastAsia="Spectral"/>
          <w:color w:val="132338"/>
        </w:rPr>
        <w:tab/>
      </w:r>
      <w:r>
        <w:rPr>
          <w:rFonts w:ascii="Spectral" w:hAnsi="Spectral" w:eastAsia="Spectral"/>
          <w:color w:val="132338"/>
        </w:rPr>
        <w:t xml:space="preserve">META — Metadata Enrichment</w:t>
      </w:r>
      <w:r>
        <w:rPr>
          <w:rFonts w:ascii="Spectral" w:hAnsi="Spectral" w:eastAsia="Spectral"/>
          <w:color w:val="132338"/>
        </w:rPr>
        <w:t xml:space="preserve"> </w:t>
      </w:r>
      <w:r>
        <w:rPr>
          <w:rFonts w:ascii="Spectral" w:hAnsi="Spectral" w:eastAsia="Spectral"/>
          <w:i/>
          <w:iCs/>
          <w:color w:val="132338"/>
        </w:rPr>
        <w:t xml:space="preserve">(implemented, including write-back and health dashboard)</w:t>
      </w:r>
    </w:p>
    <w:p>
      <w:pPr>
        <w:pStyle w:val="FirstParagraph"/>
      </w:pPr>
      <w:r>
        <w:t xml:space="preserve">META repairs and enriches bibliographic metadata. Ogma detects ISBN-10 and ISBN-13 from filename, XMP, DocInfo, and extracted first pages, then normalises, validates, and ranks candidates (FR-META-001); looks them up in Google Books and Open Library with source, timestamp, and confidence stored (FR-META-002); and merges through a reviewable confidence policy (FR-META-003) with per-field provenance (FR-META-004). Write-back to the PDF occurs only after confirmation, with the original backed up and a field-level diff shown; failure leaves the original intact (FR-META-005, implemented via</w:t>
      </w:r>
      <w:r>
        <w:t xml:space="preserve"> </w:t>
      </w:r>
      <w:r>
        <w:rPr>
          <w:rStyle w:val="VerbatimChar"/>
        </w:rPr>
        <w:t xml:space="preserve">PdfWriteBackService</w:t>
      </w:r>
      <w:r>
        <w:t xml:space="preserve"> </w:t>
      </w:r>
      <w:r>
        <w:t xml:space="preserve">on PDFsharp). Batch enrichment respects provider rate limits (FR-META-006). The library health dashboard aggregates duplicates, missing metadata, unavailable files, broken covers, and index gaps with per-finding remediation actions (FR-META-008, implemented as</w:t>
      </w:r>
      <w:r>
        <w:t xml:space="preserve"> </w:t>
      </w:r>
      <w:r>
        <w:rPr>
          <w:rStyle w:val="VerbatimChar"/>
        </w:rPr>
        <w:t xml:space="preserve">LibraryHealthService</w:t>
      </w:r>
      <w:r>
        <w:t xml:space="preserve">); a metadata quality score filters incomplete books (FR-META-007).</w:t>
      </w:r>
    </w:p>
    <w:bookmarkEnd w:id="43"/>
    <w:bookmarkStart w:id="44" w:name="Xcfd8e0efefc63b411119b61202825ece9dc8e03"/>
    <w:p>
      <w:pPr>
        <w:pStyle w:val="Heading3"/>
      </w:pPr>
      <w:r>
        <w:rPr>
          <w:rStyle w:val="SectionNumber"/>
          <w:rFonts w:ascii="Spectral" w:hAnsi="Spectral" w:eastAsia="Spectral"/>
          <w:color w:val="132338"/>
        </w:rPr>
        <w:t xml:space="preserve">7.1.4</w:t>
      </w:r>
      <w:r>
        <w:rPr>
          <w:rFonts w:ascii="Spectral" w:hAnsi="Spectral" w:eastAsia="Spectral"/>
          <w:color w:val="132338"/>
        </w:rPr>
        <w:tab/>
      </w:r>
      <w:r>
        <w:rPr>
          <w:rFonts w:ascii="Spectral" w:hAnsi="Spectral" w:eastAsia="Spectral"/>
          <w:color w:val="132338"/>
        </w:rPr>
        <w:t xml:space="preserve">READ — PDF Reader</w:t>
      </w:r>
      <w:r>
        <w:rPr>
          <w:rFonts w:ascii="Spectral" w:hAnsi="Spectral" w:eastAsia="Spectral"/>
          <w:color w:val="132338"/>
        </w:rPr>
        <w:t xml:space="preserve"> </w:t>
      </w:r>
      <w:r>
        <w:rPr>
          <w:rFonts w:ascii="Spectral" w:hAnsi="Spectral" w:eastAsia="Spectral"/>
          <w:i/>
          <w:iCs/>
          <w:color w:val="132338"/>
        </w:rPr>
        <w:t xml:space="preserve">(implemented except split view)</w:t>
      </w:r>
    </w:p>
    <w:p>
      <w:pPr>
        <w:pStyle w:val="FirstParagraph"/>
      </w:pPr>
      <w:r>
        <w:t xml:space="preserve">READ is the reading surface, rendered through a PDFium-backed adapter (</w:t>
      </w:r>
      <w:r>
        <w:rPr>
          <w:rStyle w:val="VerbatimChar"/>
        </w:rPr>
        <w:t xml:space="preserve">PdfiumAdapter</w:t>
      </w:r>
      <w:r>
        <w:t xml:space="preserve"> </w:t>
      </w:r>
      <w:r>
        <w:t xml:space="preserve">on PDFtoImage/SkiaSharp with a</w:t>
      </w:r>
      <w:r>
        <w:t xml:space="preserve"> </w:t>
      </w:r>
      <w:r>
        <w:rPr>
          <w:rStyle w:val="VerbatimChar"/>
        </w:rPr>
        <w:t xml:space="preserve">PageRenderCache</w:t>
      </w:r>
      <w:r>
        <w:t xml:space="preserve">). Books open from the catalogue and resume their last page and scroll position (FR-READ-001). Navigation, zoom, display modes, and full-screen (FR-READ-002 to FR-READ-005) persist per book. In-document text search highlights matches (FR-READ-006). Bookmarks (FR-READ-007) and highlights/notes (FR-READ-008) persist in the catalogue of record and reload accurately. Password-protected PDFs open via the OS credential flow (FR-READ-009); scanned PDFs are OCR-indexed as an optional background job on Tesseract 5.2.0, with results marked OCR-derived (FR-READ-010). Citation capture (FR-READ-011), citation and research export to BibTeX, RIS, CSL JSON, and Markdown digest (FR-READ-013), reading memory (FR-READ-014), and named annotation layers with per-layer show/hide and export (FR-READ-015) are implemented in</w:t>
      </w:r>
      <w:r>
        <w:t xml:space="preserve"> </w:t>
      </w:r>
      <w:r>
        <w:rPr>
          <w:rStyle w:val="VerbatimChar"/>
        </w:rPr>
        <w:t xml:space="preserve">OgmaLibrary.Reader</w:t>
      </w:r>
      <w:r>
        <w:t xml:space="preserve">. Split view (FR-READ-012, V2) is not yet implemented.</w:t>
      </w:r>
    </w:p>
    <w:bookmarkEnd w:id="44"/>
    <w:bookmarkStart w:id="45" w:name="search--search-and-indexing-implemented"/>
    <w:p>
      <w:pPr>
        <w:pStyle w:val="Heading3"/>
      </w:pPr>
      <w:r>
        <w:rPr>
          <w:rStyle w:val="SectionNumber"/>
          <w:rFonts w:ascii="Spectral" w:hAnsi="Spectral" w:eastAsia="Spectral"/>
          <w:color w:val="132338"/>
        </w:rPr>
        <w:t xml:space="preserve">7.1.5</w:t>
      </w:r>
      <w:r>
        <w:rPr>
          <w:rFonts w:ascii="Spectral" w:hAnsi="Spectral" w:eastAsia="Spectral"/>
          <w:color w:val="132338"/>
        </w:rPr>
        <w:tab/>
      </w:r>
      <w:r>
        <w:rPr>
          <w:rFonts w:ascii="Spectral" w:hAnsi="Spectral" w:eastAsia="Spectral"/>
          <w:color w:val="132338"/>
        </w:rPr>
        <w:t xml:space="preserve">SEARCH — Search and Indexing</w:t>
      </w:r>
      <w:r>
        <w:rPr>
          <w:rFonts w:ascii="Spectral" w:hAnsi="Spectral" w:eastAsia="Spectral"/>
          <w:color w:val="132338"/>
        </w:rPr>
        <w:t xml:space="preserve"> </w:t>
      </w:r>
      <w:r>
        <w:rPr>
          <w:rFonts w:ascii="Spectral" w:hAnsi="Spectral" w:eastAsia="Spectral"/>
          <w:i/>
          <w:iCs/>
          <w:color w:val="132338"/>
        </w:rPr>
        <w:t xml:space="preserve">(implemented)</w:t>
      </w:r>
    </w:p>
    <w:p>
      <w:pPr>
        <w:pStyle w:val="FirstParagraph"/>
      </w:pPr>
      <w:r>
        <w:t xml:space="preserve">SEARCH moves the reader from intent to source. Metadata search responds while typing within 150 ms at P95 on 2,000 books (FR-SEARCH-001, budget NFR-OGMA-003). The FTS5 index covers extracted text, notes, tags, descriptions, and tables of contents (FR-SEARCH-002); results explain their match location (FR-SEARCH-003); semantic search supports natural-language intent (FR-SEARCH-004); hybrid ranking blends exact match, recency, reading status, rating, and semantic similarity (FR-SEARCH-005); and an index manager exposes progress, indexed books, pending OCR, failed extraction, and index size (FR-SEARCH-006). Code:</w:t>
      </w:r>
      <w:r>
        <w:t xml:space="preserve">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HybridRankingService</w:t>
      </w:r>
      <w:r>
        <w:t xml:space="preserve">,</w:t>
      </w:r>
      <w:r>
        <w:t xml:space="preserve"> </w:t>
      </w:r>
      <w:r>
        <w:rPr>
          <w:rStyle w:val="VerbatimChar"/>
        </w:rPr>
        <w:t xml:space="preserve">IndexManagerService</w:t>
      </w:r>
      <w:r>
        <w:t xml:space="preserve">.</w:t>
      </w:r>
    </w:p>
    <w:bookmarkEnd w:id="45"/>
    <w:bookmarkStart w:id="46" w:name="Xb94cdc2f6b9a4ad18bafbf7f463ecd5893728ed"/>
    <w:p>
      <w:pPr>
        <w:pStyle w:val="Heading3"/>
      </w:pPr>
      <w:r>
        <w:rPr>
          <w:rStyle w:val="SectionNumber"/>
          <w:rFonts w:ascii="Spectral" w:hAnsi="Spectral" w:eastAsia="Spectral"/>
          <w:color w:val="132338"/>
        </w:rPr>
        <w:t xml:space="preserve">7.1.6</w:t>
      </w:r>
      <w:r>
        <w:rPr>
          <w:rFonts w:ascii="Spectral" w:hAnsi="Spectral" w:eastAsia="Spectral"/>
          <w:color w:val="132338"/>
        </w:rPr>
        <w:tab/>
      </w:r>
      <w:r>
        <w:rPr>
          <w:rFonts w:ascii="Spectral" w:hAnsi="Spectral" w:eastAsia="Spectral"/>
          <w:color w:val="132338"/>
        </w:rPr>
        <w:t xml:space="preserve">AI — AI Advisor</w:t>
      </w:r>
      <w:r>
        <w:rPr>
          <w:rFonts w:ascii="Spectral" w:hAnsi="Spectral" w:eastAsia="Spectral"/>
          <w:color w:val="132338"/>
        </w:rPr>
        <w:t xml:space="preserve"> </w:t>
      </w:r>
      <w:r>
        <w:rPr>
          <w:rFonts w:ascii="Spectral" w:hAnsi="Spectral" w:eastAsia="Spectral"/>
          <w:i/>
          <w:iCs/>
          <w:color w:val="132338"/>
        </w:rPr>
        <w:t xml:space="preserve">(implemented except answer mode)</w:t>
      </w:r>
    </w:p>
    <w:p>
      <w:pPr>
        <w:pStyle w:val="FirstParagraph"/>
      </w:pPr>
      <w:r>
        <w:t xml:space="preserve">AI is the intelligence layer, optional by construction: the user can disable it completely, no provider key is required, and no AI UI blocks core reading (FR-AI-001 — the default provider is</w:t>
      </w:r>
      <w:r>
        <w:t xml:space="preserve"> </w:t>
      </w:r>
      <w:r>
        <w:rPr>
          <w:rStyle w:val="VerbatimChar"/>
        </w:rPr>
        <w:t xml:space="preserve">AiDisabledProvider</w:t>
      </w:r>
      <w:r>
        <w:t xml:space="preserve">). Providers — OpenAI, Anthropic-compatible, DeepSeek-compatible, Ollama/local — sit behind one contract (FR-AI-002), with architecture tests enforcing a single HTTP-egress chokepoint. Recommendations arrive as ranked cards with explanation and confidence (FR-AI-003). Metadata-only is the default cloud tier (FR-AI-004); content-aware is opt-in with a privacy label and payload preview (FR-AI-005); local embeddings run without cloud upload (FR-AI-006). Reading plans (FR-AI-007), locally stored deletable query history (FR-AI-009), per-call cost estimates (FR-AI-010), and the Privacy Center — keys, recent calls with exact payloads, per-call tier, erasure controls, audit export (FR-AI-011) — are implemented. Answer mode citing local evidence (FR-AI-008, V2) is a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w:t>
      </w:r>
    </w:p>
    <w:bookmarkEnd w:id="46"/>
    <w:bookmarkEnd w:id="47"/>
    <w:bookmarkStart w:id="51" w:name="Xaba3a005ce6e375e4c5799f6ceda8d18f2931c5"/>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Classroom Module Groups (V2 product, implemented in code)</w:t>
      </w:r>
    </w:p>
    <w:bookmarkStart w:id="48" w:name="Xa9604a0df7e76f65d5e237639b9b7227cd1d223"/>
    <w:p>
      <w:pPr>
        <w:pStyle w:val="Heading3"/>
      </w:pPr>
      <w:r>
        <w:rPr>
          <w:rStyle w:val="SectionNumber"/>
          <w:rFonts w:ascii="Spectral" w:hAnsi="Spectral" w:eastAsia="Spectral"/>
          <w:color w:val="132338"/>
        </w:rPr>
        <w:t xml:space="preserve">7.2.1</w:t>
      </w:r>
      <w:r>
        <w:rPr>
          <w:rFonts w:ascii="Spectral" w:hAnsi="Spectral" w:eastAsia="Spectral"/>
          <w:color w:val="132338"/>
        </w:rPr>
        <w:tab/>
      </w:r>
      <w:r>
        <w:rPr>
          <w:rFonts w:ascii="Spectral" w:hAnsi="Spectral" w:eastAsia="Spectral"/>
          <w:color w:val="132338"/>
        </w:rPr>
        <w:t xml:space="preserve">LAN — Library Host Mode</w:t>
      </w:r>
      <w:r>
        <w:rPr>
          <w:rFonts w:ascii="Spectral" w:hAnsi="Spectral" w:eastAsia="Spectral"/>
          <w:color w:val="132338"/>
        </w:rPr>
        <w:t xml:space="preserve"> </w:t>
      </w:r>
      <w:r>
        <w:rPr>
          <w:rFonts w:ascii="Spectral" w:hAnsi="Spectral" w:eastAsia="Spectral"/>
          <w:i/>
          <w:iCs/>
          <w:color w:val="132338"/>
        </w:rPr>
        <w:t xml:space="preserve">(implemented, Phase 16)</w:t>
      </w:r>
    </w:p>
    <w:p>
      <w:pPr>
        <w:pStyle w:val="FirstParagraph"/>
      </w:pPr>
      <w:r>
        <w:t xml:space="preserve">An opt-in host serves the catalogue and PDF streams to the local network only. The default install runs no inbound listener; enabling host mode is explicit, reversible, and audited (FR-LAN-001). The host serves over TLS (FR-LAN-002) with certificate provisioning and a trust-on-first-use client trust store with fingerprint display (FR-LAN-004), advertises via mDNS (FR-LAN-003), authenticates clients with per-profile credentials and QR join codes (FR-LAN-005), streams PDF content by range request with server-side path validation against the published root (FR-LAN-006), manages and revokes sessions (FR-LAN-007), serves only admin-published folders/shelves — unpublished content is never enumerable (FR-LAN-009) — and keeps an exportable activity audit log (FR-LAN-010). Host loss is non-destructive to clients (FR-LAN-008). Code:</w:t>
      </w:r>
      <w:r>
        <w:t xml:space="preserve"> </w:t>
      </w:r>
      <w:r>
        <w:rPr>
          <w:rStyle w:val="VerbatimChar"/>
        </w:rPr>
        <w:t xml:space="preserve">KestrelHostModeListener</w:t>
      </w:r>
      <w:r>
        <w:t xml:space="preserve">.</w:t>
      </w:r>
    </w:p>
    <w:bookmarkEnd w:id="48"/>
    <w:bookmarkStart w:id="49" w:name="X0eb3ffd72edade0decc25fcd7821a8f336d5346"/>
    <w:p>
      <w:pPr>
        <w:pStyle w:val="Heading3"/>
      </w:pPr>
      <w:r>
        <w:rPr>
          <w:rStyle w:val="SectionNumber"/>
          <w:rFonts w:ascii="Spectral" w:hAnsi="Spectral" w:eastAsia="Spectral"/>
          <w:color w:val="132338"/>
        </w:rPr>
        <w:t xml:space="preserve">7.2.2</w:t>
      </w:r>
      <w:r>
        <w:rPr>
          <w:rFonts w:ascii="Spectral" w:hAnsi="Spectral" w:eastAsia="Spectral"/>
          <w:color w:val="132338"/>
        </w:rPr>
        <w:tab/>
      </w:r>
      <w:r>
        <w:rPr>
          <w:rFonts w:ascii="Spectral" w:hAnsi="Spectral" w:eastAsia="Spectral"/>
          <w:color w:val="132338"/>
        </w:rPr>
        <w:t xml:space="preserve">CLIENT — Classroom Client Mode</w:t>
      </w:r>
      <w:r>
        <w:rPr>
          <w:rFonts w:ascii="Spectral" w:hAnsi="Spectral" w:eastAsia="Spectral"/>
          <w:color w:val="132338"/>
        </w:rPr>
        <w:t xml:space="preserve"> </w:t>
      </w:r>
      <w:r>
        <w:rPr>
          <w:rFonts w:ascii="Spectral" w:hAnsi="Spectral" w:eastAsia="Spectral"/>
          <w:i/>
          <w:iCs/>
          <w:color w:val="132338"/>
        </w:rPr>
        <w:t xml:space="preserve">(implemented, Phase 17)</w:t>
      </w:r>
    </w:p>
    <w:p>
      <w:pPr>
        <w:pStyle w:val="FirstParagraph"/>
      </w:pPr>
      <w:r>
        <w:t xml:space="preserve">Clients discover or enter a host, browse the shared catalogue (FR-CLIENT-001), and hold per-student profiles with private reading state (FR-CLIENT-002) under student/teacher/administrator roles (FR-CLIENT-003). Reading streams content — no full-file copy required (FR-CLIENT-004) — with an offline cache under an explicit size limit and purge control (FR-CLIENT-005). Reading state syncs with latest-writer-wins per field and no silent data loss (FR-CLIENT-006). Client search runs against the host index with the same match-location explanations as local search (FR-CLIENT-007). Students' reading state and AI history are invisible to other students (FR-CLIENT-008); revocation applies at next connection while local notes survive (FR-CLIENT-009); clients are read-only against the shared library (FR-CLIENT-010); connection state is shown, degrading to the local library when the host is unreachable (FR-CLIENT-011); teacher dashboards are class-level aggregate with disclosed visibility (FR-CLIENT-012); and entitlements govern which shelves and books a profile may open (FR-CLIENT-013). Code:</w:t>
      </w:r>
      <w:r>
        <w:t xml:space="preserve"> </w:t>
      </w:r>
      <w:r>
        <w:rPr>
          <w:rStyle w:val="VerbatimChar"/>
        </w:rPr>
        <w:t xml:space="preserve">ClassroomClient</w:t>
      </w:r>
      <w:r>
        <w:t xml:space="preserve">.</w:t>
      </w:r>
    </w:p>
    <w:bookmarkEnd w:id="49"/>
    <w:bookmarkStart w:id="50" w:name="X9b0e2d50f533c6e9d87fb6c6243b523790622f9"/>
    <w:p>
      <w:pPr>
        <w:pStyle w:val="Heading3"/>
      </w:pPr>
      <w:r>
        <w:rPr>
          <w:rStyle w:val="SectionNumber"/>
          <w:rFonts w:ascii="Spectral" w:hAnsi="Spectral" w:eastAsia="Spectral"/>
          <w:color w:val="132338"/>
        </w:rPr>
        <w:t xml:space="preserve">7.2.3</w:t>
      </w:r>
      <w:r>
        <w:rPr>
          <w:rFonts w:ascii="Spectral" w:hAnsi="Spectral" w:eastAsia="Spectral"/>
          <w:color w:val="132338"/>
        </w:rPr>
        <w:tab/>
      </w:r>
      <w:r>
        <w:rPr>
          <w:rFonts w:ascii="Spectral" w:hAnsi="Spectral" w:eastAsia="Spectral"/>
          <w:color w:val="132338"/>
        </w:rPr>
        <w:t xml:space="preserve">ADMIN — School Administration and Managed AI</w:t>
      </w:r>
      <w:r>
        <w:rPr>
          <w:rFonts w:ascii="Spectral" w:hAnsi="Spectral" w:eastAsia="Spectral"/>
          <w:color w:val="132338"/>
        </w:rPr>
        <w:t xml:space="preserve"> </w:t>
      </w:r>
      <w:r>
        <w:rPr>
          <w:rFonts w:ascii="Spectral" w:hAnsi="Spectral" w:eastAsia="Spectral"/>
          <w:i/>
          <w:iCs/>
          <w:color w:val="132338"/>
        </w:rPr>
        <w:t xml:space="preserve">(implemented, Phase 18)</w:t>
      </w:r>
    </w:p>
    <w:p>
      <w:pPr>
        <w:pStyle w:val="FirstParagraph"/>
      </w:pPr>
      <w:r>
        <w:t xml:space="preserve">The administrator publishes and unpublishes folders (FR-ADMIN-001), curates shared shelves (FR-ADMIN-002), and enrolls, edits, and revokes profiles (FR-ADMIN-003). The school AI key lives in the host OS credential store, masked after entry and never transmitted to clients (FR-ADMIN-004); every student AI query routes through the host AI gateway (FR-ADMIN-005) under a class default of metadata-only (FR-ADMIN-006), with the privacy-tier label and payload preview shown to the student before any off-device call (FR-ADMIN-007). Per-student and per-class quotas (FR-ADMIN-008) and per-student rate limits (FR-ADMIN-009) are enforced; the dashboard shows usage, cost, and quota utilization (FR-ADMIN-010); classroom answer mode cites only host-catalogue evidence (FR-ADMIN-011); students can delete their own AI history (FR-ADMIN-012) and the administrator can purge all student AI history for the institution (FR-ADMIN-013). Code:</w:t>
      </w:r>
      <w:r>
        <w:t xml:space="preserve"> </w:t>
      </w:r>
      <w:r>
        <w:rPr>
          <w:rStyle w:val="VerbatimChar"/>
        </w:rPr>
        <w:t xml:space="preserve">SchoolAdmin</w:t>
      </w:r>
      <w:r>
        <w:t xml:space="preserve">, including DPIA screening and audit export.</w:t>
      </w:r>
    </w:p>
    <w:bookmarkEnd w:id="50"/>
    <w:bookmarkEnd w:id="51"/>
    <w:bookmarkStart w:id="54" w:name="extension-and-experience-groups"/>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Extension and Experience Groups</w:t>
      </w:r>
    </w:p>
    <w:bookmarkStart w:id="52" w:name="X7a5893fc54aa9521a9fd798b9f1475e8136b3ff"/>
    <w:p>
      <w:pPr>
        <w:pStyle w:val="Heading3"/>
      </w:pPr>
      <w:r>
        <w:rPr>
          <w:rStyle w:val="SectionNumber"/>
          <w:rFonts w:ascii="Spectral" w:hAnsi="Spectral" w:eastAsia="Spectral"/>
          <w:color w:val="132338"/>
        </w:rPr>
        <w:t xml:space="preserve">7.3.1</w:t>
      </w:r>
      <w:r>
        <w:rPr>
          <w:rFonts w:ascii="Spectral" w:hAnsi="Spectral" w:eastAsia="Spectral"/>
          <w:color w:val="132338"/>
        </w:rPr>
        <w:tab/>
      </w:r>
      <w:r>
        <w:rPr>
          <w:rFonts w:ascii="Spectral" w:hAnsi="Spectral" w:eastAsia="Spectral"/>
          <w:color w:val="132338"/>
        </w:rPr>
        <w:t xml:space="preserve">EXT — Extension SDK</w:t>
      </w:r>
      <w:r>
        <w:rPr>
          <w:rFonts w:ascii="Spectral" w:hAnsi="Spectral" w:eastAsia="Spectral"/>
          <w:color w:val="132338"/>
        </w:rPr>
        <w:t xml:space="preserve"> </w:t>
      </w:r>
      <w:r>
        <w:rPr>
          <w:rFonts w:ascii="Spectral" w:hAnsi="Spectral" w:eastAsia="Spectral"/>
          <w:i/>
          <w:iCs/>
          <w:color w:val="132338"/>
        </w:rPr>
        <w:t xml:space="preserve">(V2, specified; not yet implemented)</w:t>
      </w:r>
    </w:p>
    <w:p>
      <w:pPr>
        <w:pStyle w:val="FirstParagraph"/>
      </w:pPr>
      <w:r>
        <w:t xml:space="preserve">Plugin interfaces for metadata, export, OCR, and AI providers, with all extension off-device traffic routed through the AI gateway privacy tiers (FR-EXT-001); a documented local read API over the catalogue and search index (FR-EXT-002); and importers for Zotero, Calibre, and Goodreads plus theme and icon packs (FR-EXT-003). This group is the open-source-readiness surface and lands with Phase 23 extension points.</w:t>
      </w:r>
    </w:p>
    <w:bookmarkEnd w:id="52"/>
    <w:bookmarkStart w:id="53" w:name="X217220da8368aa969f66e11dcef12585386a741"/>
    <w:p>
      <w:pPr>
        <w:pStyle w:val="Heading3"/>
      </w:pPr>
      <w:r>
        <w:rPr>
          <w:rStyle w:val="SectionNumber"/>
          <w:rFonts w:ascii="Spectral" w:hAnsi="Spectral" w:eastAsia="Spectral"/>
          <w:color w:val="132338"/>
        </w:rPr>
        <w:t xml:space="preserve">7.3.2</w:t>
      </w:r>
      <w:r>
        <w:rPr>
          <w:rFonts w:ascii="Spectral" w:hAnsi="Spectral" w:eastAsia="Spectral"/>
          <w:color w:val="132338"/>
        </w:rPr>
        <w:tab/>
      </w:r>
      <w:r>
        <w:rPr>
          <w:rFonts w:ascii="Spectral" w:hAnsi="Spectral" w:eastAsia="Spectral"/>
          <w:color w:val="132338"/>
        </w:rPr>
        <w:t xml:space="preserve">UX — Premium Experience Requirements</w:t>
      </w:r>
      <w:r>
        <w:rPr>
          <w:rFonts w:ascii="Spectral" w:hAnsi="Spectral" w:eastAsia="Spectral"/>
          <w:color w:val="132338"/>
        </w:rPr>
        <w:t xml:space="preserve"> </w:t>
      </w:r>
      <w:r>
        <w:rPr>
          <w:rFonts w:ascii="Spectral" w:hAnsi="Spectral" w:eastAsia="Spectral"/>
          <w:i/>
          <w:iCs/>
          <w:color w:val="132338"/>
        </w:rPr>
        <w:t xml:space="preserve">(en/fr implemented; es/it/de and the WCAG audit pending Phase 21)</w:t>
      </w:r>
    </w:p>
    <w:p>
      <w:pPr>
        <w:pStyle w:val="FirstParagraph"/>
      </w:pPr>
      <w:r>
        <w:t xml:space="preserve">The premium thresholds formerly stranded in PRD prose are first-class requirements: zero-mandatory-configuration onboarding with install-to-browsable ≤ 5 min for 2,000 PDFs (FR-UX-001); designed loading, empty, error, and in-progress states on every primary surface — no blank panels (FR-UX-002); a command palette over all catalogue, reader, and search commands (FR-UX-003); runtime en/fr language switch without restart, es/it/de at V2 (FR-UX-004); full keyboard operability of all core flows (FR-UX-005); offline in-app contextual help and searchable manual (FR-UX-006, V1); the 60 s locate-and-resume journey (FR-UX-007); and light/dark/system themes with reader typography controls and WCAG 2.2 AA contrast in both themes (FR-UX-008).</w:t>
      </w:r>
    </w:p>
    <w:bookmarkEnd w:id="53"/>
    <w:bookmarkEnd w:id="54"/>
    <w:bookmarkEnd w:id="55"/>
    <w:bookmarkStart w:id="63" w:name="premium-positioning"/>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Premium Positioning</w:t>
      </w:r>
    </w:p>
    <w:p>
      <w:pPr>
        <w:pStyle w:val="FirstParagraph"/>
      </w:pPr>
      <w:r>
        <w:t xml:space="preserve">Ogma Library is premium, world-class product work. In this PRD,</w:t>
      </w:r>
      <w:r>
        <w:t xml:space="preserve"> </w:t>
      </w:r>
      <w:r>
        <w:rPr>
          <w:i/>
          <w:iCs/>
        </w:rPr>
        <w:t xml:space="preserve">premium</w:t>
      </w:r>
      <w:r>
        <w:t xml:space="preserve"> </w:t>
      </w:r>
      <w:r>
        <w:t xml:space="preserve">is never a marketing adjective: it is expressed only as measurable quality, trust, onboarding, support, usability, reliability, and privacy, each tied to a threshold that passes or fails at a release gate. Since baseline v2.0, every premium threshold that previously lived in this section's prose is a first-class requirement in the FR-UX group or an NFR-OGMA budget, so the premium promise gates releases mechanically rather than rhetorically. The unifying expression remains the</w:t>
      </w:r>
      <w:r>
        <w:t xml:space="preserve"> </w:t>
      </w:r>
      <w:r>
        <w:rPr>
          <w:i/>
          <w:iCs/>
        </w:rPr>
        <w:t xml:space="preserve">premium-means-calm-control</w:t>
      </w:r>
      <w:r>
        <w:t xml:space="preserve"> </w:t>
      </w:r>
      <w:r>
        <w:t xml:space="preserve">principle from Section 3.</w:t>
      </w:r>
    </w:p>
    <w:bookmarkStart w:id="56" w:name="Xe6f22ed66544dc861c806abad0f45c69ddf2039"/>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The Premium Buyer and the Expensive Problem</w:t>
      </w:r>
    </w:p>
    <w:p>
      <w:pPr>
        <w:pStyle w:val="FirstParagraph"/>
      </w:pPr>
      <w:r>
        <w:t xml:space="preserve">Two buyers, two decision paths:</w:t>
      </w:r>
    </w:p>
    <w:p>
      <w:pPr>
        <w:pStyle w:val="Compact"/>
        <w:numPr>
          <w:ilvl w:val="0"/>
          <w:numId w:val="1006"/>
        </w:numPr>
      </w:pPr>
      <w:r>
        <w:rPr>
          <w:b/>
          <w:bCs/>
        </w:rPr>
        <w:t xml:space="preserve">The individual buyer</w:t>
      </w:r>
      <w:r>
        <w:t xml:space="preserve"> </w:t>
      </w:r>
      <w:r>
        <w:t xml:space="preserve">(serious reader, researcher, collector) is their own economic buyer, user, and technical approver. Their expensive problem is a personal corpus accumulated over years that they can no longer command; their rejection triggers are subscription pricing, cloud lock-in, and any hint that an edit could corrupt a file. Proof they can inspect before purchase: the payload preview, the reversibility contract (backup, diff, verify, restore), the export formats, and signed store-distributed builds.</w:t>
      </w:r>
    </w:p>
    <w:p>
      <w:pPr>
        <w:pStyle w:val="Compact"/>
        <w:numPr>
          <w:ilvl w:val="0"/>
          <w:numId w:val="1006"/>
        </w:numPr>
      </w:pPr>
      <w:r>
        <w:rPr>
          <w:b/>
          <w:bCs/>
        </w:rPr>
        <w:t xml:space="preserve">The education buyer</w:t>
      </w:r>
      <w:r>
        <w:t xml:space="preserve"> </w:t>
      </w:r>
      <w:r>
        <w:t xml:space="preserve">separates roles: the school administrator or head is the economic buyer, students and teachers are daily users, an ICT teacher is the technical approver, and minors'-data compliance is the risk owner's veto. Their expensive problem is a physical collection only one person can use at a time, plus AI tools whose spend and student-data handling they cannot control. Proof required: LAN-only architecture with no inbound internet listener (D-008), the managed-AI key model where the key is never disclosed after entry, per-student privacy guarantees, quota and cost dashboards, and exportable audit logs — each an implemented requirement (FR-ADMIN-004 to FR-ADMIN-010, FR-LAN-010), not a brochure claim.</w:t>
      </w:r>
    </w:p>
    <w:bookmarkEnd w:id="56"/>
    <w:bookmarkStart w:id="57" w:name="value-made-visible-through-usable-ux"/>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Value Made Visible Through Usable UX</w:t>
      </w:r>
    </w:p>
    <w:p>
      <w:pPr>
        <w:pStyle w:val="FirstParagraph"/>
      </w:pPr>
      <w:r>
        <w:t xml:space="preserve">Premium value is visible the moment a large folder becomes a recognisable library. The metric is comprehension speed and operability, not aesthetics.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Quality dimension</w:t>
            </w:r>
          </w:p>
        </w:tc>
        <w:tc>
          <w:tcPr>
            <w:shd w:fill="132338"/>
          </w:tcPr>
          <w:p>
            <w:pPr>
              <w:pStyle w:val="Compact"/>
            </w:pPr>
            <w:r>
              <w:rPr>
                <w:rFonts w:ascii="Public Sans" w:hAnsi="Public Sans" w:eastAsia="Public Sans"/>
                <w:b/>
                <w:color w:val="FFFFFF"/>
                <w:sz w:val="17"/>
              </w:rPr>
              <w:t xml:space="preserve">Requirement and threshold</w:t>
            </w:r>
          </w:p>
        </w:tc>
      </w:tr>
      <w:tr>
        <w:trPr>
          <w:cantSplit/>
        </w:trPr>
        <w:tc>
          <w:tcPr/>
          <w:p>
            <w:pPr>
              <w:pStyle w:val="Compact"/>
            </w:pPr>
            <w:r>
              <w:t xml:space="preserve">Onboarding</w:t>
            </w:r>
          </w:p>
        </w:tc>
        <w:tc>
          <w:tcPr/>
          <w:p>
            <w:pPr>
              <w:pStyle w:val="Compact"/>
            </w:pPr>
            <w:r>
              <w:t xml:space="preserve">Zero mandatory configuration beyond choosing the library root; install-to-browsable ≤ 5 min for 2,000 PDFs on W-REF-01 (FR-UX-001).</w:t>
            </w:r>
          </w:p>
        </w:tc>
      </w:tr>
      <w:tr>
        <w:trPr>
          <w:cantSplit/>
        </w:trPr>
        <w:tc>
          <w:tcPr/>
          <w:p>
            <w:pPr>
              <w:pStyle w:val="Compact"/>
            </w:pPr>
            <w:r>
              <w:t xml:space="preserve">Locate and resume</w:t>
            </w:r>
          </w:p>
        </w:tc>
        <w:tc>
          <w:tcPr/>
          <w:p>
            <w:pPr>
              <w:pStyle w:val="Compact"/>
            </w:pPr>
            <w:r>
              <w:t xml:space="preserve">A known book found and resumed at last position within 60 s of launch, as a scripted journey on reference hardware (FR-UX-007).</w:t>
            </w:r>
          </w:p>
        </w:tc>
      </w:tr>
      <w:tr>
        <w:trPr>
          <w:cantSplit/>
        </w:trPr>
        <w:tc>
          <w:tcPr/>
          <w:p>
            <w:pPr>
              <w:pStyle w:val="Compact"/>
            </w:pPr>
            <w:r>
              <w:t xml:space="preserve">State completeness</w:t>
            </w:r>
          </w:p>
        </w:tc>
        <w:tc>
          <w:tcPr/>
          <w:p>
            <w:pPr>
              <w:pStyle w:val="Compact"/>
            </w:pPr>
            <w:r>
              <w:t xml:space="preserve">Every primary surface defines loading, empty, error, and in-progress states; a blank panel is a defect (FR-UX-002).</w:t>
            </w:r>
          </w:p>
        </w:tc>
      </w:tr>
      <w:tr>
        <w:trPr>
          <w:cantSplit/>
        </w:trPr>
        <w:tc>
          <w:tcPr/>
          <w:p>
            <w:pPr>
              <w:pStyle w:val="Compact"/>
            </w:pPr>
            <w:r>
              <w:t xml:space="preserve">Keyboard command</w:t>
            </w:r>
          </w:p>
        </w:tc>
        <w:tc>
          <w:tcPr/>
          <w:p>
            <w:pPr>
              <w:pStyle w:val="Compact"/>
            </w:pPr>
            <w:r>
              <w:t xml:space="preserve">All core flows operable end-to-end by keyboard alone (FR-UX-005); a command palette exposes all catalogue, reader, and search commands (FR-UX-003).</w:t>
            </w:r>
          </w:p>
        </w:tc>
      </w:tr>
      <w:tr>
        <w:trPr>
          <w:cantSplit/>
        </w:trPr>
        <w:tc>
          <w:tcPr/>
          <w:p>
            <w:pPr>
              <w:pStyle w:val="Compact"/>
            </w:pPr>
            <w:r>
              <w:t xml:space="preserve">Accessibility</w:t>
            </w:r>
          </w:p>
        </w:tc>
        <w:tc>
          <w:tcPr/>
          <w:p>
            <w:pPr>
              <w:pStyle w:val="Compact"/>
            </w:pPr>
            <w:r>
              <w:t xml:space="preserve">WCAG 2.2 Level AA conformance as a release gate, audited at Phase 21 (FR-UX-005, FR-UX-008).</w:t>
            </w:r>
          </w:p>
        </w:tc>
      </w:tr>
      <w:tr>
        <w:trPr>
          <w:cantSplit/>
        </w:trPr>
        <w:tc>
          <w:tcPr/>
          <w:p>
            <w:pPr>
              <w:pStyle w:val="Compact"/>
            </w:pPr>
            <w:r>
              <w:t xml:space="preserve">Responsiveness under load</w:t>
            </w:r>
          </w:p>
        </w:tc>
        <w:tc>
          <w:tcPr/>
          <w:p>
            <w:pPr>
              <w:pStyle w:val="Compact"/>
            </w:pPr>
            <w:r>
              <w:t xml:space="preserve">Background scanning, thumbnailing, and indexing never block the interface; catalogue interactive during jobs on the 2,000-book corpus (FR-LIB-005).</w:t>
            </w:r>
          </w:p>
        </w:tc>
      </w:tr>
      <w:tr>
        <w:trPr>
          <w:cantSplit/>
        </w:trPr>
        <w:tc>
          <w:tcPr/>
          <w:p>
            <w:pPr>
              <w:pStyle w:val="Compact"/>
            </w:pPr>
            <w:r>
              <w:t xml:space="preserve">Language</w:t>
            </w:r>
          </w:p>
        </w:tc>
        <w:tc>
          <w:tcPr/>
          <w:p>
            <w:pPr>
              <w:pStyle w:val="Compact"/>
            </w:pPr>
            <w:r>
              <w:t xml:space="preserve">Runtime English/French switch without restart at MVP; Spanish, Italian, German at final (FR-UX-004).</w:t>
            </w:r>
          </w:p>
        </w:tc>
      </w:tr>
    </w:tbl>
    <w:bookmarkEnd w:id="57"/>
    <w:bookmarkStart w:id="58" w:name="buyer-and-user-proof"/>
    <w:p>
      <w:pPr>
        <w:pStyle w:val="Heading2"/>
      </w:pPr>
      <w:r>
        <w:rPr>
          <w:rStyle w:val="SectionNumber"/>
          <w:rFonts w:ascii="Spectral" w:hAnsi="Spectral" w:eastAsia="Spectral"/>
          <w:color w:val="132338"/>
        </w:rPr>
        <w:t xml:space="preserve">8.3</w:t>
      </w:r>
      <w:r>
        <w:rPr>
          <w:rFonts w:ascii="Spectral" w:hAnsi="Spectral" w:eastAsia="Spectral"/>
          <w:color w:val="132338"/>
        </w:rPr>
        <w:tab/>
      </w:r>
      <w:r>
        <w:rPr>
          <w:rFonts w:ascii="Spectral" w:hAnsi="Spectral" w:eastAsia="Spectral"/>
          <w:color w:val="132338"/>
        </w:rPr>
        <w:t xml:space="preserve">Buyer and User Proof</w:t>
      </w:r>
    </w:p>
    <w:p>
      <w:pPr>
        <w:pStyle w:val="FirstParagraph"/>
      </w:pPr>
      <w:r>
        <w:t xml:space="preserve">Premium products earn trust through inspectable proof, not claims.</w:t>
      </w:r>
    </w:p>
    <w:p>
      <w:pPr>
        <w:pStyle w:val="Compact"/>
        <w:numPr>
          <w:ilvl w:val="0"/>
          <w:numId w:val="1007"/>
        </w:numPr>
      </w:pPr>
      <w:r>
        <w:t xml:space="preserve">Every metadata write-back shows a field-level diff and a backup reference before commit (FR-META-005).</w:t>
      </w:r>
    </w:p>
    <w:p>
      <w:pPr>
        <w:pStyle w:val="Compact"/>
        <w:numPr>
          <w:ilvl w:val="0"/>
          <w:numId w:val="1007"/>
        </w:numPr>
      </w:pPr>
      <w:r>
        <w:t xml:space="preserve">The payload preview shows the exact data leaving the device before any off-device AI call, for individuals (FR-AI-005) and for students (FR-ADMIN-007).</w:t>
      </w:r>
    </w:p>
    <w:p>
      <w:pPr>
        <w:pStyle w:val="Compact"/>
        <w:numPr>
          <w:ilvl w:val="0"/>
          <w:numId w:val="1007"/>
        </w:numPr>
      </w:pPr>
      <w:r>
        <w:t xml:space="preserve">The Privacy Center lists provider keys, recent AI calls with exact payloads, per-call privacy tier, and erasure controls, with audit-log export (FR-AI-011).</w:t>
      </w:r>
    </w:p>
    <w:p>
      <w:pPr>
        <w:pStyle w:val="Compact"/>
        <w:numPr>
          <w:ilvl w:val="0"/>
          <w:numId w:val="1007"/>
        </w:numPr>
      </w:pPr>
      <w:r>
        <w:t xml:space="preserve">The library health dashboard and index manager surface the true state of the collection — duplicates, gaps, failures — rather than hiding it (FR-META-008, FR-SEARCH-006).</w:t>
      </w:r>
    </w:p>
    <w:p>
      <w:pPr>
        <w:pStyle w:val="Compact"/>
        <w:numPr>
          <w:ilvl w:val="0"/>
          <w:numId w:val="1007"/>
        </w:numPr>
      </w:pPr>
      <w:r>
        <w:t xml:space="preserve">The school dashboard shows AI usage, cost, and quota utilization to the buyer who pays for the key (FR-ADMIN-010).</w:t>
      </w:r>
    </w:p>
    <w:bookmarkEnd w:id="58"/>
    <w:bookmarkStart w:id="59" w:name="trust-and-privacy-as-measurable-quality"/>
    <w:p>
      <w:pPr>
        <w:pStyle w:val="Heading2"/>
      </w:pPr>
      <w:r>
        <w:rPr>
          <w:rStyle w:val="SectionNumber"/>
          <w:rFonts w:ascii="Spectral" w:hAnsi="Spectral" w:eastAsia="Spectral"/>
          <w:color w:val="132338"/>
        </w:rPr>
        <w:t xml:space="preserve">8.4</w:t>
      </w:r>
      <w:r>
        <w:rPr>
          <w:rFonts w:ascii="Spectral" w:hAnsi="Spectral" w:eastAsia="Spectral"/>
          <w:color w:val="132338"/>
        </w:rPr>
        <w:tab/>
      </w:r>
      <w:r>
        <w:rPr>
          <w:rFonts w:ascii="Spectral" w:hAnsi="Spectral" w:eastAsia="Spectral"/>
          <w:color w:val="132338"/>
        </w:rPr>
        <w:t xml:space="preserve">Trust and Privacy as Measurable Quality</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Trust dimension</w:t>
            </w:r>
          </w:p>
        </w:tc>
        <w:tc>
          <w:tcPr>
            <w:shd w:fill="132338"/>
          </w:tcPr>
          <w:p>
            <w:pPr>
              <w:pStyle w:val="Compact"/>
            </w:pPr>
            <w:r>
              <w:rPr>
                <w:rFonts w:ascii="Public Sans" w:hAnsi="Public Sans" w:eastAsia="Public Sans"/>
                <w:b/>
                <w:color w:val="FFFFFF"/>
                <w:sz w:val="17"/>
              </w:rPr>
              <w:t xml:space="preserve">Threshold</w:t>
            </w:r>
          </w:p>
        </w:tc>
      </w:tr>
      <w:tr>
        <w:trPr>
          <w:cantSplit/>
        </w:trPr>
        <w:tc>
          <w:tcPr/>
          <w:p>
            <w:pPr>
              <w:pStyle w:val="Compact"/>
            </w:pPr>
            <w:r>
              <w:t xml:space="preserve">Default transmission</w:t>
            </w:r>
          </w:p>
        </w:tc>
        <w:tc>
          <w:tcPr/>
          <w:p>
            <w:pPr>
              <w:pStyle w:val="Compact"/>
            </w:pPr>
            <w:r>
              <w:t xml:space="preserve">0 bytes leave the device on a default install; AI disabled by default, no provider key required (FR-AI-001).</w:t>
            </w:r>
          </w:p>
        </w:tc>
      </w:tr>
      <w:tr>
        <w:trPr>
          <w:cantSplit/>
        </w:trPr>
        <w:tc>
          <w:tcPr/>
          <w:p>
            <w:pPr>
              <w:pStyle w:val="Compact"/>
            </w:pPr>
            <w:r>
              <w:t xml:space="preserve">Payload transparency</w:t>
            </w:r>
          </w:p>
        </w:tc>
        <w:tc>
          <w:tcPr/>
          <w:p>
            <w:pPr>
              <w:pStyle w:val="Compact"/>
            </w:pPr>
            <w:r>
              <w:t xml:space="preserve">100% of off-device AI calls present a payload preview before transmission; a call without one is a defect.</w:t>
            </w:r>
          </w:p>
        </w:tc>
      </w:tr>
      <w:tr>
        <w:trPr>
          <w:cantSplit/>
        </w:trPr>
        <w:tc>
          <w:tcPr/>
          <w:p>
            <w:pPr>
              <w:pStyle w:val="Compact"/>
            </w:pPr>
            <w:r>
              <w:t xml:space="preserve">Erasure</w:t>
            </w:r>
          </w:p>
        </w:tc>
        <w:tc>
          <w:tcPr/>
          <w:p>
            <w:pPr>
              <w:pStyle w:val="Compact"/>
            </w:pPr>
            <w:r>
              <w:t xml:space="preserve">AI query history and embeddings fully erasable on request, verified by audit-log entry plus absence on re-inspection (FR-AI-009); students erase their own history (FR-ADMIN-012).</w:t>
            </w:r>
          </w:p>
        </w:tc>
      </w:tr>
      <w:tr>
        <w:trPr>
          <w:cantSplit/>
        </w:trPr>
        <w:tc>
          <w:tcPr/>
          <w:p>
            <w:pPr>
              <w:pStyle w:val="Compact"/>
            </w:pPr>
            <w:r>
              <w:t xml:space="preserve">Reversibility</w:t>
            </w:r>
          </w:p>
        </w:tc>
        <w:tc>
          <w:tcPr/>
          <w:p>
            <w:pPr>
              <w:pStyle w:val="Compact"/>
            </w:pPr>
            <w:r>
              <w:t xml:space="preserve">0 irreversible destructive operations; every destructive metadata or catalogue operation has a restore path (NFR-OGMA-008 for annotation durability).</w:t>
            </w:r>
          </w:p>
        </w:tc>
      </w:tr>
      <w:tr>
        <w:trPr>
          <w:cantSplit/>
        </w:trPr>
        <w:tc>
          <w:tcPr/>
          <w:p>
            <w:pPr>
              <w:pStyle w:val="Compact"/>
            </w:pPr>
            <w:r>
              <w:t xml:space="preserve">Classroom privacy</w:t>
            </w:r>
          </w:p>
        </w:tc>
        <w:tc>
          <w:tcPr/>
          <w:p>
            <w:pPr>
              <w:pStyle w:val="Compact"/>
            </w:pPr>
            <w:r>
              <w:t xml:space="preserve">A student's reading state and AI history are never visible to other students (FR-CLIENT-008); teacher dashboards are aggregate with disclosed visibility (FR-CLIENT-012).</w:t>
            </w:r>
          </w:p>
        </w:tc>
      </w:tr>
    </w:tbl>
    <w:bookmarkEnd w:id="59"/>
    <w:bookmarkStart w:id="60" w:name="X75a3c14fb87a023bff106a91fc1626f3314bbf9"/>
    <w:p>
      <w:pPr>
        <w:pStyle w:val="Heading2"/>
      </w:pPr>
      <w:r>
        <w:rPr>
          <w:rStyle w:val="SectionNumber"/>
          <w:rFonts w:ascii="Spectral" w:hAnsi="Spectral" w:eastAsia="Spectral"/>
          <w:color w:val="132338"/>
        </w:rPr>
        <w:t xml:space="preserve">8.5</w:t>
      </w:r>
      <w:r>
        <w:rPr>
          <w:rFonts w:ascii="Spectral" w:hAnsi="Spectral" w:eastAsia="Spectral"/>
          <w:color w:val="132338"/>
        </w:rPr>
        <w:tab/>
      </w:r>
      <w:r>
        <w:rPr>
          <w:rFonts w:ascii="Spectral" w:hAnsi="Spectral" w:eastAsia="Spectral"/>
          <w:color w:val="132338"/>
        </w:rPr>
        <w:t xml:space="preserve">Service Quality, Reliability, and Distribution</w:t>
      </w:r>
    </w:p>
    <w:p>
      <w:pPr>
        <w:pStyle w:val="Compact"/>
        <w:numPr>
          <w:ilvl w:val="0"/>
          <w:numId w:val="1008"/>
        </w:numPr>
      </w:pPr>
      <w:r>
        <w:rPr>
          <w:b/>
          <w:bCs/>
        </w:rPr>
        <w:t xml:space="preserve">Reliability.</w:t>
      </w:r>
      <w:r>
        <w:t xml:space="preserve"> </w:t>
      </w:r>
      <w:r>
        <w:t xml:space="preserve">Crash-free session rate ≥ 99.5% over any rolling 30-day window of opted-in telemetry; any reproducible crash that loses unsaved annotation or catalogue state is a release blocker regardless of the aggregate (NFR-PROD-006).</w:t>
      </w:r>
    </w:p>
    <w:p>
      <w:pPr>
        <w:pStyle w:val="Compact"/>
        <w:numPr>
          <w:ilvl w:val="0"/>
          <w:numId w:val="1008"/>
        </w:numPr>
      </w:pPr>
      <w:r>
        <w:rPr>
          <w:b/>
          <w:bCs/>
        </w:rPr>
        <w:t xml:space="preserve">Performance.</w:t>
      </w:r>
      <w:r>
        <w:t xml:space="preserve"> </w:t>
      </w:r>
      <w:r>
        <w:t xml:space="preserve">The binding P95 budgets on W-REF-01 — cold start ≤ 3 s, catalogue load ≤ 2 s, metadata search ≤ 150 ms, full-text search ≤ 500 ms warm, page turn ≤ 100 ms cached, 3D shelf ≥ 60 FPS at 500 books — are Section 8's release gates (NFR-OGMA-001 to NFR-OGMA-006).</w:t>
      </w:r>
    </w:p>
    <w:p>
      <w:pPr>
        <w:pStyle w:val="Compact"/>
        <w:numPr>
          <w:ilvl w:val="0"/>
          <w:numId w:val="1008"/>
        </w:numPr>
      </w:pPr>
      <w:r>
        <w:rPr>
          <w:b/>
          <w:bCs/>
        </w:rPr>
        <w:t xml:space="preserve">Durability and migration.</w:t>
      </w:r>
      <w:r>
        <w:t xml:space="preserve"> </w:t>
      </w:r>
      <w:r>
        <w:t xml:space="preserve">Schema migrations are idempotent and back up the catalogue before running; the codebase carries 10 EF Core migrations under this contract.</w:t>
      </w:r>
    </w:p>
    <w:p>
      <w:pPr>
        <w:pStyle w:val="Compact"/>
        <w:numPr>
          <w:ilvl w:val="0"/>
          <w:numId w:val="1008"/>
        </w:numPr>
      </w:pPr>
      <w:r>
        <w:rPr>
          <w:b/>
          <w:bCs/>
        </w:rPr>
        <w:t xml:space="preserve">Distribution integrity.</w:t>
      </w:r>
      <w:r>
        <w:t xml:space="preserve"> </w:t>
      </w:r>
      <w:r>
        <w:t xml:space="preserve">Builds ship signed: Velopack direct, MSIX through the Microsoft Store, notarized DMG through the Mac App Store, and GitHub releases (Phase 22). Visual identity uses the flat full-color premium icon system with localized accessible labels (D-001, D-004, D-005).</w:t>
      </w:r>
    </w:p>
    <w:p>
      <w:pPr>
        <w:pStyle w:val="Compact"/>
        <w:numPr>
          <w:ilvl w:val="0"/>
          <w:numId w:val="1008"/>
        </w:numPr>
      </w:pPr>
      <w:r>
        <w:rPr>
          <w:b/>
          <w:bCs/>
        </w:rPr>
        <w:t xml:space="preserve">Support surface.</w:t>
      </w:r>
      <w:r>
        <w:t xml:space="preserve"> </w:t>
      </w:r>
      <w:r>
        <w:t xml:space="preserve">Offline contextual help and a searchable manual in-app (FR-UX-006); Phase 23 establishes support runbooks and incident response before launch.</w:t>
      </w:r>
    </w:p>
    <w:bookmarkEnd w:id="60"/>
    <w:bookmarkStart w:id="61" w:name="pricing-power"/>
    <w:p>
      <w:pPr>
        <w:pStyle w:val="Heading2"/>
      </w:pPr>
      <w:r>
        <w:rPr>
          <w:rStyle w:val="SectionNumber"/>
          <w:rFonts w:ascii="Spectral" w:hAnsi="Spectral" w:eastAsia="Spectral"/>
          <w:color w:val="132338"/>
        </w:rPr>
        <w:t xml:space="preserve">8.6</w:t>
      </w:r>
      <w:r>
        <w:rPr>
          <w:rFonts w:ascii="Spectral" w:hAnsi="Spectral" w:eastAsia="Spectral"/>
          <w:color w:val="132338"/>
        </w:rPr>
        <w:tab/>
      </w:r>
      <w:r>
        <w:rPr>
          <w:rFonts w:ascii="Spectral" w:hAnsi="Spectral" w:eastAsia="Spectral"/>
          <w:color w:val="132338"/>
        </w:rPr>
        <w:t xml:space="preserve">Pricing Power</w:t>
      </w:r>
    </w:p>
    <w:p>
      <w:pPr>
        <w:pStyle w:val="FirstParagraph"/>
      </w:pPr>
      <w:r>
        <w:t xml:space="preserve">The competitive analysis in Section 11 shows the premium one-time-license lane (DEVONthink 4 at USD 199–299) is macOS-only, while Windows users face subscription fatigue. The pricing hypothesis — one-time USD 149–249 plus an optional ~USD 39/yr update plan, with a separate education licensing lane for host + seats — is defensible precisely because the thresholds above are inspectable. It remains an owner decision pending (OQ-11, Section 10).</w:t>
      </w:r>
    </w:p>
    <w:bookmarkEnd w:id="61"/>
    <w:bookmarkStart w:id="62" w:name="what-premium-is-not"/>
    <w:p>
      <w:pPr>
        <w:pStyle w:val="Heading2"/>
      </w:pPr>
      <w:r>
        <w:rPr>
          <w:rStyle w:val="SectionNumber"/>
          <w:rFonts w:ascii="Spectral" w:hAnsi="Spectral" w:eastAsia="Spectral"/>
          <w:color w:val="132338"/>
        </w:rPr>
        <w:t xml:space="preserve">8.7</w:t>
      </w:r>
      <w:r>
        <w:rPr>
          <w:rFonts w:ascii="Spectral" w:hAnsi="Spectral" w:eastAsia="Spectral"/>
          <w:color w:val="132338"/>
        </w:rPr>
        <w:tab/>
      </w:r>
      <w:r>
        <w:rPr>
          <w:rFonts w:ascii="Spectral" w:hAnsi="Spectral" w:eastAsia="Spectral"/>
          <w:color w:val="132338"/>
        </w:rPr>
        <w:t xml:space="preserve">What Premium Is Not</w:t>
      </w:r>
    </w:p>
    <w:p>
      <w:pPr>
        <w:pStyle w:val="FirstParagraph"/>
      </w:pPr>
      <w:r>
        <w:t xml:space="preserve">Ogma Library does not express premium through superlatives, undefined claims of speed or polish, or feature volume. A requirement asserting the product is "fast", "intuitive", "reliable", or "seamless" without a measured threshold is rejected at the verification gate. Premium here is the sum of the thresholds above, governed by calm control.</w:t>
      </w:r>
    </w:p>
    <w:bookmarkEnd w:id="62"/>
    <w:bookmarkEnd w:id="63"/>
    <w:bookmarkStart w:id="73" w:name="success-metrics"/>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Success Metrics</w:t>
      </w:r>
    </w:p>
    <w:p>
      <w:pPr>
        <w:pStyle w:val="FirstParagraph"/>
      </w:pPr>
      <w:r>
        <w:t xml:space="preserve">Every metric below is a measurable threshold with a pass/fail oracle. Performance budgets are binding at P95 on the reference machine W-REF-01 (Intel Core i5-10210U, 8 GB DDR4, SATA SSD, Intel UHD 620, Windows 10 22H2), with M-REF-01 (MacBook Air M1, 8 GB) as the macOS check; the Windows value is the binding gate (</w:t>
      </w:r>
      <w:r>
        <w:rPr>
          <w:rStyle w:val="VerbatimChar"/>
        </w:rPr>
        <w:t xml:space="preserve">_context/reference-hardware.md</w:t>
      </w:r>
      <w:r>
        <w:t xml:space="preserve">, decision CON-1). Where an NFR-PROD domain default and an NFR-OGMA budget address the same attribute, NFR-OGMA is binding for release gates at MVP scale (2,000 books) and the NFR-PROD figure is the V1 large-library target (50,000 items) with its own gate at Phase 20.</w:t>
      </w:r>
    </w:p>
    <w:p>
      <w:pPr>
        <w:pStyle w:val="BodyText"/>
      </w:pPr>
      <w:r>
        <w:rPr>
          <w:i/>
          <w:iCs/>
        </w:rPr>
        <w:t xml:space="preserve">Evidence status:</w:t>
      </w:r>
      <w:r>
        <w:t xml:space="preserve"> </w:t>
      </w:r>
      <w:r>
        <w:t xml:space="preserve">all measurements taken before Phase 20 are trend-only (developer hardware and CI). Only Phase 20 measurements on W-REF-01/M-REF-01 or owner-approved equivalents constitute formal NFR acceptance evidence. No metric below is currently claimed as formally passed.</w:t>
      </w:r>
    </w:p>
    <w:bookmarkStart w:id="64" w:name="serious-reader-find-and-resume"/>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Serious Reader: Find and Resume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Locate-and-resume journey</w:t>
            </w:r>
          </w:p>
        </w:tc>
        <w:tc>
          <w:tcPr/>
          <w:p>
            <w:pPr>
              <w:pStyle w:val="Compact"/>
            </w:pPr>
            <w:r>
              <w:t xml:space="preserve">≤ 60 s from app launch to reading position for a known book (FR-UX-007)</w:t>
            </w:r>
          </w:p>
        </w:tc>
        <w:tc>
          <w:tcPr/>
          <w:p>
            <w:pPr>
              <w:pStyle w:val="Compact"/>
            </w:pPr>
            <w:r>
              <w:t xml:space="preserve">Scripted journey on W-REF-01.</w:t>
            </w:r>
          </w:p>
        </w:tc>
      </w:tr>
      <w:tr>
        <w:trPr>
          <w:cantSplit/>
        </w:trPr>
        <w:tc>
          <w:tcPr/>
          <w:p>
            <w:pPr>
              <w:pStyle w:val="Compact"/>
            </w:pPr>
            <w:r>
              <w:t xml:space="preserve">Resume-position accuracy</w:t>
            </w:r>
          </w:p>
        </w:tc>
        <w:tc>
          <w:tcPr/>
          <w:p>
            <w:pPr>
              <w:pStyle w:val="Compact"/>
            </w:pPr>
            <w:r>
              <w:t xml:space="preserve">100% of reopened books restore the exact last page and scroll position (FR-READ-001)</w:t>
            </w:r>
          </w:p>
        </w:tc>
        <w:tc>
          <w:tcPr/>
          <w:p>
            <w:pPr>
              <w:pStyle w:val="Compact"/>
            </w:pPr>
            <w:r>
              <w:t xml:space="preserve">Automated test across the golden corpus.</w:t>
            </w:r>
          </w:p>
        </w:tc>
      </w:tr>
      <w:tr>
        <w:trPr>
          <w:cantSplit/>
        </w:trPr>
        <w:tc>
          <w:tcPr/>
          <w:p>
            <w:pPr>
              <w:pStyle w:val="Compact"/>
            </w:pPr>
            <w:r>
              <w:t xml:space="preserve">Cold start</w:t>
            </w:r>
          </w:p>
        </w:tc>
        <w:tc>
          <w:tcPr/>
          <w:p>
            <w:pPr>
              <w:pStyle w:val="Compact"/>
            </w:pPr>
            <w:r>
              <w:t xml:space="preserve">≤ 3 s P95, process start to shell-window Loaded event (NFR-OGMA-001)</w:t>
            </w:r>
          </w:p>
        </w:tc>
        <w:tc>
          <w:tcPr/>
          <w:p>
            <w:pPr>
              <w:pStyle w:val="Compact"/>
            </w:pPr>
            <w:r>
              <w:t xml:space="preserve">Instrumented cold start on W-REF-01.</w:t>
            </w:r>
          </w:p>
        </w:tc>
      </w:tr>
      <w:tr>
        <w:trPr>
          <w:cantSplit/>
        </w:trPr>
        <w:tc>
          <w:tcPr/>
          <w:p>
            <w:pPr>
              <w:pStyle w:val="Compact"/>
            </w:pPr>
            <w:r>
              <w:t xml:space="preserve">Catalogue load, 2,000 books</w:t>
            </w:r>
          </w:p>
        </w:tc>
        <w:tc>
          <w:tcPr/>
          <w:p>
            <w:pPr>
              <w:pStyle w:val="Compact"/>
            </w:pPr>
            <w:r>
              <w:t xml:space="preserve">≤ 2 s P95, app-idle to all books visible in grid (NFR-OGMA-002)</w:t>
            </w:r>
          </w:p>
        </w:tc>
        <w:tc>
          <w:tcPr/>
          <w:p>
            <w:pPr>
              <w:pStyle w:val="Compact"/>
            </w:pPr>
            <w:r>
              <w:rPr>
                <w:rStyle w:val="VerbatimChar"/>
              </w:rPr>
              <w:t xml:space="preserve">gc-perf-2000</w:t>
            </w:r>
            <w:r>
              <w:t xml:space="preserve"> </w:t>
            </w:r>
            <w:r>
              <w:t xml:space="preserve">corpus on W-REF-01.</w:t>
            </w:r>
          </w:p>
        </w:tc>
      </w:tr>
      <w:tr>
        <w:trPr>
          <w:cantSplit/>
        </w:trPr>
        <w:tc>
          <w:tcPr/>
          <w:p>
            <w:pPr>
              <w:pStyle w:val="Compact"/>
            </w:pPr>
            <w:r>
              <w:t xml:space="preserve">3D shelf frame rate</w:t>
            </w:r>
          </w:p>
        </w:tc>
        <w:tc>
          <w:tcPr/>
          <w:p>
            <w:pPr>
              <w:pStyle w:val="Compact"/>
            </w:pPr>
            <w:r>
              <w:t xml:space="preserve">≥ 60 FPS at 500 books (NFR-OGMA-006)</w:t>
            </w:r>
          </w:p>
        </w:tc>
        <w:tc>
          <w:tcPr/>
          <w:p>
            <w:pPr>
              <w:pStyle w:val="Compact"/>
            </w:pPr>
            <w:r>
              <w:t xml:space="preserve">WebView frame timing; Intel UHD 620 is the binding constraint.</w:t>
            </w:r>
          </w:p>
        </w:tc>
      </w:tr>
    </w:tbl>
    <w:bookmarkEnd w:id="64"/>
    <w:bookmarkStart w:id="65" w:name="researcher-intent-to-source"/>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Researcher: Intent to Source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Metadata search while typing, 2,000 books</w:t>
            </w:r>
          </w:p>
        </w:tc>
        <w:tc>
          <w:tcPr/>
          <w:p>
            <w:pPr>
              <w:pStyle w:val="Compact"/>
            </w:pPr>
            <w:r>
              <w:t xml:space="preserve">≤ 150 ms P95, keypress to result list rendered (NFR-OGMA-003, FR-SEARCH-001)</w:t>
            </w:r>
          </w:p>
        </w:tc>
        <w:tc>
          <w:tcPr/>
          <w:p>
            <w:pPr>
              <w:pStyle w:val="Compact"/>
            </w:pPr>
            <w:r>
              <w:t xml:space="preserve">Instrumented keystroke-to-result timing on W-REF-01.</w:t>
            </w:r>
          </w:p>
        </w:tc>
      </w:tr>
      <w:tr>
        <w:trPr>
          <w:cantSplit/>
        </w:trPr>
        <w:tc>
          <w:tcPr/>
          <w:p>
            <w:pPr>
              <w:pStyle w:val="Compact"/>
            </w:pPr>
            <w:r>
              <w:t xml:space="preserve">Full-text search</w:t>
            </w:r>
          </w:p>
        </w:tc>
        <w:tc>
          <w:tcPr/>
          <w:p>
            <w:pPr>
              <w:pStyle w:val="Compact"/>
            </w:pPr>
            <w:r>
              <w:t xml:space="preserve">≤ 500 ms P95 warm, submit to results rendered (NFR-OGMA-004)</w:t>
            </w:r>
          </w:p>
        </w:tc>
        <w:tc>
          <w:tcPr/>
          <w:p>
            <w:pPr>
              <w:pStyle w:val="Compact"/>
            </w:pPr>
            <w:r>
              <w:t xml:space="preserve">FTS5 index warm, W-REF-01.</w:t>
            </w:r>
          </w:p>
        </w:tc>
      </w:tr>
      <w:tr>
        <w:trPr>
          <w:cantSplit/>
        </w:trPr>
        <w:tc>
          <w:tcPr/>
          <w:p>
            <w:pPr>
              <w:pStyle w:val="Compact"/>
            </w:pPr>
            <w:r>
              <w:t xml:space="preserve">Page turn</w:t>
            </w:r>
          </w:p>
        </w:tc>
        <w:tc>
          <w:tcPr/>
          <w:p>
            <w:pPr>
              <w:pStyle w:val="Compact"/>
            </w:pPr>
            <w:r>
              <w:t xml:space="preserve">≤ 100 ms P95 from render cache (NFR-OGMA-005)</w:t>
            </w:r>
          </w:p>
        </w:tc>
        <w:tc>
          <w:tcPr/>
          <w:p>
            <w:pPr>
              <w:pStyle w:val="Compact"/>
            </w:pPr>
            <w:r>
              <w:t xml:space="preserve">Navigation-to-rendered timing.</w:t>
            </w:r>
          </w:p>
        </w:tc>
      </w:tr>
      <w:tr>
        <w:trPr>
          <w:cantSplit/>
        </w:trPr>
        <w:tc>
          <w:tcPr/>
          <w:p>
            <w:pPr>
              <w:pStyle w:val="Compact"/>
            </w:pPr>
            <w:r>
              <w:t xml:space="preserve">Match-location explanation</w:t>
            </w:r>
          </w:p>
        </w:tc>
        <w:tc>
          <w:tcPr/>
          <w:p>
            <w:pPr>
              <w:pStyle w:val="Compact"/>
            </w:pPr>
            <w:r>
              <w:t xml:space="preserve">100% of search results state where they matched — title, author, note, text-page, or semantic hit (FR-SEARCH-003)</w:t>
            </w:r>
          </w:p>
        </w:tc>
        <w:tc>
          <w:tcPr/>
          <w:p>
            <w:pPr>
              <w:pStyle w:val="Compact"/>
            </w:pPr>
            <w:r>
              <w:t xml:space="preserve">Automated assertion over a defined query set.</w:t>
            </w:r>
          </w:p>
        </w:tc>
      </w:tr>
      <w:tr>
        <w:trPr>
          <w:cantSplit/>
        </w:trPr>
        <w:tc>
          <w:tcPr/>
          <w:p>
            <w:pPr>
              <w:pStyle w:val="Compact"/>
            </w:pPr>
            <w:r>
              <w:t xml:space="preserve">Citation export correctness</w:t>
            </w:r>
          </w:p>
        </w:tc>
        <w:tc>
          <w:tcPr/>
          <w:p>
            <w:pPr>
              <w:pStyle w:val="Compact"/>
            </w:pPr>
            <w:r>
              <w:t xml:space="preserve">100% of exported BibTeX, RIS, and CSL JSON records validate against their format schema (FR-READ-013)</w:t>
            </w:r>
          </w:p>
        </w:tc>
        <w:tc>
          <w:tcPr/>
          <w:p>
            <w:pPr>
              <w:pStyle w:val="Compact"/>
            </w:pPr>
            <w:r>
              <w:t xml:space="preserve">Automated schema validation.</w:t>
            </w:r>
          </w:p>
        </w:tc>
      </w:tr>
    </w:tbl>
    <w:bookmarkEnd w:id="65"/>
    <w:bookmarkStart w:id="66" w:name="collector-safe-metadata-repair"/>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Collector: Safe Metadata Repair</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Write-back reversibility</w:t>
            </w:r>
          </w:p>
        </w:tc>
        <w:tc>
          <w:tcPr/>
          <w:p>
            <w:pPr>
              <w:pStyle w:val="Compact"/>
            </w:pPr>
            <w:r>
              <w:t xml:space="preserve">100% of PDF metadata write-backs produce a restorable backup and a shown field-level diff (FR-META-005)</w:t>
            </w:r>
          </w:p>
        </w:tc>
        <w:tc>
          <w:tcPr/>
          <w:p>
            <w:pPr>
              <w:pStyle w:val="Compact"/>
            </w:pPr>
            <w:r>
              <w:t xml:space="preserve">Automated test; restore verified by byte comparison to original.</w:t>
            </w:r>
          </w:p>
        </w:tc>
      </w:tr>
      <w:tr>
        <w:trPr>
          <w:cantSplit/>
        </w:trPr>
        <w:tc>
          <w:tcPr/>
          <w:p>
            <w:pPr>
              <w:pStyle w:val="Compact"/>
            </w:pPr>
            <w:r>
              <w:t xml:space="preserve">Write-back data-loss incidents</w:t>
            </w:r>
          </w:p>
        </w:tc>
        <w:tc>
          <w:tcPr/>
          <w:p>
            <w:pPr>
              <w:pStyle w:val="Compact"/>
            </w:pPr>
            <w:r>
              <w:t xml:space="preserve">0 corrupted source files across the golden corpus</w:t>
            </w:r>
          </w:p>
        </w:tc>
        <w:tc>
          <w:tcPr/>
          <w:p>
            <w:pPr>
              <w:pStyle w:val="Compact"/>
            </w:pPr>
            <w:r>
              <w:t xml:space="preserve">Automated write-back-then-restore test.</w:t>
            </w:r>
          </w:p>
        </w:tc>
      </w:tr>
      <w:tr>
        <w:trPr>
          <w:cantSplit/>
        </w:trPr>
        <w:tc>
          <w:tcPr/>
          <w:p>
            <w:pPr>
              <w:pStyle w:val="Compact"/>
            </w:pPr>
            <w:r>
              <w:t xml:space="preserve">ISBN detection on the golden corpus</w:t>
            </w:r>
          </w:p>
        </w:tc>
        <w:tc>
          <w:tcPr/>
          <w:p>
            <w:pPr>
              <w:pStyle w:val="Compact"/>
            </w:pPr>
            <w:r>
              <w:t xml:space="preserve">100% of synthetic-corpus books with a manifest-labelled ISBN are detected and validated (FR-META-001);</w:t>
            </w:r>
            <w:r>
              <w:t xml:space="preserve"> </w:t>
            </w:r>
            <w:r>
              <w:rPr>
                <w:rStyle w:val="VerbatimChar"/>
              </w:rPr>
              <w:t xml:space="preserve">[CONTEXT-GAP: precision/recall floor for real-world corpora — assign at Phase 20 acceptance]</w:t>
            </w:r>
          </w:p>
        </w:tc>
        <w:tc>
          <w:tcPr/>
          <w:p>
            <w:pPr>
              <w:pStyle w:val="Compact"/>
            </w:pPr>
            <w:r>
              <w:rPr>
                <w:rStyle w:val="VerbatimChar"/>
              </w:rPr>
              <w:t xml:space="preserve">ManifestVerifier</w:t>
            </w:r>
            <w:r>
              <w:t xml:space="preserve"> </w:t>
            </w:r>
            <w:r>
              <w:t xml:space="preserve">against the synthetic golden corpus (D-007/CON-9).</w:t>
            </w:r>
          </w:p>
        </w:tc>
      </w:tr>
    </w:tbl>
    <w:bookmarkEnd w:id="66"/>
    <w:bookmarkStart w:id="67" w:name="power-librarian-maintain-at-scale"/>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Power Librarian: Maintain at Scale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Health dashboard completeness</w:t>
            </w:r>
          </w:p>
        </w:tc>
        <w:tc>
          <w:tcPr/>
          <w:p>
            <w:pPr>
              <w:pStyle w:val="Compact"/>
            </w:pPr>
            <w:r>
              <w:t xml:space="preserve">100% of duplicate, missing-cover, missing-ISBN, and unavailable-file conditions in the labelled corpus are surfaced (FR-META-008)</w:t>
            </w:r>
          </w:p>
        </w:tc>
        <w:tc>
          <w:tcPr/>
          <w:p>
            <w:pPr>
              <w:pStyle w:val="Compact"/>
            </w:pPr>
            <w:r>
              <w:t xml:space="preserve">Automated test against the corpus manifest.</w:t>
            </w:r>
          </w:p>
        </w:tc>
      </w:tr>
      <w:tr>
        <w:trPr>
          <w:cantSplit/>
        </w:trPr>
        <w:tc>
          <w:tcPr/>
          <w:p>
            <w:pPr>
              <w:pStyle w:val="Compact"/>
            </w:pPr>
            <w:r>
              <w:t xml:space="preserve">Background-job non-blocking</w:t>
            </w:r>
          </w:p>
        </w:tc>
        <w:tc>
          <w:tcPr/>
          <w:p>
            <w:pPr>
              <w:pStyle w:val="Compact"/>
            </w:pPr>
            <w:r>
              <w:t xml:space="preserve">0 UI-blocking events while scan, thumbnail, and index jobs run on 2,000 books (FR-LIB-005)</w:t>
            </w:r>
          </w:p>
        </w:tc>
        <w:tc>
          <w:tcPr/>
          <w:p>
            <w:pPr>
              <w:pStyle w:val="Compact"/>
            </w:pPr>
            <w:r>
              <w:t xml:space="preserve">Instrumented UI-responsiveness probe during jobs.</w:t>
            </w:r>
          </w:p>
        </w:tc>
      </w:tr>
      <w:tr>
        <w:trPr>
          <w:cantSplit/>
        </w:trPr>
        <w:tc>
          <w:tcPr/>
          <w:p>
            <w:pPr>
              <w:pStyle w:val="Compact"/>
            </w:pPr>
            <w:r>
              <w:t xml:space="preserve">Batch-operation reversibility</w:t>
            </w:r>
          </w:p>
        </w:tc>
        <w:tc>
          <w:tcPr/>
          <w:p>
            <w:pPr>
              <w:pStyle w:val="Compact"/>
            </w:pPr>
            <w:r>
              <w:t xml:space="preserve">100% of bulk edits previewable and undoable (FR-CAT-005)</w:t>
            </w:r>
          </w:p>
        </w:tc>
        <w:tc>
          <w:tcPr/>
          <w:p>
            <w:pPr>
              <w:pStyle w:val="Compact"/>
            </w:pPr>
            <w:r>
              <w:t xml:space="preserve">Automated undo verification.</w:t>
            </w:r>
          </w:p>
        </w:tc>
      </w:tr>
      <w:tr>
        <w:trPr>
          <w:cantSplit/>
        </w:trPr>
        <w:tc>
          <w:tcPr/>
          <w:p>
            <w:pPr>
              <w:pStyle w:val="Compact"/>
            </w:pPr>
            <w:r>
              <w:t xml:space="preserve">Job recovery</w:t>
            </w:r>
          </w:p>
        </w:tc>
        <w:tc>
          <w:tcPr/>
          <w:p>
            <w:pPr>
              <w:pStyle w:val="Compact"/>
            </w:pPr>
            <w:r>
              <w:t xml:space="preserve">0 duplicate work items after forced interruption of a background job (NFR-OGMA-009)</w:t>
            </w:r>
          </w:p>
        </w:tc>
        <w:tc>
          <w:tcPr/>
          <w:p>
            <w:pPr>
              <w:pStyle w:val="Compact"/>
            </w:pPr>
            <w:r>
              <w:t xml:space="preserve">Fault-injection test.</w:t>
            </w:r>
          </w:p>
        </w:tc>
      </w:tr>
    </w:tbl>
    <w:bookmarkEnd w:id="67"/>
    <w:bookmarkStart w:id="68" w:name="X8eb585eab53a2fb8ae89104838681135b18f4b9"/>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Privacy-Sensitive User: Intelligence Without Exposure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Default off-device transmission</w:t>
            </w:r>
          </w:p>
        </w:tc>
        <w:tc>
          <w:tcPr/>
          <w:p>
            <w:pPr>
              <w:pStyle w:val="Compact"/>
            </w:pPr>
            <w:r>
              <w:t xml:space="preserve">0 bytes leave the device on a default install with AI disabled (FR-AI-001)</w:t>
            </w:r>
          </w:p>
        </w:tc>
        <w:tc>
          <w:tcPr/>
          <w:p>
            <w:pPr>
              <w:pStyle w:val="Compact"/>
            </w:pPr>
            <w:r>
              <w:t xml:space="preserve">Network capture during a full default session.</w:t>
            </w:r>
          </w:p>
        </w:tc>
      </w:tr>
      <w:tr>
        <w:trPr>
          <w:cantSplit/>
        </w:trPr>
        <w:tc>
          <w:tcPr/>
          <w:p>
            <w:pPr>
              <w:pStyle w:val="Compact"/>
            </w:pPr>
            <w:r>
              <w:t xml:space="preserve">Payload-preview coverage</w:t>
            </w:r>
          </w:p>
        </w:tc>
        <w:tc>
          <w:tcPr/>
          <w:p>
            <w:pPr>
              <w:pStyle w:val="Compact"/>
            </w:pPr>
            <w:r>
              <w:t xml:space="preserve">100% of off-device AI calls present a payload preview before transmission (FR-AI-004, FR-AI-005)</w:t>
            </w:r>
          </w:p>
        </w:tc>
        <w:tc>
          <w:tcPr/>
          <w:p>
            <w:pPr>
              <w:pStyle w:val="Compact"/>
            </w:pPr>
            <w:r>
              <w:t xml:space="preserve">Instrumented interception of all outbound AI calls; architecture test enforces the single egress chokepoint.</w:t>
            </w:r>
          </w:p>
        </w:tc>
      </w:tr>
      <w:tr>
        <w:trPr>
          <w:cantSplit/>
        </w:trPr>
        <w:tc>
          <w:tcPr/>
          <w:p>
            <w:pPr>
              <w:pStyle w:val="Compact"/>
            </w:pPr>
            <w:r>
              <w:t xml:space="preserve">History and embedding erasure</w:t>
            </w:r>
          </w:p>
        </w:tc>
        <w:tc>
          <w:tcPr/>
          <w:p>
            <w:pPr>
              <w:pStyle w:val="Compact"/>
            </w:pPr>
            <w:r>
              <w:t xml:space="preserve">100% of AI query history and embeddings removed on erase request (FR-AI-009, FR-AI-011)</w:t>
            </w:r>
          </w:p>
        </w:tc>
        <w:tc>
          <w:tcPr/>
          <w:p>
            <w:pPr>
              <w:pStyle w:val="Compact"/>
            </w:pPr>
            <w:r>
              <w:t xml:space="preserve">Audit-log entry plus absence on re-inspection.</w:t>
            </w:r>
          </w:p>
        </w:tc>
      </w:tr>
      <w:tr>
        <w:trPr>
          <w:cantSplit/>
        </w:trPr>
        <w:tc>
          <w:tcPr/>
          <w:p>
            <w:pPr>
              <w:pStyle w:val="Compact"/>
            </w:pPr>
            <w:r>
              <w:t xml:space="preserve">AI gateway overhead</w:t>
            </w:r>
          </w:p>
        </w:tc>
        <w:tc>
          <w:tcPr/>
          <w:p>
            <w:pPr>
              <w:pStyle w:val="Compact"/>
            </w:pPr>
            <w:r>
              <w:t xml:space="preserve">≤ 10 s P95 metadata-only, measured excluding provider network time via gateway instrumentation timestamps (NFR-OGMA-007)</w:t>
            </w:r>
          </w:p>
        </w:tc>
        <w:tc>
          <w:tcPr/>
          <w:p>
            <w:pPr>
              <w:pStyle w:val="Compact"/>
            </w:pPr>
            <w:r>
              <w:t xml:space="preserve">Gateway-side elapsed minus provider round-trip.</w:t>
            </w:r>
          </w:p>
        </w:tc>
      </w:tr>
    </w:tbl>
    <w:bookmarkEnd w:id="68"/>
    <w:bookmarkStart w:id="69" w:name="X5ef593c0bfce464b2516b6d7e7eed74a2f259e5"/>
    <w:p>
      <w:pPr>
        <w:pStyle w:val="Heading2"/>
      </w:pPr>
      <w:r>
        <w:rPr>
          <w:rStyle w:val="SectionNumber"/>
          <w:rFonts w:ascii="Spectral" w:hAnsi="Spectral" w:eastAsia="Spectral"/>
          <w:color w:val="132338"/>
        </w:rPr>
        <w:t xml:space="preserve">9.6</w:t>
      </w:r>
      <w:r>
        <w:rPr>
          <w:rFonts w:ascii="Spectral" w:hAnsi="Spectral" w:eastAsia="Spectral"/>
          <w:color w:val="132338"/>
        </w:rPr>
        <w:tab/>
      </w:r>
      <w:r>
        <w:rPr>
          <w:rFonts w:ascii="Spectral" w:hAnsi="Spectral" w:eastAsia="Spectral"/>
          <w:color w:val="132338"/>
        </w:rPr>
        <w:t xml:space="preserve">Student: Private Reading on a Shared Library</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Streamed reading</w:t>
            </w:r>
          </w:p>
        </w:tc>
        <w:tc>
          <w:tcPr/>
          <w:p>
            <w:pPr>
              <w:pStyle w:val="Compact"/>
            </w:pPr>
            <w:r>
              <w:t xml:space="preserve">100% of shared-book reads stream by range request; 0 reads require a full-file client copy (FR-CLIENT-004, FR-LAN-006)</w:t>
            </w:r>
          </w:p>
        </w:tc>
        <w:tc>
          <w:tcPr/>
          <w:p>
            <w:pPr>
              <w:pStyle w:val="Compact"/>
            </w:pPr>
            <w:r>
              <w:t xml:space="preserve">Instrumented client-host traffic assertion.</w:t>
            </w:r>
          </w:p>
        </w:tc>
      </w:tr>
      <w:tr>
        <w:trPr>
          <w:cantSplit/>
        </w:trPr>
        <w:tc>
          <w:tcPr/>
          <w:p>
            <w:pPr>
              <w:pStyle w:val="Compact"/>
            </w:pPr>
            <w:r>
              <w:t xml:space="preserve">Reading-state privacy</w:t>
            </w:r>
          </w:p>
        </w:tc>
        <w:tc>
          <w:tcPr/>
          <w:p>
            <w:pPr>
              <w:pStyle w:val="Compact"/>
            </w:pPr>
            <w:r>
              <w:t xml:space="preserve">0 paths by which one student's reading state or AI history is visible to another student (FR-CLIENT-008)</w:t>
            </w:r>
          </w:p>
        </w:tc>
        <w:tc>
          <w:tcPr/>
          <w:p>
            <w:pPr>
              <w:pStyle w:val="Compact"/>
            </w:pPr>
            <w:r>
              <w:t xml:space="preserve">Multi-profile integration test attempting cross-profile access.</w:t>
            </w:r>
          </w:p>
        </w:tc>
      </w:tr>
      <w:tr>
        <w:trPr>
          <w:cantSplit/>
        </w:trPr>
        <w:tc>
          <w:tcPr/>
          <w:p>
            <w:pPr>
              <w:pStyle w:val="Compact"/>
            </w:pPr>
            <w:r>
              <w:t xml:space="preserve">Host-loss resilience</w:t>
            </w:r>
          </w:p>
        </w:tc>
        <w:tc>
          <w:tcPr/>
          <w:p>
            <w:pPr>
              <w:pStyle w:val="Compact"/>
            </w:pPr>
            <w:r>
              <w:t xml:space="preserve">100% of local reading state retained through host unavailability and re-synced on reconnect with no silent data loss (FR-LAN-008, FR-CLIENT-006, FR-CLIENT-011)</w:t>
            </w:r>
          </w:p>
        </w:tc>
        <w:tc>
          <w:tcPr/>
          <w:p>
            <w:pPr>
              <w:pStyle w:val="Compact"/>
            </w:pPr>
            <w:r>
              <w:t xml:space="preserve">Fault-injection: kill host mid-session, verify state and sync.</w:t>
            </w:r>
          </w:p>
        </w:tc>
      </w:tr>
      <w:tr>
        <w:trPr>
          <w:cantSplit/>
        </w:trPr>
        <w:tc>
          <w:tcPr/>
          <w:p>
            <w:pPr>
              <w:pStyle w:val="Compact"/>
            </w:pPr>
            <w:r>
              <w:t xml:space="preserve">Pre-call transparency</w:t>
            </w:r>
          </w:p>
        </w:tc>
        <w:tc>
          <w:tcPr/>
          <w:p>
            <w:pPr>
              <w:pStyle w:val="Compact"/>
            </w:pPr>
            <w:r>
              <w:t xml:space="preserve">100% of student off-device AI calls show the privacy-tier label and payload preview first (FR-ADMIN-007)</w:t>
            </w:r>
          </w:p>
        </w:tc>
        <w:tc>
          <w:tcPr/>
          <w:p>
            <w:pPr>
              <w:pStyle w:val="Compact"/>
            </w:pPr>
            <w:r>
              <w:t xml:space="preserve">Instrumented interception at the host gateway.</w:t>
            </w:r>
          </w:p>
        </w:tc>
      </w:tr>
    </w:tbl>
    <w:bookmarkEnd w:id="69"/>
    <w:bookmarkStart w:id="70" w:name="teacher-guide-without-surveillance"/>
    <w:p>
      <w:pPr>
        <w:pStyle w:val="Heading2"/>
      </w:pPr>
      <w:r>
        <w:rPr>
          <w:rStyle w:val="SectionNumber"/>
          <w:rFonts w:ascii="Spectral" w:hAnsi="Spectral" w:eastAsia="Spectral"/>
          <w:color w:val="132338"/>
        </w:rPr>
        <w:t xml:space="preserve">9.7</w:t>
      </w:r>
      <w:r>
        <w:rPr>
          <w:rFonts w:ascii="Spectral" w:hAnsi="Spectral" w:eastAsia="Spectral"/>
          <w:color w:val="132338"/>
        </w:rPr>
        <w:tab/>
      </w:r>
      <w:r>
        <w:rPr>
          <w:rFonts w:ascii="Spectral" w:hAnsi="Spectral" w:eastAsia="Spectral"/>
          <w:color w:val="132338"/>
        </w:rPr>
        <w:t xml:space="preserve">Teacher: Guide Without Surveillance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Class dashboard scope</w:t>
            </w:r>
          </w:p>
        </w:tc>
        <w:tc>
          <w:tcPr/>
          <w:p>
            <w:pPr>
              <w:pStyle w:val="Compact"/>
            </w:pPr>
            <w:r>
              <w:t xml:space="preserve">Teacher dashboards render aggregate class-level data; any per-student visibility is disclosed to the affected students (FR-CLIENT-012)</w:t>
            </w:r>
          </w:p>
        </w:tc>
        <w:tc>
          <w:tcPr/>
          <w:p>
            <w:pPr>
              <w:pStyle w:val="Compact"/>
            </w:pPr>
            <w:r>
              <w:t xml:space="preserve">Role-based access test plus disclosure-banner assertion.</w:t>
            </w:r>
          </w:p>
        </w:tc>
      </w:tr>
      <w:tr>
        <w:trPr>
          <w:cantSplit/>
        </w:trPr>
        <w:tc>
          <w:tcPr/>
          <w:p>
            <w:pPr>
              <w:pStyle w:val="Compact"/>
            </w:pPr>
            <w:r>
              <w:t xml:space="preserve">Role scoping</w:t>
            </w:r>
          </w:p>
        </w:tc>
        <w:tc>
          <w:tcPr/>
          <w:p>
            <w:pPr>
              <w:pStyle w:val="Compact"/>
            </w:pPr>
            <w:r>
              <w:t xml:space="preserve">0 administrator-only capabilities (publish, enroll, revoke, key management, quota setting) reachable from the teacher role (FR-CLIENT-003)</w:t>
            </w:r>
          </w:p>
        </w:tc>
        <w:tc>
          <w:tcPr/>
          <w:p>
            <w:pPr>
              <w:pStyle w:val="Compact"/>
            </w:pPr>
            <w:r>
              <w:t xml:space="preserve">Role-permission matrix test.</w:t>
            </w:r>
          </w:p>
        </w:tc>
      </w:tr>
    </w:tbl>
    <w:bookmarkEnd w:id="70"/>
    <w:bookmarkStart w:id="71" w:name="Xe8b5292dd3918cbcc74b8f8682beeef8c11ff3c"/>
    <w:p>
      <w:pPr>
        <w:pStyle w:val="Heading2"/>
      </w:pPr>
      <w:r>
        <w:rPr>
          <w:rStyle w:val="SectionNumber"/>
          <w:rFonts w:ascii="Spectral" w:hAnsi="Spectral" w:eastAsia="Spectral"/>
          <w:color w:val="132338"/>
        </w:rPr>
        <w:t xml:space="preserve">9.8</w:t>
      </w:r>
      <w:r>
        <w:rPr>
          <w:rFonts w:ascii="Spectral" w:hAnsi="Spectral" w:eastAsia="Spectral"/>
          <w:color w:val="132338"/>
        </w:rPr>
        <w:tab/>
      </w:r>
      <w:r>
        <w:rPr>
          <w:rFonts w:ascii="Spectral" w:hAnsi="Spectral" w:eastAsia="Spectral"/>
          <w:color w:val="132338"/>
        </w:rPr>
        <w:t xml:space="preserve">School Administrator: Controlled Sharing and Managed AI</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Key containment</w:t>
            </w:r>
          </w:p>
        </w:tc>
        <w:tc>
          <w:tcPr/>
          <w:p>
            <w:pPr>
              <w:pStyle w:val="Compact"/>
            </w:pPr>
            <w:r>
              <w:t xml:space="preserve">The school AI key is absent from client traffic, database, configuration files, and logs; it exists only in the host OS credential store and is not re-displayable after entry (FR-ADMIN-004, per D-008)</w:t>
            </w:r>
          </w:p>
        </w:tc>
        <w:tc>
          <w:tcPr/>
          <w:p>
            <w:pPr>
              <w:pStyle w:val="Compact"/>
            </w:pPr>
            <w:r>
              <w:t xml:space="preserve">Traffic capture, storage scan, and UI assertion.</w:t>
            </w:r>
          </w:p>
        </w:tc>
      </w:tr>
      <w:tr>
        <w:trPr>
          <w:cantSplit/>
        </w:trPr>
        <w:tc>
          <w:tcPr/>
          <w:p>
            <w:pPr>
              <w:pStyle w:val="Compact"/>
            </w:pPr>
            <w:r>
              <w:t xml:space="preserve">Publication boundary</w:t>
            </w:r>
          </w:p>
        </w:tc>
        <w:tc>
          <w:tcPr/>
          <w:p>
            <w:pPr>
              <w:pStyle w:val="Compact"/>
            </w:pPr>
            <w:r>
              <w:t xml:space="preserve">0 unpublished folders or shelves enumerable by any client (FR-LAN-009)</w:t>
            </w:r>
          </w:p>
        </w:tc>
        <w:tc>
          <w:tcPr/>
          <w:p>
            <w:pPr>
              <w:pStyle w:val="Compact"/>
            </w:pPr>
            <w:r>
              <w:t xml:space="preserve">Adversarial client enumeration test.</w:t>
            </w:r>
          </w:p>
        </w:tc>
      </w:tr>
      <w:tr>
        <w:trPr>
          <w:cantSplit/>
        </w:trPr>
        <w:tc>
          <w:tcPr/>
          <w:p>
            <w:pPr>
              <w:pStyle w:val="Compact"/>
            </w:pPr>
            <w:r>
              <w:t xml:space="preserve">Quota and rate enforcement</w:t>
            </w:r>
          </w:p>
        </w:tc>
        <w:tc>
          <w:tcPr/>
          <w:p>
            <w:pPr>
              <w:pStyle w:val="Compact"/>
            </w:pPr>
            <w:r>
              <w:t xml:space="preserve">100% of AI requests beyond a per-student or per-class quota or rate limit are rejected with a stated reason (FR-ADMIN-008, FR-ADMIN-009)</w:t>
            </w:r>
          </w:p>
        </w:tc>
        <w:tc>
          <w:tcPr/>
          <w:p>
            <w:pPr>
              <w:pStyle w:val="Compact"/>
            </w:pPr>
            <w:r>
              <w:t xml:space="preserve">Automated quota-exhaustion test.</w:t>
            </w:r>
          </w:p>
        </w:tc>
      </w:tr>
      <w:tr>
        <w:trPr>
          <w:cantSplit/>
        </w:trPr>
        <w:tc>
          <w:tcPr/>
          <w:p>
            <w:pPr>
              <w:pStyle w:val="Compact"/>
            </w:pPr>
            <w:r>
              <w:t xml:space="preserve">Revocation latency</w:t>
            </w:r>
          </w:p>
        </w:tc>
        <w:tc>
          <w:tcPr/>
          <w:p>
            <w:pPr>
              <w:pStyle w:val="Compact"/>
            </w:pPr>
            <w:r>
              <w:t xml:space="preserve">100% of revoked profiles lose host access at their next connection attempt (FR-CLIENT-009)</w:t>
            </w:r>
          </w:p>
        </w:tc>
        <w:tc>
          <w:tcPr/>
          <w:p>
            <w:pPr>
              <w:pStyle w:val="Compact"/>
            </w:pPr>
            <w:r>
              <w:t xml:space="preserve">Revoke-then-reconnect test.</w:t>
            </w:r>
          </w:p>
        </w:tc>
      </w:tr>
      <w:tr>
        <w:trPr>
          <w:cantSplit/>
        </w:trPr>
        <w:tc>
          <w:tcPr/>
          <w:p>
            <w:pPr>
              <w:pStyle w:val="Compact"/>
            </w:pPr>
            <w:r>
              <w:t xml:space="preserve">Auditability</w:t>
            </w:r>
          </w:p>
        </w:tc>
        <w:tc>
          <w:tcPr/>
          <w:p>
            <w:pPr>
              <w:pStyle w:val="Compact"/>
            </w:pPr>
            <w:r>
              <w:t xml:space="preserve">100% of connections, streams, and denials appear in the exportable host audit log (FR-LAN-010)</w:t>
            </w:r>
          </w:p>
        </w:tc>
        <w:tc>
          <w:tcPr/>
          <w:p>
            <w:pPr>
              <w:pStyle w:val="Compact"/>
            </w:pPr>
            <w:r>
              <w:t xml:space="preserve">Log completeness check against the test session script.</w:t>
            </w:r>
          </w:p>
        </w:tc>
      </w:tr>
    </w:tbl>
    <w:bookmarkEnd w:id="71"/>
    <w:bookmarkStart w:id="72" w:name="product-wide-quality-gates"/>
    <w:p>
      <w:pPr>
        <w:pStyle w:val="Heading2"/>
      </w:pPr>
      <w:r>
        <w:rPr>
          <w:rStyle w:val="SectionNumber"/>
          <w:rFonts w:ascii="Spectral" w:hAnsi="Spectral" w:eastAsia="Spectral"/>
          <w:color w:val="132338"/>
        </w:rPr>
        <w:t xml:space="preserve">9.9</w:t>
      </w:r>
      <w:r>
        <w:rPr>
          <w:rFonts w:ascii="Spectral" w:hAnsi="Spectral" w:eastAsia="Spectral"/>
          <w:color w:val="132338"/>
        </w:rPr>
        <w:tab/>
      </w:r>
      <w:r>
        <w:rPr>
          <w:rFonts w:ascii="Spectral" w:hAnsi="Spectral" w:eastAsia="Spectral"/>
          <w:color w:val="132338"/>
        </w:rPr>
        <w:t xml:space="preserve">Product-Wide Quality Gates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Accessibility conformance</w:t>
            </w:r>
          </w:p>
        </w:tc>
        <w:tc>
          <w:tcPr/>
          <w:p>
            <w:pPr>
              <w:pStyle w:val="Compact"/>
            </w:pPr>
            <w:r>
              <w:t xml:space="preserve">WCAG 2.2 Level AA on all core flows in light and dark themes (FR-UX-005, FR-UX-008)</w:t>
            </w:r>
          </w:p>
        </w:tc>
        <w:tc>
          <w:tcPr/>
          <w:p>
            <w:pPr>
              <w:pStyle w:val="Compact"/>
            </w:pPr>
            <w:r>
              <w:t xml:space="preserve">Phase 21 audit plus assistive-technology operability test.</w:t>
            </w:r>
          </w:p>
        </w:tc>
      </w:tr>
      <w:tr>
        <w:trPr>
          <w:cantSplit/>
        </w:trPr>
        <w:tc>
          <w:tcPr/>
          <w:p>
            <w:pPr>
              <w:pStyle w:val="Compact"/>
            </w:pPr>
            <w:r>
              <w:t xml:space="preserve">Crash-free session rate</w:t>
            </w:r>
          </w:p>
        </w:tc>
        <w:tc>
          <w:tcPr/>
          <w:p>
            <w:pPr>
              <w:pStyle w:val="Compact"/>
            </w:pPr>
            <w:r>
              <w:t xml:space="preserve">≥ 99.5% over any rolling 30-day window; any reproducible crash losing unsaved annotation or catalogue state is a release blocker regardless of the aggregate (NFR-PROD-006)</w:t>
            </w:r>
          </w:p>
        </w:tc>
        <w:tc>
          <w:tcPr/>
          <w:p>
            <w:pPr>
              <w:pStyle w:val="Compact"/>
            </w:pPr>
            <w:r>
              <w:t xml:space="preserve">Opt-in, device-local crash telemetry over the beta cycle.</w:t>
            </w:r>
          </w:p>
        </w:tc>
      </w:tr>
      <w:tr>
        <w:trPr>
          <w:cantSplit/>
        </w:trPr>
        <w:tc>
          <w:tcPr/>
          <w:p>
            <w:pPr>
              <w:pStyle w:val="Compact"/>
            </w:pPr>
            <w:r>
              <w:t xml:space="preserve">Annotation durability</w:t>
            </w:r>
          </w:p>
        </w:tc>
        <w:tc>
          <w:tcPr/>
          <w:p>
            <w:pPr>
              <w:pStyle w:val="Compact"/>
            </w:pPr>
            <w:r>
              <w:t xml:space="preserve">0 annotation losses across forced-crash fault injection (NFR-OGMA-008)</w:t>
            </w:r>
          </w:p>
        </w:tc>
        <w:tc>
          <w:tcPr/>
          <w:p>
            <w:pPr>
              <w:pStyle w:val="Compact"/>
            </w:pPr>
            <w:r>
              <w:t xml:space="preserve">Fault-injection test suite.</w:t>
            </w:r>
          </w:p>
        </w:tc>
      </w:tr>
      <w:tr>
        <w:trPr>
          <w:cantSplit/>
        </w:trPr>
        <w:tc>
          <w:tcPr/>
          <w:p>
            <w:pPr>
              <w:pStyle w:val="Compact"/>
            </w:pPr>
            <w:r>
              <w:t xml:space="preserve">Migration safety</w:t>
            </w:r>
          </w:p>
        </w:tc>
        <w:tc>
          <w:tcPr/>
          <w:p>
            <w:pPr>
              <w:pStyle w:val="Compact"/>
            </w:pPr>
            <w:r>
              <w:t xml:space="preserve">100% of schema migrations idempotent, with the catalogue backed up before running</w:t>
            </w:r>
          </w:p>
        </w:tc>
        <w:tc>
          <w:tcPr/>
          <w:p>
            <w:pPr>
              <w:pStyle w:val="Compact"/>
            </w:pPr>
            <w:r>
              <w:t xml:space="preserve">Automated migration replay across all 10 migrations.</w:t>
            </w:r>
          </w:p>
        </w:tc>
      </w:tr>
      <w:tr>
        <w:trPr>
          <w:cantSplit/>
        </w:trPr>
        <w:tc>
          <w:tcPr/>
          <w:p>
            <w:pPr>
              <w:pStyle w:val="Compact"/>
            </w:pPr>
            <w:r>
              <w:t xml:space="preserve">Localization completeness</w:t>
            </w:r>
          </w:p>
        </w:tc>
        <w:tc>
          <w:tcPr/>
          <w:p>
            <w:pPr>
              <w:pStyle w:val="Compact"/>
            </w:pPr>
            <w:r>
              <w:t xml:space="preserve">0 hard-coded user-facing strings; en/fr complete at MVP, es/it/de complete at Phase 21 (FR-UX-004)</w:t>
            </w:r>
          </w:p>
        </w:tc>
        <w:tc>
          <w:tcPr/>
          <w:p>
            <w:pPr>
              <w:pStyle w:val="Compact"/>
            </w:pPr>
            <w:r>
              <w:t xml:space="preserve">Pseudolocale CI check plus translation-coverage report.</w:t>
            </w:r>
          </w:p>
        </w:tc>
      </w:tr>
      <w:tr>
        <w:trPr>
          <w:cantSplit/>
        </w:trPr>
        <w:tc>
          <w:tcPr/>
          <w:p>
            <w:pPr>
              <w:pStyle w:val="Compact"/>
            </w:pPr>
            <w:r>
              <w:t xml:space="preserve">Onboarding</w:t>
            </w:r>
          </w:p>
        </w:tc>
        <w:tc>
          <w:tcPr/>
          <w:p>
            <w:pPr>
              <w:pStyle w:val="Compact"/>
            </w:pPr>
            <w:r>
              <w:t xml:space="preserve">Install to browsable 2,000-book library ≤ 5 min on W-REF-01 with 0 mandatory configuration beyond root selection (FR-UX-001)</w:t>
            </w:r>
          </w:p>
        </w:tc>
        <w:tc>
          <w:tcPr/>
          <w:p>
            <w:pPr>
              <w:pStyle w:val="Compact"/>
            </w:pPr>
            <w:r>
              <w:t xml:space="preserve">Scripted end-to-end onboarding run.</w:t>
            </w:r>
          </w:p>
        </w:tc>
      </w:tr>
    </w:tbl>
    <w:p>
      <w:pPr>
        <w:pStyle w:val="BodyText"/>
      </w:pPr>
      <w:r>
        <w:t xml:space="preserve">One gap remains open in this section: the real-world ISBN precision/recall floor (Collector table). It is assigned to the Phase 20 acceptance work, where the synthetic-corpus oracle is complemented by measured figures; every other threshold above is bound to a ratified budget or an identified requirement.</w:t>
      </w:r>
    </w:p>
    <w:bookmarkEnd w:id="72"/>
    <w:bookmarkEnd w:id="73"/>
    <w:bookmarkStart w:id="84" w:name="build-phases--the-24-phase-grand-plan"/>
    <w:p>
      <w:pPr>
        <w:pStyle w:val="Heading1"/>
      </w:pPr>
      <w:r>
        <w:rPr>
          <w:rStyle w:val="SectionNumber"/>
          <w:rFonts w:ascii="Spectral" w:hAnsi="Spectral" w:eastAsia="Spectral"/>
          <w:color w:val="132338"/>
        </w:rPr>
        <w:t xml:space="preserve">10</w:t>
      </w:r>
      <w:r>
        <w:rPr>
          <w:rFonts w:ascii="Spectral" w:hAnsi="Spectral" w:eastAsia="Spectral"/>
          <w:color w:val="132338"/>
        </w:rPr>
        <w:tab/>
      </w:r>
      <w:r>
        <w:rPr>
          <w:rFonts w:ascii="Spectral" w:hAnsi="Spectral" w:eastAsia="Spectral"/>
          <w:color w:val="132338"/>
        </w:rPr>
        <w:t xml:space="preserve">Build Phases — The 24-Phase Grand Plan</w:t>
      </w:r>
    </w:p>
    <w:p>
      <w:pPr>
        <w:pStyle w:val="FirstParagraph"/>
      </w:pPr>
      <w:r>
        <w:t xml:space="preserve">Delivery follows the 24-phase grand plan (</w:t>
      </w:r>
      <w:r>
        <w:rPr>
          <w:rStyle w:val="VerbatimChar"/>
        </w:rPr>
        <w:t xml:space="preserve">docs/plans/grand-plan/</w:t>
      </w:r>
      <w:r>
        <w:t xml:space="preserve"> </w:t>
      </w:r>
      <w:r>
        <w:t xml:space="preserve">in the codebase), which supersedes this PRD's original 8-phase roadmap. The original Phase 0–7 spine is fully contained within it: spikes/decisions became Phases 00–01, catalogue foundation 04–06, metadata/health 07, reader 08–09, search 10–11, AI 12–13, the 3D shelf 14, and polish/launch 21–23. The grand plan adds what the original roadmap deferred: the design and icon system, the LAN/classroom product, the hardening tracks, store distribution, full localization, and post-launch operations. Phase numbers are permanent; estimates are engineer-weeks for a 3–5 person team; the indicative total is ~75 engineer-weeks after the SRS baseline.</w:t>
      </w:r>
    </w:p>
    <w:p>
      <w:pPr>
        <w:pStyle w:val="BodyText"/>
      </w:pPr>
      <w:r>
        <w:t xml:space="preserve">The Hybrid gate still applies: the Waterfall SRS baseline was signed before development, the</w:t>
      </w:r>
      <w:r>
        <w:t xml:space="preserve"> </w:t>
      </w:r>
      <w:r>
        <w:rPr>
          <w:rStyle w:val="VerbatimChar"/>
        </w:rPr>
        <w:t xml:space="preserve">hybrid-synchronization</w:t>
      </w:r>
      <w:r>
        <w:t xml:space="preserve"> </w:t>
      </w:r>
      <w:r>
        <w:t xml:space="preserve">skill runs before any Phase 07 agile artifact in this documentation engine, and</w:t>
      </w:r>
      <w:r>
        <w:t xml:space="preserve"> </w:t>
      </w:r>
      <w:r>
        <w:rPr>
          <w:rStyle w:val="VerbatimChar"/>
        </w:rPr>
        <w:t xml:space="preserve">python -m engine validate Ogma-Library</w:t>
      </w:r>
      <w:r>
        <w:t xml:space="preserve"> </w:t>
      </w:r>
      <w:r>
        <w:t xml:space="preserve">must pass the hybrid gate.</w:t>
      </w:r>
    </w:p>
    <w:bookmarkStart w:id="74" w:name="Xf97882150441f8cda913b0bef499145d1d489fc"/>
    <w:p>
      <w:pPr>
        <w:pStyle w:val="Heading2"/>
      </w:pPr>
      <w:r>
        <w:rPr>
          <w:rStyle w:val="SectionNumber"/>
          <w:rFonts w:ascii="Spectral" w:hAnsi="Spectral" w:eastAsia="Spectral"/>
          <w:color w:val="132338"/>
        </w:rPr>
        <w:t xml:space="preserve">10.1</w:t>
      </w:r>
      <w:r>
        <w:rPr>
          <w:rFonts w:ascii="Spectral" w:hAnsi="Spectral" w:eastAsia="Spectral"/>
          <w:color w:val="132338"/>
        </w:rPr>
        <w:tab/>
      </w:r>
      <w:r>
        <w:rPr>
          <w:rFonts w:ascii="Spectral" w:hAnsi="Spectral" w:eastAsia="Spectral"/>
          <w:color w:val="132338"/>
        </w:rPr>
        <w:t xml:space="preserve">Status Summary (verified 2026-07-06 against the codebase)</w:t>
      </w:r>
    </w:p>
    <w:p>
      <w:pPr>
        <w:pStyle w:val="Compact"/>
        <w:numPr>
          <w:ilvl w:val="0"/>
          <w:numId w:val="1009"/>
        </w:numPr>
      </w:pPr>
      <w:r>
        <w:rPr>
          <w:b/>
          <w:bCs/>
        </w:rPr>
        <w:t xml:space="preserve">Implemented: Phases 00–18.</w:t>
      </w:r>
      <w:r>
        <w:t xml:space="preserve"> </w:t>
      </w:r>
      <w:r>
        <w:t xml:space="preserve">All functional module groups — LIB, CAT, META, READ (except FR-READ-012), SEARCH, AI (except FR-AI-008), LAN, CLIENT, ADMIN — exist in code with 800 executed automated cases in the 2026-08-13 canonical Release run, English + French resources, and 10 EF Core migrations (latest:</w:t>
      </w:r>
      <w:r>
        <w:t xml:space="preserve"> </w:t>
      </w:r>
      <w:r>
        <w:rPr>
          <w:rStyle w:val="VerbatimChar"/>
        </w:rPr>
        <w:t xml:space="preserve">Phase18SchoolAdminTables</w:t>
      </w:r>
      <w:r>
        <w:t xml:space="preserve">).</w:t>
      </w:r>
    </w:p>
    <w:p>
      <w:pPr>
        <w:pStyle w:val="Compact"/>
        <w:numPr>
          <w:ilvl w:val="0"/>
          <w:numId w:val="1009"/>
        </w:numPr>
      </w:pPr>
      <w:r>
        <w:rPr>
          <w:b/>
          <w:bCs/>
        </w:rPr>
        <w:t xml:space="preserve">Outstanding: Phases 19–23.</w:t>
      </w:r>
      <w:r>
        <w:t xml:space="preserve"> </w:t>
      </w:r>
      <w:r>
        <w:t xml:space="preserve">Security hardening, formal performance acceptance, es/it/de localization and the WCAG 2.2 AA audit, packaging/signing/store submission, and beta/launch operations. No packaging configuration exists in the repository yet.</w:t>
      </w:r>
    </w:p>
    <w:p>
      <w:pPr>
        <w:pStyle w:val="Compact"/>
        <w:numPr>
          <w:ilvl w:val="0"/>
          <w:numId w:val="1009"/>
        </w:numPr>
      </w:pPr>
      <w:r>
        <w:rPr>
          <w:b/>
          <w:bCs/>
        </w:rPr>
        <w:t xml:space="preserve">Evidence caveat.</w:t>
      </w:r>
      <w:r>
        <w:t xml:space="preserve"> </w:t>
      </w:r>
      <w:r>
        <w:t xml:space="preserve">All performance numbers to date are trend-only; formal NFR acceptance on W-REF-01/M-REF-01 happens at Phase 20.</w:t>
      </w:r>
    </w:p>
    <w:bookmarkEnd w:id="74"/>
    <w:bookmarkStart w:id="75" w:name="X24eb7e73a88cabb166a59224205b65fc8697ab8"/>
    <w:p>
      <w:pPr>
        <w:pStyle w:val="Heading2"/>
      </w:pPr>
      <w:r>
        <w:rPr>
          <w:rStyle w:val="SectionNumber"/>
          <w:rFonts w:ascii="Spectral" w:hAnsi="Spectral" w:eastAsia="Spectral"/>
          <w:color w:val="132338"/>
        </w:rPr>
        <w:t xml:space="preserve">10.2</w:t>
      </w:r>
      <w:r>
        <w:rPr>
          <w:rFonts w:ascii="Spectral" w:hAnsi="Spectral" w:eastAsia="Spectral"/>
          <w:color w:val="132338"/>
        </w:rPr>
        <w:tab/>
      </w:r>
      <w:r>
        <w:rPr>
          <w:rFonts w:ascii="Spectral" w:hAnsi="Spectral" w:eastAsia="Spectral"/>
          <w:color w:val="132338"/>
        </w:rPr>
        <w:t xml:space="preserve">Part I — Inception and Foundation</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00</w:t>
            </w:r>
          </w:p>
        </w:tc>
        <w:tc>
          <w:tcPr/>
          <w:p>
            <w:pPr>
              <w:pStyle w:val="Compact"/>
            </w:pPr>
            <w:r>
              <w:t xml:space="preserve">Decision closure and project inception</w:t>
            </w:r>
          </w:p>
        </w:tc>
        <w:tc>
          <w:tcPr/>
          <w:p>
            <w:pPr>
              <w:pStyle w:val="Compact"/>
            </w:pPr>
            <w:r>
              <w:t xml:space="preserve">Closed the 8 PRD open questions and SRS context gaps (see Section 10); ratified ADR-0001 to ADR-0009, reference hardware (CON-1), jurisdictions (D-003), repo governance and licensing.</w:t>
            </w:r>
          </w:p>
        </w:tc>
        <w:tc>
          <w:tcPr/>
          <w:p>
            <w:pPr>
              <w:pStyle w:val="Compact"/>
            </w:pPr>
            <w:r>
              <w:t xml:space="preserve">2 wk</w:t>
            </w:r>
          </w:p>
        </w:tc>
      </w:tr>
      <w:tr>
        <w:trPr>
          <w:cantSplit/>
        </w:trPr>
        <w:tc>
          <w:tcPr/>
          <w:p>
            <w:pPr>
              <w:pStyle w:val="Compact"/>
            </w:pPr>
            <w:r>
              <w:t xml:space="preserve">01</w:t>
            </w:r>
          </w:p>
        </w:tc>
        <w:tc>
          <w:tcPr/>
          <w:p>
            <w:pPr>
              <w:pStyle w:val="Compact"/>
            </w:pPr>
            <w:r>
              <w:t xml:space="preserve">Risk spikes and technical proof</w:t>
            </w:r>
          </w:p>
        </w:tc>
        <w:tc>
          <w:tcPr/>
          <w:p>
            <w:pPr>
              <w:pStyle w:val="Compact"/>
            </w:pPr>
            <w:r>
              <w:t xml:space="preserve">.NET 10 dependency matrix, PDFium wrapper benchmark (PDFtoImage vs Docnet.Core), WebView-to-JavaScript bridge, FTS5, AI gateway, macOS WKWebView 3D, LAN transport — each retired into an ADR amendment.</w:t>
            </w:r>
          </w:p>
        </w:tc>
        <w:tc>
          <w:tcPr/>
          <w:p>
            <w:pPr>
              <w:pStyle w:val="Compact"/>
            </w:pPr>
            <w:r>
              <w:t xml:space="preserve">2 wk</w:t>
            </w:r>
          </w:p>
        </w:tc>
      </w:tr>
      <w:tr>
        <w:trPr>
          <w:cantSplit/>
        </w:trPr>
        <w:tc>
          <w:tcPr/>
          <w:p>
            <w:pPr>
              <w:pStyle w:val="Compact"/>
            </w:pPr>
            <w:r>
              <w:t xml:space="preserve">02</w:t>
            </w:r>
          </w:p>
        </w:tc>
        <w:tc>
          <w:tcPr/>
          <w:p>
            <w:pPr>
              <w:pStyle w:val="Compact"/>
            </w:pPr>
            <w:r>
              <w:t xml:space="preserve">Solution scaffolding and architecture skeleton</w:t>
            </w:r>
          </w:p>
        </w:tc>
        <w:tc>
          <w:tcPr/>
          <w:p>
            <w:pPr>
              <w:pStyle w:val="Compact"/>
            </w:pPr>
            <w:r>
              <w:t xml:space="preserve">Multi-project solution,</w:t>
            </w:r>
            <w:r>
              <w:t xml:space="preserve"> </w:t>
            </w:r>
            <w:r>
              <w:rPr>
                <w:rStyle w:val="VerbatimChar"/>
              </w:rPr>
              <w:t xml:space="preserve">Directory.Build.props</w:t>
            </w:r>
            <w:r>
              <w:t xml:space="preserve">, single DI composition root, domain model, NetArchTest architecture tests, CI baseline, golden-corpus harness.</w:t>
            </w:r>
          </w:p>
        </w:tc>
        <w:tc>
          <w:tcPr/>
          <w:p>
            <w:pPr>
              <w:pStyle w:val="Compact"/>
            </w:pPr>
            <w:r>
              <w:t xml:space="preserve">3 wk</w:t>
            </w:r>
          </w:p>
        </w:tc>
      </w:tr>
      <w:tr>
        <w:trPr>
          <w:cantSplit/>
        </w:trPr>
        <w:tc>
          <w:tcPr/>
          <w:p>
            <w:pPr>
              <w:pStyle w:val="Compact"/>
            </w:pPr>
            <w:r>
              <w:t xml:space="preserve">03</w:t>
            </w:r>
          </w:p>
        </w:tc>
        <w:tc>
          <w:tcPr/>
          <w:p>
            <w:pPr>
              <w:pStyle w:val="Compact"/>
            </w:pPr>
            <w:r>
              <w:t xml:space="preserve">Design system, icon system, and UX foundation</w:t>
            </w:r>
          </w:p>
        </w:tc>
        <w:tc>
          <w:tcPr/>
          <w:p>
            <w:pPr>
              <w:pStyle w:val="Compact"/>
            </w:pPr>
            <w:r>
              <w:t xml:space="preserve">Calm-control design language, Avalonia theming, flat full-color icon system, command palette, en/fr i18n scaffold, accessibility scaffold.</w:t>
            </w:r>
          </w:p>
        </w:tc>
        <w:tc>
          <w:tcPr/>
          <w:p>
            <w:pPr>
              <w:pStyle w:val="Compact"/>
            </w:pPr>
            <w:r>
              <w:t xml:space="preserve">3 wk</w:t>
            </w:r>
          </w:p>
        </w:tc>
      </w:tr>
    </w:tbl>
    <w:bookmarkEnd w:id="75"/>
    <w:bookmarkStart w:id="76" w:name="part-ii--core-library-implemented"/>
    <w:p>
      <w:pPr>
        <w:pStyle w:val="Heading2"/>
      </w:pPr>
      <w:r>
        <w:rPr>
          <w:rStyle w:val="SectionNumber"/>
          <w:rFonts w:ascii="Spectral" w:hAnsi="Spectral" w:eastAsia="Spectral"/>
          <w:color w:val="132338"/>
        </w:rPr>
        <w:t xml:space="preserve">10.3</w:t>
      </w:r>
      <w:r>
        <w:rPr>
          <w:rFonts w:ascii="Spectral" w:hAnsi="Spectral" w:eastAsia="Spectral"/>
          <w:color w:val="132338"/>
        </w:rPr>
        <w:tab/>
      </w:r>
      <w:r>
        <w:rPr>
          <w:rFonts w:ascii="Spectral" w:hAnsi="Spectral" w:eastAsia="Spectral"/>
          <w:color w:val="132338"/>
        </w:rPr>
        <w:t xml:space="preserve">Part II — Core Library</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04</w:t>
            </w:r>
          </w:p>
        </w:tc>
        <w:tc>
          <w:tcPr/>
          <w:p>
            <w:pPr>
              <w:pStyle w:val="Compact"/>
            </w:pPr>
            <w:r>
              <w:t xml:space="preserve">Catalogue and data layer</w:t>
            </w:r>
          </w:p>
        </w:tc>
        <w:tc>
          <w:tcPr/>
          <w:p>
            <w:pPr>
              <w:pStyle w:val="Compact"/>
            </w:pPr>
            <w:r>
              <w:t xml:space="preserve">SQLite catalogue of record, EF Core, idempotent reversible migrations, sidecar layout, book-identity model, export bundle.</w:t>
            </w:r>
          </w:p>
        </w:tc>
        <w:tc>
          <w:tcPr/>
          <w:p>
            <w:pPr>
              <w:pStyle w:val="Compact"/>
            </w:pPr>
            <w:r>
              <w:t xml:space="preserve">3 wk</w:t>
            </w:r>
          </w:p>
        </w:tc>
      </w:tr>
      <w:tr>
        <w:trPr>
          <w:cantSplit/>
        </w:trPr>
        <w:tc>
          <w:tcPr/>
          <w:p>
            <w:pPr>
              <w:pStyle w:val="Compact"/>
            </w:pPr>
            <w:r>
              <w:t xml:space="preserve">05</w:t>
            </w:r>
          </w:p>
        </w:tc>
        <w:tc>
          <w:tcPr/>
          <w:p>
            <w:pPr>
              <w:pStyle w:val="Compact"/>
            </w:pPr>
            <w:r>
              <w:t xml:space="preserve">Ingestion pipeline and scanning</w:t>
            </w:r>
          </w:p>
        </w:tc>
        <w:tc>
          <w:tcPr/>
          <w:p>
            <w:pPr>
              <w:pStyle w:val="Compact"/>
            </w:pPr>
            <w:r>
              <w:t xml:space="preserve">Scan, content hashing, stable identity, incremental rescan, unavailable-file flagging, background workers, thumbnails/spines (FR-LIB).</w:t>
            </w:r>
          </w:p>
        </w:tc>
        <w:tc>
          <w:tcPr/>
          <w:p>
            <w:pPr>
              <w:pStyle w:val="Compact"/>
            </w:pPr>
            <w:r>
              <w:t xml:space="preserve">3 wk</w:t>
            </w:r>
          </w:p>
        </w:tc>
      </w:tr>
      <w:tr>
        <w:trPr>
          <w:cantSplit/>
        </w:trPr>
        <w:tc>
          <w:tcPr/>
          <w:p>
            <w:pPr>
              <w:pStyle w:val="Compact"/>
            </w:pPr>
            <w:r>
              <w:t xml:space="preserve">06</w:t>
            </w:r>
          </w:p>
        </w:tc>
        <w:tc>
          <w:tcPr/>
          <w:p>
            <w:pPr>
              <w:pStyle w:val="Compact"/>
            </w:pPr>
            <w:r>
              <w:t xml:space="preserve">Catalogue browsing</w:t>
            </w:r>
          </w:p>
        </w:tc>
        <w:tc>
          <w:tcPr/>
          <w:p>
            <w:pPr>
              <w:pStyle w:val="Compact"/>
            </w:pPr>
            <w:r>
              <w:t xml:space="preserve">Grid/list/directory views, sort and filter, virtual and smart shelves, book detail, bulk edit with preview/undo (FR-CAT).</w:t>
            </w:r>
          </w:p>
        </w:tc>
        <w:tc>
          <w:tcPr/>
          <w:p>
            <w:pPr>
              <w:pStyle w:val="Compact"/>
            </w:pPr>
            <w:r>
              <w:t xml:space="preserve">3 wk</w:t>
            </w:r>
          </w:p>
        </w:tc>
      </w:tr>
      <w:tr>
        <w:trPr>
          <w:cantSplit/>
        </w:trPr>
        <w:tc>
          <w:tcPr/>
          <w:p>
            <w:pPr>
              <w:pStyle w:val="Compact"/>
            </w:pPr>
            <w:r>
              <w:t xml:space="preserve">07</w:t>
            </w:r>
          </w:p>
        </w:tc>
        <w:tc>
          <w:tcPr/>
          <w:p>
            <w:pPr>
              <w:pStyle w:val="Compact"/>
            </w:pPr>
            <w:r>
              <w:t xml:space="preserve">Metadata enrichment and collection health</w:t>
            </w:r>
          </w:p>
        </w:tc>
        <w:tc>
          <w:tcPr/>
          <w:p>
            <w:pPr>
              <w:pStyle w:val="Compact"/>
            </w:pPr>
            <w:r>
              <w:t xml:space="preserve">ISBN detection, provider lookup, confidence merge, reversible write-back, provenance, health dashboard (FR-META).</w:t>
            </w:r>
          </w:p>
        </w:tc>
        <w:tc>
          <w:tcPr/>
          <w:p>
            <w:pPr>
              <w:pStyle w:val="Compact"/>
            </w:pPr>
            <w:r>
              <w:t xml:space="preserve">3 wk</w:t>
            </w:r>
          </w:p>
        </w:tc>
      </w:tr>
      <w:tr>
        <w:trPr>
          <w:cantSplit/>
        </w:trPr>
        <w:tc>
          <w:tcPr/>
          <w:p>
            <w:pPr>
              <w:pStyle w:val="Compact"/>
            </w:pPr>
            <w:r>
              <w:t xml:space="preserve">08</w:t>
            </w:r>
          </w:p>
        </w:tc>
        <w:tc>
          <w:tcPr/>
          <w:p>
            <w:pPr>
              <w:pStyle w:val="Compact"/>
            </w:pPr>
            <w:r>
              <w:t xml:space="preserve">PDF reader core</w:t>
            </w:r>
          </w:p>
        </w:tc>
        <w:tc>
          <w:tcPr/>
          <w:p>
            <w:pPr>
              <w:pStyle w:val="Compact"/>
            </w:pPr>
            <w:r>
              <w:t xml:space="preserve">Render, navigate, zoom, display modes, full-screen, page-render cache, resume, in-document search (FR-READ-001 to FR-READ-006).</w:t>
            </w:r>
          </w:p>
        </w:tc>
        <w:tc>
          <w:tcPr/>
          <w:p>
            <w:pPr>
              <w:pStyle w:val="Compact"/>
            </w:pPr>
            <w:r>
              <w:t xml:space="preserve">4 wk</w:t>
            </w:r>
          </w:p>
        </w:tc>
      </w:tr>
      <w:tr>
        <w:trPr>
          <w:cantSplit/>
        </w:trPr>
        <w:tc>
          <w:tcPr/>
          <w:p>
            <w:pPr>
              <w:pStyle w:val="Compact"/>
            </w:pPr>
            <w:r>
              <w:t xml:space="preserve">09</w:t>
            </w:r>
          </w:p>
        </w:tc>
        <w:tc>
          <w:tcPr/>
          <w:p>
            <w:pPr>
              <w:pStyle w:val="Compact"/>
            </w:pPr>
            <w:r>
              <w:t xml:space="preserve">Annotations, bookmarks, and reading memory</w:t>
            </w:r>
          </w:p>
        </w:tc>
        <w:tc>
          <w:tcPr/>
          <w:p>
            <w:pPr>
              <w:pStyle w:val="Compact"/>
            </w:pPr>
            <w:r>
              <w:t xml:space="preserve">Durable highlights/notes, bookmarks, annotation layers, citation capture, reading memory (FR-READ-007, FR-READ-008, FR-READ-011, FR-READ-013 to FR-READ-015).</w:t>
            </w:r>
          </w:p>
        </w:tc>
        <w:tc>
          <w:tcPr/>
          <w:p>
            <w:pPr>
              <w:pStyle w:val="Compact"/>
            </w:pPr>
            <w:r>
              <w:t xml:space="preserve">3 wk</w:t>
            </w:r>
          </w:p>
        </w:tc>
      </w:tr>
    </w:tbl>
    <w:bookmarkEnd w:id="76"/>
    <w:bookmarkStart w:id="77" w:name="part-iii--intelligence-implemented"/>
    <w:p>
      <w:pPr>
        <w:pStyle w:val="Heading2"/>
      </w:pPr>
      <w:r>
        <w:rPr>
          <w:rStyle w:val="SectionNumber"/>
          <w:rFonts w:ascii="Spectral" w:hAnsi="Spectral" w:eastAsia="Spectral"/>
          <w:color w:val="132338"/>
        </w:rPr>
        <w:t xml:space="preserve">10.4</w:t>
      </w:r>
      <w:r>
        <w:rPr>
          <w:rFonts w:ascii="Spectral" w:hAnsi="Spectral" w:eastAsia="Spectral"/>
          <w:color w:val="132338"/>
        </w:rPr>
        <w:tab/>
      </w:r>
      <w:r>
        <w:rPr>
          <w:rFonts w:ascii="Spectral" w:hAnsi="Spectral" w:eastAsia="Spectral"/>
          <w:color w:val="132338"/>
        </w:rPr>
        <w:t xml:space="preserve">Part III — Intelligence</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10</w:t>
            </w:r>
          </w:p>
        </w:tc>
        <w:tc>
          <w:tcPr/>
          <w:p>
            <w:pPr>
              <w:pStyle w:val="Compact"/>
            </w:pPr>
            <w:r>
              <w:t xml:space="preserve">Search and indexing</w:t>
            </w:r>
          </w:p>
        </w:tc>
        <w:tc>
          <w:tcPr/>
          <w:p>
            <w:pPr>
              <w:pStyle w:val="Compact"/>
            </w:pPr>
            <w:r>
              <w:t xml:space="preserve">Metadata search within the 150 ms budget, FTS5 external-content index, extraction pipeline, index manager (FR-SEARCH-001, FR-SEARCH-002, FR-SEARCH-006).</w:t>
            </w:r>
          </w:p>
        </w:tc>
        <w:tc>
          <w:tcPr/>
          <w:p>
            <w:pPr>
              <w:pStyle w:val="Compact"/>
            </w:pPr>
            <w:r>
              <w:t xml:space="preserve">3 wk</w:t>
            </w:r>
          </w:p>
        </w:tc>
      </w:tr>
      <w:tr>
        <w:trPr>
          <w:cantSplit/>
        </w:trPr>
        <w:tc>
          <w:tcPr/>
          <w:p>
            <w:pPr>
              <w:pStyle w:val="Compact"/>
            </w:pPr>
            <w:r>
              <w:t xml:space="preserve">11</w:t>
            </w:r>
          </w:p>
        </w:tc>
        <w:tc>
          <w:tcPr/>
          <w:p>
            <w:pPr>
              <w:pStyle w:val="Compact"/>
            </w:pPr>
            <w:r>
              <w:t xml:space="preserve">Semantic search and embeddings</w:t>
            </w:r>
          </w:p>
        </w:tc>
        <w:tc>
          <w:tcPr/>
          <w:p>
            <w:pPr>
              <w:pStyle w:val="Compact"/>
            </w:pPr>
            <w:r>
              <w:t xml:space="preserve">Local-Ollama embeddings, approximate-nearest-neighbor search, hybrid ranking, match-location explanation (FR-SEARCH-003 to FR-SEARCH-005).</w:t>
            </w:r>
          </w:p>
        </w:tc>
        <w:tc>
          <w:tcPr/>
          <w:p>
            <w:pPr>
              <w:pStyle w:val="Compact"/>
            </w:pPr>
            <w:r>
              <w:t xml:space="preserve">3 wk</w:t>
            </w:r>
          </w:p>
        </w:tc>
      </w:tr>
      <w:tr>
        <w:trPr>
          <w:cantSplit/>
        </w:trPr>
        <w:tc>
          <w:tcPr/>
          <w:p>
            <w:pPr>
              <w:pStyle w:val="Compact"/>
            </w:pPr>
            <w:r>
              <w:t xml:space="preserve">12</w:t>
            </w:r>
          </w:p>
        </w:tc>
        <w:tc>
          <w:tcPr/>
          <w:p>
            <w:pPr>
              <w:pStyle w:val="Compact"/>
            </w:pPr>
            <w:r>
              <w:t xml:space="preserve">AI gateway and Privacy Center</w:t>
            </w:r>
          </w:p>
        </w:tc>
        <w:tc>
          <w:tcPr/>
          <w:p>
            <w:pPr>
              <w:pStyle w:val="Compact"/>
            </w:pPr>
            <w:r>
              <w:t xml:space="preserve">Provider-neutral gateway, 4 privacy tiers, payload preview, audit, cost, history erasure, Privacy Center (FR-AI-001, FR-AI-002, FR-AI-004, FR-AI-005, FR-AI-009 to FR-AI-011).</w:t>
            </w:r>
          </w:p>
        </w:tc>
        <w:tc>
          <w:tcPr/>
          <w:p>
            <w:pPr>
              <w:pStyle w:val="Compact"/>
            </w:pPr>
            <w:r>
              <w:t xml:space="preserve">3 wk</w:t>
            </w:r>
          </w:p>
        </w:tc>
      </w:tr>
      <w:tr>
        <w:trPr>
          <w:cantSplit/>
        </w:trPr>
        <w:tc>
          <w:tcPr/>
          <w:p>
            <w:pPr>
              <w:pStyle w:val="Compact"/>
            </w:pPr>
            <w:r>
              <w:t xml:space="preserve">13</w:t>
            </w:r>
          </w:p>
        </w:tc>
        <w:tc>
          <w:tcPr/>
          <w:p>
            <w:pPr>
              <w:pStyle w:val="Compact"/>
            </w:pPr>
            <w:r>
              <w:t xml:space="preserve">AI reading advisor and plans</w:t>
            </w:r>
          </w:p>
        </w:tc>
        <w:tc>
          <w:tcPr/>
          <w:p>
            <w:pPr>
              <w:pStyle w:val="Compact"/>
            </w:pPr>
            <w:r>
              <w:t xml:space="preserve">Explainable ranked recommendations and reading plans (FR-AI-003, FR-AI-007); the V2 answer mode (FR-AI-008) remains a deliberate stub.</w:t>
            </w:r>
          </w:p>
        </w:tc>
        <w:tc>
          <w:tcPr/>
          <w:p>
            <w:pPr>
              <w:pStyle w:val="Compact"/>
            </w:pPr>
            <w:r>
              <w:t xml:space="preserve">3 wk</w:t>
            </w:r>
          </w:p>
        </w:tc>
      </w:tr>
    </w:tbl>
    <w:bookmarkEnd w:id="77"/>
    <w:bookmarkStart w:id="78" w:name="X91d20f24292412ab5a6856a1589ac0909faf6e9"/>
    <w:p>
      <w:pPr>
        <w:pStyle w:val="Heading2"/>
      </w:pPr>
      <w:r>
        <w:rPr>
          <w:rStyle w:val="SectionNumber"/>
          <w:rFonts w:ascii="Spectral" w:hAnsi="Spectral" w:eastAsia="Spectral"/>
          <w:color w:val="132338"/>
        </w:rPr>
        <w:t xml:space="preserve">10.5</w:t>
      </w:r>
      <w:r>
        <w:rPr>
          <w:rFonts w:ascii="Spectral" w:hAnsi="Spectral" w:eastAsia="Spectral"/>
          <w:color w:val="132338"/>
        </w:rPr>
        <w:tab/>
      </w:r>
      <w:r>
        <w:rPr>
          <w:rFonts w:ascii="Spectral" w:hAnsi="Spectral" w:eastAsia="Spectral"/>
          <w:color w:val="132338"/>
        </w:rPr>
        <w:t xml:space="preserve">Part IV — Signature Experience and Power Features</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14</w:t>
            </w:r>
          </w:p>
        </w:tc>
        <w:tc>
          <w:tcPr/>
          <w:p>
            <w:pPr>
              <w:pStyle w:val="Compact"/>
            </w:pPr>
            <w:r>
              <w:t xml:space="preserve">3D bookshelf</w:t>
            </w:r>
          </w:p>
        </w:tc>
        <w:tc>
          <w:tcPr/>
          <w:p>
            <w:pPr>
              <w:pStyle w:val="Compact"/>
            </w:pPr>
            <w:r>
              <w:t xml:space="preserve">WebView-hosted Three.js r181, typed C#-to-JavaScript bridge,</w:t>
            </w:r>
            <w:r>
              <w:t xml:space="preserve"> </w:t>
            </w:r>
            <w:r>
              <w:rPr>
                <w:rStyle w:val="VerbatimChar"/>
              </w:rPr>
              <w:t xml:space="preserve">ogma://</w:t>
            </w:r>
            <w:r>
              <w:t xml:space="preserve"> </w:t>
            </w:r>
            <w:r>
              <w:t xml:space="preserve">asset scheme, spine textures, 60 FPS budget, accessible fallback.</w:t>
            </w:r>
          </w:p>
        </w:tc>
        <w:tc>
          <w:tcPr/>
          <w:p>
            <w:pPr>
              <w:pStyle w:val="Compact"/>
            </w:pPr>
            <w:r>
              <w:t xml:space="preserve">3 wk</w:t>
            </w:r>
          </w:p>
        </w:tc>
      </w:tr>
      <w:tr>
        <w:trPr>
          <w:cantSplit/>
        </w:trPr>
        <w:tc>
          <w:tcPr/>
          <w:p>
            <w:pPr>
              <w:pStyle w:val="Compact"/>
            </w:pPr>
            <w:r>
              <w:t xml:space="preserve">15</w:t>
            </w:r>
          </w:p>
        </w:tc>
        <w:tc>
          <w:tcPr/>
          <w:p>
            <w:pPr>
              <w:pStyle w:val="Compact"/>
            </w:pPr>
            <w:r>
              <w:t xml:space="preserve">OCR, advanced reader, and power tools</w:t>
            </w:r>
          </w:p>
        </w:tc>
        <w:tc>
          <w:tcPr/>
          <w:p>
            <w:pPr>
              <w:pStyle w:val="Compact"/>
            </w:pPr>
            <w:r>
              <w:t xml:space="preserve">Tesseract 5.2.0 OCR pipeline, password-protected PDFs, batch enrichment, smart shelves at scale (FR-READ-009, FR-READ-010; FR-META-006). Split view (FR-READ-012) is not yet implemented.</w:t>
            </w:r>
          </w:p>
        </w:tc>
        <w:tc>
          <w:tcPr/>
          <w:p>
            <w:pPr>
              <w:pStyle w:val="Compact"/>
            </w:pPr>
            <w:r>
              <w:t xml:space="preserve">3 wk</w:t>
            </w:r>
          </w:p>
        </w:tc>
      </w:tr>
    </w:tbl>
    <w:bookmarkEnd w:id="78"/>
    <w:bookmarkStart w:id="79" w:name="Xf7577bc018dd8ef3aea3465332803f8ee81940e"/>
    <w:p>
      <w:pPr>
        <w:pStyle w:val="Heading2"/>
      </w:pPr>
      <w:r>
        <w:rPr>
          <w:rStyle w:val="SectionNumber"/>
          <w:rFonts w:ascii="Spectral" w:hAnsi="Spectral" w:eastAsia="Spectral"/>
          <w:color w:val="132338"/>
        </w:rPr>
        <w:t xml:space="preserve">10.6</w:t>
      </w:r>
      <w:r>
        <w:rPr>
          <w:rFonts w:ascii="Spectral" w:hAnsi="Spectral" w:eastAsia="Spectral"/>
          <w:color w:val="132338"/>
        </w:rPr>
        <w:tab/>
      </w:r>
      <w:r>
        <w:rPr>
          <w:rFonts w:ascii="Spectral" w:hAnsi="Spectral" w:eastAsia="Spectral"/>
          <w:color w:val="132338"/>
        </w:rPr>
        <w:t xml:space="preserve">Part V — Networked E-Library / Classroom</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16</w:t>
            </w:r>
          </w:p>
        </w:tc>
        <w:tc>
          <w:tcPr/>
          <w:p>
            <w:pPr>
              <w:pStyle w:val="Compact"/>
            </w:pPr>
            <w:r>
              <w:t xml:space="preserve">LAN library server (host mode)</w:t>
            </w:r>
          </w:p>
        </w:tc>
        <w:tc>
          <w:tcPr/>
          <w:p>
            <w:pPr>
              <w:pStyle w:val="Compact"/>
            </w:pPr>
            <w:r>
              <w:t xml:space="preserve">Opt-in Kestrel host serving catalogue and PDFs over TLS on the LAN; mDNS discovery, trust store, auth, range-request streaming (FR-LAN).</w:t>
            </w:r>
          </w:p>
        </w:tc>
        <w:tc>
          <w:tcPr/>
          <w:p>
            <w:pPr>
              <w:pStyle w:val="Compact"/>
            </w:pPr>
            <w:r>
              <w:t xml:space="preserve">4 wk</w:t>
            </w:r>
          </w:p>
        </w:tc>
      </w:tr>
      <w:tr>
        <w:trPr>
          <w:cantSplit/>
        </w:trPr>
        <w:tc>
          <w:tcPr/>
          <w:p>
            <w:pPr>
              <w:pStyle w:val="Compact"/>
            </w:pPr>
            <w:r>
              <w:t xml:space="preserve">17</w:t>
            </w:r>
          </w:p>
        </w:tc>
        <w:tc>
          <w:tcPr/>
          <w:p>
            <w:pPr>
              <w:pStyle w:val="Compact"/>
            </w:pPr>
            <w:r>
              <w:t xml:space="preserve">Client / classroom mode</w:t>
            </w:r>
          </w:p>
        </w:tc>
        <w:tc>
          <w:tcPr/>
          <w:p>
            <w:pPr>
              <w:pStyle w:val="Compact"/>
            </w:pPr>
            <w:r>
              <w:t xml:space="preserve">Client connection, per-student profiles, roles, private reading state, offline cache, sync (FR-CLIENT).</w:t>
            </w:r>
          </w:p>
        </w:tc>
        <w:tc>
          <w:tcPr/>
          <w:p>
            <w:pPr>
              <w:pStyle w:val="Compact"/>
            </w:pPr>
            <w:r>
              <w:t xml:space="preserve">4 wk</w:t>
            </w:r>
          </w:p>
        </w:tc>
      </w:tr>
      <w:tr>
        <w:trPr>
          <w:cantSplit/>
        </w:trPr>
        <w:tc>
          <w:tcPr/>
          <w:p>
            <w:pPr>
              <w:pStyle w:val="Compact"/>
            </w:pPr>
            <w:r>
              <w:t xml:space="preserve">18</w:t>
            </w:r>
          </w:p>
        </w:tc>
        <w:tc>
          <w:tcPr/>
          <w:p>
            <w:pPr>
              <w:pStyle w:val="Compact"/>
            </w:pPr>
            <w:r>
              <w:t xml:space="preserve">School administration and managed AI</w:t>
            </w:r>
          </w:p>
        </w:tc>
        <w:tc>
          <w:tcPr/>
          <w:p>
            <w:pPr>
              <w:pStyle w:val="Compact"/>
            </w:pPr>
            <w:r>
              <w:t xml:space="preserve">Admin console, school-provisioned keys, entitlements and quotas, moderated student smart search, audit, DPIA screening (FR-ADMIN).</w:t>
            </w:r>
          </w:p>
        </w:tc>
        <w:tc>
          <w:tcPr/>
          <w:p>
            <w:pPr>
              <w:pStyle w:val="Compact"/>
            </w:pPr>
            <w:r>
              <w:t xml:space="preserve">4 wk</w:t>
            </w:r>
          </w:p>
        </w:tc>
      </w:tr>
    </w:tbl>
    <w:bookmarkEnd w:id="79"/>
    <w:bookmarkStart w:id="80" w:name="X90255dfe878acf17f8b08bc78322e08da0f84fd"/>
    <w:p>
      <w:pPr>
        <w:pStyle w:val="Heading2"/>
      </w:pPr>
      <w:r>
        <w:rPr>
          <w:rStyle w:val="SectionNumber"/>
          <w:rFonts w:ascii="Spectral" w:hAnsi="Spectral" w:eastAsia="Spectral"/>
          <w:color w:val="132338"/>
        </w:rPr>
        <w:t xml:space="preserve">10.7</w:t>
      </w:r>
      <w:r>
        <w:rPr>
          <w:rFonts w:ascii="Spectral" w:hAnsi="Spectral" w:eastAsia="Spectral"/>
          <w:color w:val="132338"/>
        </w:rPr>
        <w:tab/>
      </w:r>
      <w:r>
        <w:rPr>
          <w:rFonts w:ascii="Spectral" w:hAnsi="Spectral" w:eastAsia="Spectral"/>
          <w:color w:val="132338"/>
        </w:rPr>
        <w:t xml:space="preserve">Part VI — Hardening and Quality</w:t>
      </w:r>
      <w:r>
        <w:rPr>
          <w:rFonts w:ascii="Spectral" w:hAnsi="Spectral" w:eastAsia="Spectral"/>
          <w:color w:val="132338"/>
        </w:rPr>
        <w:t xml:space="preserve"> </w:t>
      </w:r>
      <w:r>
        <w:rPr>
          <w:rFonts w:ascii="Spectral" w:hAnsi="Spectral" w:eastAsia="Spectral"/>
          <w:i/>
          <w:iCs/>
          <w:color w:val="132338"/>
        </w:rPr>
        <w:t xml:space="preserve">(outstanding)</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19</w:t>
            </w:r>
          </w:p>
        </w:tc>
        <w:tc>
          <w:tcPr/>
          <w:p>
            <w:pPr>
              <w:pStyle w:val="Compact"/>
            </w:pPr>
            <w:r>
              <w:t xml:space="preserve">Security hardening and privacy/compliance</w:t>
            </w:r>
          </w:p>
        </w:tc>
        <w:tc>
          <w:tcPr/>
          <w:p>
            <w:pPr>
              <w:pStyle w:val="Compact"/>
            </w:pPr>
            <w:r>
              <w:t xml:space="preserve">Threat-model execution, untrusted-PDF isolation hardening, at-rest encryption, per-off-device-feature DPIA across GDPR/UK DPA, US COPPA/FERPA, and Uganda DPPA 2019 (D-003), SAST.</w:t>
            </w:r>
          </w:p>
        </w:tc>
        <w:tc>
          <w:tcPr/>
          <w:p>
            <w:pPr>
              <w:pStyle w:val="Compact"/>
            </w:pPr>
            <w:r>
              <w:t xml:space="preserve">3 wk</w:t>
            </w:r>
          </w:p>
        </w:tc>
      </w:tr>
      <w:tr>
        <w:trPr>
          <w:cantSplit/>
        </w:trPr>
        <w:tc>
          <w:tcPr/>
          <w:p>
            <w:pPr>
              <w:pStyle w:val="Compact"/>
            </w:pPr>
            <w:r>
              <w:t xml:space="preserve">20</w:t>
            </w:r>
          </w:p>
        </w:tc>
        <w:tc>
          <w:tcPr/>
          <w:p>
            <w:pPr>
              <w:pStyle w:val="Compact"/>
            </w:pPr>
            <w:r>
              <w:t xml:space="preserve">Performance engineering and reliability</w:t>
            </w:r>
          </w:p>
        </w:tc>
        <w:tc>
          <w:tcPr/>
          <w:p>
            <w:pPr>
              <w:pStyle w:val="Compact"/>
            </w:pPr>
            <w:r>
              <w:t xml:space="preserve">Formal NFR acceptance of every budget on W-REF-01/M-REF-01, fault injection, job recovery, index repair, observability. Converts all trend-only figures into acceptance evidence.</w:t>
            </w:r>
          </w:p>
        </w:tc>
        <w:tc>
          <w:tcPr/>
          <w:p>
            <w:pPr>
              <w:pStyle w:val="Compact"/>
            </w:pPr>
            <w:r>
              <w:t xml:space="preserve">3 wk</w:t>
            </w:r>
          </w:p>
        </w:tc>
      </w:tr>
      <w:tr>
        <w:trPr>
          <w:cantSplit/>
        </w:trPr>
        <w:tc>
          <w:tcPr/>
          <w:p>
            <w:pPr>
              <w:pStyle w:val="Compact"/>
            </w:pPr>
            <w:r>
              <w:t xml:space="preserve">21</w:t>
            </w:r>
          </w:p>
        </w:tc>
        <w:tc>
          <w:tcPr/>
          <w:p>
            <w:pPr>
              <w:pStyle w:val="Compact"/>
            </w:pPr>
            <w:r>
              <w:t xml:space="preserve">Accessibility, full i18n, and comprehensive QA</w:t>
            </w:r>
          </w:p>
        </w:tc>
        <w:tc>
          <w:tcPr/>
          <w:p>
            <w:pPr>
              <w:pStyle w:val="Compact"/>
            </w:pPr>
            <w:r>
              <w:t xml:space="preserve">WCAG 2.2 AA audit, screen-reader passes, Spanish/Italian/German localization, golden-corpus end-to-end, multi-dimensional review.</w:t>
            </w:r>
          </w:p>
        </w:tc>
        <w:tc>
          <w:tcPr/>
          <w:p>
            <w:pPr>
              <w:pStyle w:val="Compact"/>
            </w:pPr>
            <w:r>
              <w:t xml:space="preserve">4 wk</w:t>
            </w:r>
          </w:p>
        </w:tc>
      </w:tr>
    </w:tbl>
    <w:bookmarkEnd w:id="80"/>
    <w:bookmarkStart w:id="81" w:name="X2097d20bdea3d455b4ef4396e660340c8d14f22"/>
    <w:p>
      <w:pPr>
        <w:pStyle w:val="Heading2"/>
      </w:pPr>
      <w:r>
        <w:rPr>
          <w:rStyle w:val="SectionNumber"/>
          <w:rFonts w:ascii="Spectral" w:hAnsi="Spectral" w:eastAsia="Spectral"/>
          <w:color w:val="132338"/>
        </w:rPr>
        <w:t xml:space="preserve">10.8</w:t>
      </w:r>
      <w:r>
        <w:rPr>
          <w:rFonts w:ascii="Spectral" w:hAnsi="Spectral" w:eastAsia="Spectral"/>
          <w:color w:val="132338"/>
        </w:rPr>
        <w:tab/>
      </w:r>
      <w:r>
        <w:rPr>
          <w:rFonts w:ascii="Spectral" w:hAnsi="Spectral" w:eastAsia="Spectral"/>
          <w:color w:val="132338"/>
        </w:rPr>
        <w:t xml:space="preserve">Part VII — Distribution and Launch</w:t>
      </w:r>
      <w:r>
        <w:rPr>
          <w:rFonts w:ascii="Spectral" w:hAnsi="Spectral" w:eastAsia="Spectral"/>
          <w:color w:val="132338"/>
        </w:rPr>
        <w:t xml:space="preserve"> </w:t>
      </w:r>
      <w:r>
        <w:rPr>
          <w:rFonts w:ascii="Spectral" w:hAnsi="Spectral" w:eastAsia="Spectral"/>
          <w:i/>
          <w:iCs/>
          <w:color w:val="132338"/>
        </w:rPr>
        <w:t xml:space="preserve">(outstanding)</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22</w:t>
            </w:r>
          </w:p>
        </w:tc>
        <w:tc>
          <w:tcPr/>
          <w:p>
            <w:pPr>
              <w:pStyle w:val="Compact"/>
            </w:pPr>
            <w:r>
              <w:t xml:space="preserve">Packaging, signing, and store submission</w:t>
            </w:r>
          </w:p>
        </w:tc>
        <w:tc>
          <w:tcPr/>
          <w:p>
            <w:pPr>
              <w:pStyle w:val="Compact"/>
            </w:pPr>
            <w:r>
              <w:t xml:space="preserve">Velopack feeds, MSIX + Microsoft Store, notarized DMG + Mac App Store, GitHub releases, signed reversible auto-update, release channels. Blocked by icon procurement (OQ-09) and priced by OQ-11.</w:t>
            </w:r>
          </w:p>
        </w:tc>
        <w:tc>
          <w:tcPr/>
          <w:p>
            <w:pPr>
              <w:pStyle w:val="Compact"/>
            </w:pPr>
            <w:r>
              <w:t xml:space="preserve">3 wk</w:t>
            </w:r>
          </w:p>
        </w:tc>
      </w:tr>
      <w:tr>
        <w:trPr>
          <w:cantSplit/>
        </w:trPr>
        <w:tc>
          <w:tcPr/>
          <w:p>
            <w:pPr>
              <w:pStyle w:val="Compact"/>
            </w:pPr>
            <w:r>
              <w:t xml:space="preserve">23</w:t>
            </w:r>
          </w:p>
        </w:tc>
        <w:tc>
          <w:tcPr/>
          <w:p>
            <w:pPr>
              <w:pStyle w:val="Compact"/>
            </w:pPr>
            <w:r>
              <w:t xml:space="preserve">Beta, launch, and post-launch operations</w:t>
            </w:r>
          </w:p>
        </w:tc>
        <w:tc>
          <w:tcPr/>
          <w:p>
            <w:pPr>
              <w:pStyle w:val="Compact"/>
            </w:pPr>
            <w:r>
              <w:t xml:space="preserve">Go-live readiness gate, public beta (the persona-validation instrument, Section 4), opt-in telemetry and SLOs, runbooks, incident response, support, extension points (FR-EXT), V1/V2 roadmap.</w:t>
            </w:r>
          </w:p>
        </w:tc>
        <w:tc>
          <w:tcPr/>
          <w:p>
            <w:pPr>
              <w:pStyle w:val="Compact"/>
            </w:pPr>
            <w:r>
              <w:t xml:space="preserve">3 wk</w:t>
            </w:r>
          </w:p>
        </w:tc>
      </w:tr>
    </w:tbl>
    <w:bookmarkEnd w:id="81"/>
    <w:bookmarkStart w:id="82" w:name="release-tier-mapping"/>
    <w:p>
      <w:pPr>
        <w:pStyle w:val="Heading2"/>
      </w:pPr>
      <w:r>
        <w:rPr>
          <w:rStyle w:val="SectionNumber"/>
          <w:rFonts w:ascii="Spectral" w:hAnsi="Spectral" w:eastAsia="Spectral"/>
          <w:color w:val="132338"/>
        </w:rPr>
        <w:t xml:space="preserve">10.9</w:t>
      </w:r>
      <w:r>
        <w:rPr>
          <w:rFonts w:ascii="Spectral" w:hAnsi="Spectral" w:eastAsia="Spectral"/>
          <w:color w:val="132338"/>
        </w:rPr>
        <w:tab/>
      </w:r>
      <w:r>
        <w:rPr>
          <w:rFonts w:ascii="Spectral" w:hAnsi="Spectral" w:eastAsia="Spectral"/>
          <w:color w:val="132338"/>
        </w:rPr>
        <w:t xml:space="preserve">Release-Tier Mapping</w:t>
      </w:r>
    </w:p>
    <w:p>
      <w:pPr>
        <w:pStyle w:val="FirstParagraph"/>
      </w:pPr>
      <w:r>
        <w:t xml:space="preserve">The MVP gateable subset is Phases 00–10 plus 12 (metadata-only AI), 14, en/fr localization, the icon system, and the applicable core of 19–23; V1 adds Phases 11, 13, and 15 capabilities; V2 ships split view, answer mode, the hardened classroom product (16–18), the Extension SDK, and es/it/de. Building ahead of tier (Phases 11–18 already implemented) does not move a tier's release gates: nothing ships to any tier until Phases 19–21 pass for that tier's surface.</w:t>
      </w:r>
    </w:p>
    <w:bookmarkEnd w:id="82"/>
    <w:bookmarkStart w:id="83" w:name="gate-discipline"/>
    <w:p>
      <w:pPr>
        <w:pStyle w:val="Heading2"/>
      </w:pPr>
      <w:r>
        <w:rPr>
          <w:rStyle w:val="SectionNumber"/>
          <w:rFonts w:ascii="Spectral" w:hAnsi="Spectral" w:eastAsia="Spectral"/>
          <w:color w:val="132338"/>
        </w:rPr>
        <w:t xml:space="preserve">10.10</w:t>
      </w:r>
      <w:r>
        <w:rPr>
          <w:rFonts w:ascii="Spectral" w:hAnsi="Spectral" w:eastAsia="Spectral"/>
          <w:color w:val="132338"/>
        </w:rPr>
        <w:tab/>
      </w:r>
      <w:r>
        <w:rPr>
          <w:rFonts w:ascii="Spectral" w:hAnsi="Spectral" w:eastAsia="Spectral"/>
          <w:color w:val="132338"/>
        </w:rPr>
        <w:t xml:space="preserve">Gate Discipline</w:t>
      </w:r>
    </w:p>
    <w:p>
      <w:pPr>
        <w:pStyle w:val="FirstParagraph"/>
      </w:pPr>
      <w:r>
        <w:t xml:space="preserve">Each phase carries a Definition of Done gated against measurable thresholds; the product owner ratifies each phase gate; and any change to a baselined FR/NFR/CTRL requires a Change Impact Analysis entry with a rollback plan before acceptance. Two engineering items ride the outstanding phases: the</w:t>
      </w:r>
      <w:r>
        <w:t xml:space="preserve"> </w:t>
      </w:r>
      <w:r>
        <w:rPr>
          <w:rStyle w:val="VerbatimChar"/>
        </w:rPr>
        <w:t xml:space="preserve">OGMA0001</w:t>
      </w:r>
      <w:r>
        <w:t xml:space="preserve"> </w:t>
      </w:r>
      <w:r>
        <w:t xml:space="preserve">hard-coded-string Roslyn analyzer is not yet built (the rule is enforced by convention plus pseudolocale tests), and the repository's own status docs (</w:t>
      </w:r>
      <w:r>
        <w:rPr>
          <w:rStyle w:val="VerbatimChar"/>
        </w:rPr>
        <w:t xml:space="preserve">CLAUDE.md</w:t>
      </w:r>
      <w:r>
        <w:t xml:space="preserve">,</w:t>
      </w:r>
      <w:r>
        <w:t xml:space="preserve"> </w:t>
      </w:r>
      <w:r>
        <w:rPr>
          <w:rStyle w:val="VerbatimChar"/>
        </w:rPr>
        <w:t xml:space="preserve">CHANGELOG.md</w:t>
      </w:r>
      <w:r>
        <w:t xml:space="preserve">) and duplicate ADR trees need reconciliation before the Phase 22 release audit.</w:t>
      </w:r>
    </w:p>
    <w:bookmarkEnd w:id="83"/>
    <w:bookmarkEnd w:id="84"/>
    <w:bookmarkStart w:id="90" w:name="open-questions-and-decision-record"/>
    <w:p>
      <w:pPr>
        <w:pStyle w:val="Heading1"/>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Open Questions and Decision Record</w:t>
      </w:r>
    </w:p>
    <w:p>
      <w:pPr>
        <w:pStyle w:val="FirstParagraph"/>
      </w:pPr>
      <w:r>
        <w:t xml:space="preserve">Version 0.1 of this PRD listed 8 open questions blocking the SRS baseline. All 8 are now closed: owner decision D-007 (2026-05-30, recorded in</w:t>
      </w:r>
      <w:r>
        <w:t xml:space="preserve"> </w:t>
      </w:r>
      <w:r>
        <w:rPr>
          <w:rStyle w:val="VerbatimChar"/>
        </w:rPr>
        <w:t xml:space="preserve">docs/plans/grand-plan/DECISIONS.md</w:t>
      </w:r>
      <w:r>
        <w:t xml:space="preserve">) ratified the Phase 00 decision closure,</w:t>
      </w:r>
      <w:r>
        <w:t xml:space="preserve"> </w:t>
      </w:r>
      <w:r>
        <w:rPr>
          <w:rStyle w:val="VerbatimChar"/>
        </w:rPr>
        <w:t xml:space="preserve">docs/governance/REFERENCE-HARDWARE.md</w:t>
      </w:r>
      <w:r>
        <w:t xml:space="preserve"> </w:t>
      </w:r>
      <w:r>
        <w:t xml:space="preserve">(decision CON-1) fixed the performance anchors, and D-008 fixed the deployment and data-location model. This section restates each original question with its recorded resolution, then lists the 2 decisions that remain genuinely open. The former EF Core alignment question is closed by ADR-0016.</w:t>
      </w:r>
    </w:p>
    <w:bookmarkStart w:id="85" w:name="closed-decisions-oq-01-to-oq-08"/>
    <w:p>
      <w:pPr>
        <w:pStyle w:val="Heading2"/>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Closed Decisions (OQ-01 to OQ-08)</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Question</w:t>
            </w:r>
          </w:p>
        </w:tc>
        <w:tc>
          <w:tcPr>
            <w:shd w:fill="132338"/>
          </w:tcPr>
          <w:p>
            <w:pPr>
              <w:pStyle w:val="Compact"/>
            </w:pPr>
            <w:r>
              <w:rPr>
                <w:rFonts w:ascii="Public Sans" w:hAnsi="Public Sans" w:eastAsia="Public Sans"/>
                <w:b/>
                <w:color w:val="FFFFFF"/>
                <w:sz w:val="17"/>
              </w:rPr>
              <w:t xml:space="preserve">Resolution</w:t>
            </w:r>
          </w:p>
        </w:tc>
        <w:tc>
          <w:tcPr>
            <w:shd w:fill="132338"/>
          </w:tcPr>
          <w:p>
            <w:pPr>
              <w:pStyle w:val="Compact"/>
            </w:pPr>
            <w:r>
              <w:rPr>
                <w:rFonts w:ascii="Public Sans" w:hAnsi="Public Sans" w:eastAsia="Public Sans"/>
                <w:b/>
                <w:color w:val="FFFFFF"/>
                <w:sz w:val="17"/>
              </w:rPr>
              <w:t xml:space="preserve">Decided where</w:t>
            </w:r>
          </w:p>
        </w:tc>
      </w:tr>
      <w:tr>
        <w:trPr>
          <w:cantSplit/>
        </w:trPr>
        <w:tc>
          <w:tcPr/>
          <w:p>
            <w:pPr>
              <w:pStyle w:val="Compact"/>
            </w:pPr>
            <w:r>
              <w:t xml:space="preserve">OQ-01</w:t>
            </w:r>
          </w:p>
        </w:tc>
        <w:tc>
          <w:tcPr/>
          <w:p>
            <w:pPr>
              <w:pStyle w:val="Compact"/>
            </w:pPr>
            <w:r>
              <w:t xml:space="preserve">.NET 10 LTS vs .NET 8</w:t>
            </w:r>
          </w:p>
        </w:tc>
        <w:tc>
          <w:tcPr/>
          <w:p>
            <w:pPr>
              <w:pStyle w:val="Compact"/>
            </w:pPr>
            <w:r>
              <w:t xml:space="preserve">Closed: .NET 10 LTS. The codebase targets</w:t>
            </w:r>
            <w:r>
              <w:t xml:space="preserve"> </w:t>
            </w:r>
            <w:r>
              <w:rPr>
                <w:rStyle w:val="VerbatimChar"/>
              </w:rPr>
              <w:t xml:space="preserve">net10.0</w:t>
            </w:r>
            <w:r>
              <w:t xml:space="preserve"> </w:t>
            </w:r>
            <w:r>
              <w:t xml:space="preserve">with warnings-as-errors.</w:t>
            </w:r>
          </w:p>
        </w:tc>
        <w:tc>
          <w:tcPr/>
          <w:p>
            <w:pPr>
              <w:pStyle w:val="Compact"/>
            </w:pPr>
            <w:r>
              <w:t xml:space="preserve">ADR-0001, reconfirmed by D-007.</w:t>
            </w:r>
          </w:p>
        </w:tc>
      </w:tr>
      <w:tr>
        <w:trPr>
          <w:cantSplit/>
        </w:trPr>
        <w:tc>
          <w:tcPr/>
          <w:p>
            <w:pPr>
              <w:pStyle w:val="Compact"/>
            </w:pPr>
            <w:r>
              <w:t xml:space="preserve">OQ-02</w:t>
            </w:r>
          </w:p>
        </w:tc>
        <w:tc>
          <w:tcPr/>
          <w:p>
            <w:pPr>
              <w:pStyle w:val="Compact"/>
            </w:pPr>
            <w:r>
              <w:t xml:space="preserve">PDFium wrapper selection</w:t>
            </w:r>
          </w:p>
        </w:tc>
        <w:tc>
          <w:tcPr/>
          <w:p>
            <w:pPr>
              <w:pStyle w:val="Compact"/>
            </w:pPr>
            <w:r>
              <w:t xml:space="preserve">Closed: candidates fixed as PDFtoImage (sungaila) and Docnet.Core, both MIT + PDFium BSD and store-redistributable; the Phase 01 benchmark selected PDFtoImage, and the shipped reader runs</w:t>
            </w:r>
            <w:r>
              <w:t xml:space="preserve"> </w:t>
            </w:r>
            <w:r>
              <w:rPr>
                <w:rStyle w:val="VerbatimChar"/>
              </w:rPr>
              <w:t xml:space="preserve">PdfiumAdapter</w:t>
            </w:r>
            <w:r>
              <w:t xml:space="preserve"> </w:t>
            </w:r>
            <w:r>
              <w:t xml:space="preserve">on PDFtoImage/SkiaSharp.</w:t>
            </w:r>
          </w:p>
        </w:tc>
        <w:tc>
          <w:tcPr/>
          <w:p>
            <w:pPr>
              <w:pStyle w:val="Compact"/>
            </w:pPr>
            <w:r>
              <w:t xml:space="preserve">D-007 (candidates), ADR-0004 amendment (winner).</w:t>
            </w:r>
          </w:p>
        </w:tc>
      </w:tr>
      <w:tr>
        <w:trPr>
          <w:cantSplit/>
        </w:trPr>
        <w:tc>
          <w:tcPr/>
          <w:p>
            <w:pPr>
              <w:pStyle w:val="Compact"/>
            </w:pPr>
            <w:r>
              <w:t xml:space="preserve">OQ-03</w:t>
            </w:r>
          </w:p>
        </w:tc>
        <w:tc>
          <w:tcPr/>
          <w:p>
            <w:pPr>
              <w:pStyle w:val="Compact"/>
            </w:pPr>
            <w:r>
              <w:t xml:space="preserve">Annotation write-back strategy</w:t>
            </w:r>
          </w:p>
        </w:tc>
        <w:tc>
          <w:tcPr/>
          <w:p>
            <w:pPr>
              <w:pStyle w:val="Compact"/>
            </w:pPr>
            <w:r>
              <w:t xml:space="preserve">Closed: highlights and notes persist only in the catalogue of record (FR-READ-008), implemented in</w:t>
            </w:r>
            <w:r>
              <w:t xml:space="preserve"> </w:t>
            </w:r>
            <w:r>
              <w:rPr>
                <w:rStyle w:val="VerbatimChar"/>
              </w:rPr>
              <w:t xml:space="preserve">OgmaLibrary.Reader</w:t>
            </w:r>
            <w:r>
              <w:t xml:space="preserve">. Any future PDF annotation write-back inherits the backup-diff-verify-restore contract of FR-META-005.</w:t>
            </w:r>
          </w:p>
        </w:tc>
        <w:tc>
          <w:tcPr/>
          <w:p>
            <w:pPr>
              <w:pStyle w:val="Compact"/>
            </w:pPr>
            <w:r>
              <w:t xml:space="preserve">Phase 00 decision closure under D-007.</w:t>
            </w:r>
          </w:p>
        </w:tc>
      </w:tr>
      <w:tr>
        <w:trPr>
          <w:cantSplit/>
        </w:trPr>
        <w:tc>
          <w:tcPr/>
          <w:p>
            <w:pPr>
              <w:pStyle w:val="Compact"/>
            </w:pPr>
            <w:r>
              <w:t xml:space="preserve">OQ-04</w:t>
            </w:r>
          </w:p>
        </w:tc>
        <w:tc>
          <w:tcPr/>
          <w:p>
            <w:pPr>
              <w:pStyle w:val="Compact"/>
            </w:pPr>
            <w:r>
              <w:t xml:space="preserve">Thumbnail and spine-texture storage</w:t>
            </w:r>
          </w:p>
        </w:tc>
        <w:tc>
          <w:tcPr/>
          <w:p>
            <w:pPr>
              <w:pStyle w:val="Compact"/>
            </w:pPr>
            <w:r>
              <w:t xml:space="preserve">Closed: generated images live in the</w:t>
            </w:r>
            <w:r>
              <w:t xml:space="preserve"> </w:t>
            </w:r>
            <w:r>
              <w:rPr>
                <w:i/>
                <w:iCs/>
              </w:rPr>
              <w:t xml:space="preserve">sidecar asset folder</w:t>
            </w:r>
            <w:r>
              <w:t xml:space="preserve"> </w:t>
            </w:r>
            <w:r>
              <w:t xml:space="preserve">on disk, referenced by the catalogue — implemented as the Phase 04 sidecar layout.</w:t>
            </w:r>
          </w:p>
        </w:tc>
        <w:tc>
          <w:tcPr/>
          <w:p>
            <w:pPr>
              <w:pStyle w:val="Compact"/>
            </w:pPr>
            <w:r>
              <w:t xml:space="preserve">Phase 00 closure under D-007; grand-plan Phase 04.</w:t>
            </w:r>
          </w:p>
        </w:tc>
      </w:tr>
      <w:tr>
        <w:trPr>
          <w:cantSplit/>
        </w:trPr>
        <w:tc>
          <w:tcPr/>
          <w:p>
            <w:pPr>
              <w:pStyle w:val="Compact"/>
            </w:pPr>
            <w:r>
              <w:t xml:space="preserve">OQ-05</w:t>
            </w:r>
          </w:p>
        </w:tc>
        <w:tc>
          <w:tcPr/>
          <w:p>
            <w:pPr>
              <w:pStyle w:val="Compact"/>
            </w:pPr>
            <w:r>
              <w:t xml:space="preserve">Full-text search in the MVP</w:t>
            </w:r>
          </w:p>
        </w:tc>
        <w:tc>
          <w:tcPr/>
          <w:p>
            <w:pPr>
              <w:pStyle w:val="Compact"/>
            </w:pPr>
            <w:r>
              <w:t xml:space="preserve">Closed: FTS5 is implemented (Phase 10,</w:t>
            </w:r>
            <w:r>
              <w:t xml:space="preserve"> </w:t>
            </w:r>
            <w:r>
              <w:rPr>
                <w:rStyle w:val="VerbatimChar"/>
              </w:rPr>
              <w:t xml:space="preserve">FtsIndexService</w:t>
            </w:r>
            <w:r>
              <w:t xml:space="preserve">) and Phase 10 sits inside the MVP gateable subset; FR-SEARCH-001 metadata search remains the MVP-tier requirement and FTS5 the V1 badge.</w:t>
            </w:r>
          </w:p>
        </w:tc>
        <w:tc>
          <w:tcPr/>
          <w:p>
            <w:pPr>
              <w:pStyle w:val="Compact"/>
            </w:pPr>
            <w:r>
              <w:t xml:space="preserve">Phase 00 closure under D-007; grand plan §4.</w:t>
            </w:r>
          </w:p>
        </w:tc>
      </w:tr>
      <w:tr>
        <w:trPr>
          <w:cantSplit/>
        </w:trPr>
        <w:tc>
          <w:tcPr/>
          <w:p>
            <w:pPr>
              <w:pStyle w:val="Compact"/>
            </w:pPr>
            <w:r>
              <w:t xml:space="preserve">OQ-06</w:t>
            </w:r>
          </w:p>
        </w:tc>
        <w:tc>
          <w:tcPr/>
          <w:p>
            <w:pPr>
              <w:pStyle w:val="Compact"/>
            </w:pPr>
            <w:r>
              <w:t xml:space="preserve">OCR in the MVP</w:t>
            </w:r>
          </w:p>
        </w:tc>
        <w:tc>
          <w:tcPr/>
          <w:p>
            <w:pPr>
              <w:pStyle w:val="Compact"/>
            </w:pPr>
            <w:r>
              <w:t xml:space="preserve">Closed: OCR is a V1 optional background job (FR-READ-010), implemented on Tesseract 5.2.0 at Phase 15 with results marked OCR-derived. MVP search scope is the native PDF text layer.</w:t>
            </w:r>
          </w:p>
        </w:tc>
        <w:tc>
          <w:tcPr/>
          <w:p>
            <w:pPr>
              <w:pStyle w:val="Compact"/>
            </w:pPr>
            <w:r>
              <w:t xml:space="preserve">Phase 00 closure under D-007.</w:t>
            </w:r>
          </w:p>
        </w:tc>
      </w:tr>
      <w:tr>
        <w:trPr>
          <w:cantSplit/>
        </w:trPr>
        <w:tc>
          <w:tcPr/>
          <w:p>
            <w:pPr>
              <w:pStyle w:val="Compact"/>
            </w:pPr>
            <w:r>
              <w:t xml:space="preserve">OQ-07</w:t>
            </w:r>
          </w:p>
        </w:tc>
        <w:tc>
          <w:tcPr/>
          <w:p>
            <w:pPr>
              <w:pStyle w:val="Compact"/>
            </w:pPr>
            <w:r>
              <w:t xml:space="preserve">EPUB and CBZ support</w:t>
            </w:r>
          </w:p>
        </w:tc>
        <w:tc>
          <w:tcPr/>
          <w:p>
            <w:pPr>
              <w:pStyle w:val="Compact"/>
            </w:pPr>
            <w:r>
              <w:t xml:space="preserve">Closed as a scope decision: PDF only through V1; the catalogue schema stays format-extensible; revisit post-V1. No phase gate is blocked.</w:t>
            </w:r>
          </w:p>
        </w:tc>
        <w:tc>
          <w:tcPr/>
          <w:p>
            <w:pPr>
              <w:pStyle w:val="Compact"/>
            </w:pPr>
            <w:r>
              <w:t xml:space="preserve">Phase 00 closure under D-007.</w:t>
            </w:r>
          </w:p>
        </w:tc>
      </w:tr>
      <w:tr>
        <w:trPr>
          <w:cantSplit/>
        </w:trPr>
        <w:tc>
          <w:tcPr/>
          <w:p>
            <w:pPr>
              <w:pStyle w:val="Compact"/>
            </w:pPr>
            <w:r>
              <w:t xml:space="preserve">OQ-08</w:t>
            </w:r>
          </w:p>
        </w:tc>
        <w:tc>
          <w:tcPr/>
          <w:p>
            <w:pPr>
              <w:pStyle w:val="Compact"/>
            </w:pPr>
            <w:r>
              <w:t xml:space="preserve">Cloud sync</w:t>
            </w:r>
          </w:p>
        </w:tc>
        <w:tc>
          <w:tcPr/>
          <w:p>
            <w:pPr>
              <w:pStyle w:val="Compact"/>
            </w:pPr>
            <w:r>
              <w:t xml:space="preserve">Closed: excluded from MVP and V1. Multi-machine sharing is delivered instead as the LAN-only classroom host (D-008) with no inbound internet listener; internet/remote access is out of scope until post-V2 and then only behind a fresh DPIA. Any future encrypted sync also requires a DPIA before shipping.</w:t>
            </w:r>
          </w:p>
        </w:tc>
        <w:tc>
          <w:tcPr/>
          <w:p>
            <w:pPr>
              <w:pStyle w:val="Compact"/>
            </w:pPr>
            <w:r>
              <w:t xml:space="preserve">D-008, D-002.</w:t>
            </w:r>
          </w:p>
        </w:tc>
      </w:tr>
    </w:tbl>
    <w:p>
      <w:pPr>
        <w:pStyle w:val="BodyText"/>
      </w:pPr>
      <w:r>
        <w:t xml:space="preserve">Related closures recorded for traceability: reference hardware (CON-1: W-REF-01/M-REF-01 and the NFR-OGMA budgets), command-palette set (CON-4), Work/Edition rules (CON-5), provider trust weights (CON-8), synthetic golden corpus (CON-9), jurisdictions (D-003: Uganda DPPA 2019 + EU/UK GDPR + USA, strictest common denominator), icon direction and vendor (D-001, D-004, D-005), and the Avalonia community licence (D-006).</w:t>
      </w:r>
    </w:p>
    <w:bookmarkEnd w:id="85"/>
    <w:bookmarkStart w:id="89" w:name="genuinely-open-decisions"/>
    <w:p>
      <w:pPr>
        <w:pStyle w:val="Heading2"/>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Genuinely Open Decisions</w:t>
      </w:r>
    </w:p>
    <w:bookmarkStart w:id="86" w:name="oq-09-premium-icon-procurement"/>
    <w:p>
      <w:pPr>
        <w:pStyle w:val="Heading3"/>
      </w:pPr>
      <w:r>
        <w:rPr>
          <w:rStyle w:val="SectionNumber"/>
          <w:rFonts w:ascii="Spectral" w:hAnsi="Spectral" w:eastAsia="Spectral"/>
          <w:color w:val="132338"/>
        </w:rPr>
        <w:t xml:space="preserve">11.2.1</w:t>
      </w:r>
      <w:r>
        <w:rPr>
          <w:rFonts w:ascii="Spectral" w:hAnsi="Spectral" w:eastAsia="Spectral"/>
          <w:color w:val="132338"/>
        </w:rPr>
        <w:tab/>
      </w:r>
      <w:r>
        <w:rPr>
          <w:rFonts w:ascii="Spectral" w:hAnsi="Spectral" w:eastAsia="Spectral"/>
          <w:color w:val="132338"/>
        </w:rPr>
        <w:t xml:space="preserve">OQ-09: Premium Icon Procurement</w:t>
      </w:r>
    </w:p>
    <w:p>
      <w:pPr>
        <w:pStyle w:val="FirstParagraph"/>
      </w:pPr>
      <w:r>
        <w:rPr>
          <w:b/>
          <w:bCs/>
        </w:rPr>
        <w:t xml:space="preserve">Decision needed:</w:t>
      </w:r>
      <w:r>
        <w:t xml:space="preserve"> </w:t>
      </w:r>
      <w:r>
        <w:t xml:space="preserve">Purchase and deliver the flat full-color premium icon sets (Flaticon Premium, SVG masters per D-004/D-005) named in the per-phase icon manifests and consolidated in</w:t>
      </w:r>
      <w:r>
        <w:t xml:space="preserve"> </w:t>
      </w:r>
      <w:r>
        <w:rPr>
          <w:rStyle w:val="VerbatimChar"/>
        </w:rPr>
        <w:t xml:space="preserve">_icons/MASTER-MANIFEST.md</w:t>
      </w:r>
      <w:r>
        <w:t xml:space="preserve">.</w:t>
      </w:r>
    </w:p>
    <w:p>
      <w:pPr>
        <w:pStyle w:val="BodyText"/>
      </w:pPr>
      <w:r>
        <w:rPr>
          <w:b/>
          <w:bCs/>
        </w:rPr>
        <w:t xml:space="preserve">Status:</w:t>
      </w:r>
      <w:r>
        <w:t xml:space="preserve"> </w:t>
      </w:r>
      <w:r>
        <w:t xml:space="preserve">Placeholders are in use throughout the implemented UI. By policy this is a release blocker: no store submission ships on placeholder icons, and free-tier Flaticon assets would force an in-app attribution screen that Premium licensing avoids.</w:t>
      </w:r>
    </w:p>
    <w:p>
      <w:pPr>
        <w:pStyle w:val="BodyText"/>
      </w:pPr>
      <w:r>
        <w:rPr>
          <w:b/>
          <w:bCs/>
        </w:rPr>
        <w:t xml:space="preserve">Owner:</w:t>
      </w:r>
      <w:r>
        <w:t xml:space="preserve"> </w:t>
      </w:r>
      <w:r>
        <w:t xml:space="preserve">Peter Bamuhigire (procurement); design/UX lead (manifest completeness).</w:t>
      </w:r>
    </w:p>
    <w:p>
      <w:pPr>
        <w:pStyle w:val="BodyText"/>
      </w:pPr>
      <w:r>
        <w:rPr>
          <w:b/>
          <w:bCs/>
        </w:rPr>
        <w:t xml:space="preserve">Deadline:</w:t>
      </w:r>
      <w:r>
        <w:t xml:space="preserve"> </w:t>
      </w:r>
      <w:r>
        <w:t xml:space="preserve">Before the Phase 22 packaging gate opens.</w:t>
      </w:r>
    </w:p>
    <w:bookmarkEnd w:id="86"/>
    <w:bookmarkStart w:id="87" w:name="oq-10-ef-core-alignment--closed"/>
    <w:p>
      <w:pPr>
        <w:pStyle w:val="Heading3"/>
      </w:pPr>
      <w:r>
        <w:rPr>
          <w:rStyle w:val="SectionNumber"/>
          <w:rFonts w:ascii="Spectral" w:hAnsi="Spectral" w:eastAsia="Spectral"/>
          <w:color w:val="132338"/>
        </w:rPr>
        <w:t xml:space="preserve">11.2.2</w:t>
      </w:r>
      <w:r>
        <w:rPr>
          <w:rFonts w:ascii="Spectral" w:hAnsi="Spectral" w:eastAsia="Spectral"/>
          <w:color w:val="132338"/>
        </w:rPr>
        <w:tab/>
      </w:r>
      <w:r>
        <w:rPr>
          <w:rFonts w:ascii="Spectral" w:hAnsi="Spectral" w:eastAsia="Spectral"/>
          <w:color w:val="132338"/>
        </w:rPr>
        <w:t xml:space="preserve">OQ-10: EF Core Alignment — Closed</w:t>
      </w:r>
    </w:p>
    <w:p>
      <w:pPr>
        <w:pStyle w:val="FirstParagraph"/>
      </w:pPr>
      <w:r>
        <w:t xml:space="preserve">The inspected baseline uses EF Core SQLite 10.0.9, Microsoft.Extensions 10.0.9, and 11 catalogue migrations on</w:t>
      </w:r>
      <w:r>
        <w:t xml:space="preserve"> </w:t>
      </w:r>
      <w:r>
        <w:rPr>
          <w:rStyle w:val="VerbatimChar"/>
        </w:rPr>
        <w:t xml:space="preserve">net10.0</w:t>
      </w:r>
      <w:r>
        <w:t xml:space="preserve">. The 2026-08-13 Release test run passed 800/800 cases and the dependency audit reported no vulnerable package. ADR-0016 records the decision and its continuing upgrade gates.</w:t>
      </w:r>
    </w:p>
    <w:bookmarkEnd w:id="87"/>
    <w:bookmarkStart w:id="88" w:name="oq-11-pricing-and-licensing-model"/>
    <w:p>
      <w:pPr>
        <w:pStyle w:val="Heading3"/>
      </w:pPr>
      <w:r>
        <w:rPr>
          <w:rStyle w:val="SectionNumber"/>
          <w:rFonts w:ascii="Spectral" w:hAnsi="Spectral" w:eastAsia="Spectral"/>
          <w:color w:val="132338"/>
        </w:rPr>
        <w:t xml:space="preserve">11.2.3</w:t>
      </w:r>
      <w:r>
        <w:rPr>
          <w:rFonts w:ascii="Spectral" w:hAnsi="Spectral" w:eastAsia="Spectral"/>
          <w:color w:val="132338"/>
        </w:rPr>
        <w:tab/>
      </w:r>
      <w:r>
        <w:rPr>
          <w:rFonts w:ascii="Spectral" w:hAnsi="Spectral" w:eastAsia="Spectral"/>
          <w:color w:val="132338"/>
        </w:rPr>
        <w:t xml:space="preserve">OQ-11: Pricing and Licensing Model</w:t>
      </w:r>
    </w:p>
    <w:p>
      <w:pPr>
        <w:pStyle w:val="FirstParagraph"/>
      </w:pPr>
      <w:r>
        <w:rPr>
          <w:b/>
          <w:bCs/>
        </w:rPr>
        <w:t xml:space="preserve">Decision needed:</w:t>
      </w:r>
      <w:r>
        <w:t xml:space="preserve"> </w:t>
      </w:r>
      <w:r>
        <w:t xml:space="preserve">Ratify the pricing hypothesis from Section 11: a one-time license in the USD 149–249 band, an optional annual update plan at ~USD 39/yr, and a separate education licensing lane for the classroom host + seats.</w:t>
      </w:r>
    </w:p>
    <w:p>
      <w:pPr>
        <w:pStyle w:val="BodyText"/>
      </w:pPr>
      <w:r>
        <w:rPr>
          <w:b/>
          <w:bCs/>
        </w:rPr>
        <w:t xml:space="preserve">Impact if unresolved:</w:t>
      </w:r>
      <w:r>
        <w:t xml:space="preserve"> </w:t>
      </w:r>
      <w:r>
        <w:t xml:space="preserve">Store listings (Phase 22), the education sales motion, and the business case cannot be finalised; willingness-to-pay validation (Section 4 research-pending status) has no anchor to test against.</w:t>
      </w:r>
    </w:p>
    <w:p>
      <w:pPr>
        <w:pStyle w:val="BodyText"/>
      </w:pPr>
      <w:r>
        <w:rPr>
          <w:b/>
          <w:bCs/>
        </w:rPr>
        <w:t xml:space="preserve">Recommended default:</w:t>
      </w:r>
      <w:r>
        <w:t xml:space="preserve"> </w:t>
      </w:r>
      <w:r>
        <w:t xml:space="preserve">Adopt the hypothesised band for beta-cycle validation with target-level buyers, including at least one school buyer for the education lane; fix the final figure from beta evidence.</w:t>
      </w:r>
    </w:p>
    <w:p>
      <w:pPr>
        <w:pStyle w:val="BodyText"/>
      </w:pPr>
      <w:r>
        <w:rPr>
          <w:b/>
          <w:bCs/>
        </w:rPr>
        <w:t xml:space="preserve">Owner:</w:t>
      </w:r>
      <w:r>
        <w:t xml:space="preserve"> </w:t>
      </w:r>
      <w:r>
        <w:t xml:space="preserve">Peter Bamuhigire.</w:t>
      </w:r>
    </w:p>
    <w:p>
      <w:pPr>
        <w:pStyle w:val="BodyText"/>
      </w:pPr>
      <w:r>
        <w:rPr>
          <w:b/>
          <w:bCs/>
        </w:rPr>
        <w:t xml:space="preserve">Deadline:</w:t>
      </w:r>
      <w:r>
        <w:t xml:space="preserve"> </w:t>
      </w:r>
      <w:r>
        <w:t xml:space="preserve">Before Phase 22 store submission; education-lane pricing may trail to Phase 23 launch if the V2 classroom release ships later.</w:t>
      </w:r>
    </w:p>
    <w:p>
      <w:r>
        <w:pict>
          <v:rect style="width:0;height:1.5pt" o:hralign="center" o:hrstd="t" o:hr="t"/>
        </w:pict>
      </w:r>
    </w:p>
    <w:p>
      <w:pPr>
        <w:pStyle w:val="FirstParagraph"/>
      </w:pPr>
      <w:r>
        <w:rPr>
          <w:i/>
          <w:iCs/>
        </w:rPr>
        <w:t xml:space="preserve">The 2 open decisions above require review and sign-off by Peter Bamuhigire. Neither blocks Phases 19–21 from starting; both block a commercially complete Phase 22 release.</w:t>
      </w:r>
    </w:p>
    <w:bookmarkEnd w:id="88"/>
    <w:bookmarkEnd w:id="89"/>
    <w:bookmarkEnd w:id="90"/>
    <w:bookmarkStart w:id="97" w:name="competitive-landscape"/>
    <w:p>
      <w:pPr>
        <w:pStyle w:val="Heading1"/>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Competitive Landscape</w:t>
      </w:r>
    </w:p>
    <w:p>
      <w:pPr>
        <w:pStyle w:val="FirstParagraph"/>
      </w:pPr>
      <w:r>
        <w:t xml:space="preserve">This section grounds the product's positioning in web research conducted 2026-07-06 across 11 competing products: Zotero 7, Calibre, DEVONthink 4, Readwise Reader, Bookends, Papers/ReadCube, Mendeley, PDF Expert, Recoll, Anytype, and Obsidian (</w:t>
      </w:r>
      <w:r>
        <w:rPr>
          <w:rStyle w:val="VerbatimChar"/>
        </w:rPr>
        <w:t xml:space="preserve">_context/competitive-analysis.md</w:t>
      </w:r>
      <w:r>
        <w:t xml:space="preserve">). Pricing figures are vendor-published as of 2026-07. Competitor performance figures circulating in user communities are estimates and are deliberately not asserted here; Ogma's own budgets are those anchored in Section 8.</w:t>
      </w:r>
    </w:p>
    <w:bookmarkStart w:id="91" w:name="the-market-gap"/>
    <w:p>
      <w:pPr>
        <w:pStyle w:val="Heading2"/>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The Market Gap</w:t>
      </w:r>
    </w:p>
    <w:p>
      <w:pPr>
        <w:pStyle w:val="FirstParagraph"/>
      </w:pPr>
      <w:r>
        <w:t xml:space="preserve">The reviewed set did not reveal one product combining the five proposed attributes: Windows-first premium desktop, local-first zero-telemetry default, a one-time-license hypothesis, local OCR plus provider-neutral AI, and a spatial library metaphor. The same review did not observe a directly comparable classroom/LAN offer. These are dated observations, not proof of an uncontested market; buyer interviews and a refreshed competitor screen are required before pricing or public claims are approved.</w:t>
      </w:r>
    </w:p>
    <w:bookmarkEnd w:id="91"/>
    <w:bookmarkStart w:id="92" w:name="pricing-anchors-vendor-published-2026"/>
    <w:p>
      <w:pPr>
        <w:pStyle w:val="Heading2"/>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Pricing Anchors (vendor-published, 2026)</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Product</w:t>
            </w:r>
          </w:p>
        </w:tc>
        <w:tc>
          <w:tcPr>
            <w:shd w:fill="132338"/>
          </w:tcPr>
          <w:p>
            <w:pPr>
              <w:pStyle w:val="Compact"/>
            </w:pPr>
            <w:r>
              <w:rPr>
                <w:rFonts w:ascii="Public Sans" w:hAnsi="Public Sans" w:eastAsia="Public Sans"/>
                <w:b/>
                <w:color w:val="FFFFFF"/>
                <w:sz w:val="17"/>
              </w:rPr>
              <w:t xml:space="preserve">Model</w:t>
            </w:r>
          </w:p>
        </w:tc>
        <w:tc>
          <w:tcPr>
            <w:shd w:fill="132338"/>
          </w:tcPr>
          <w:p>
            <w:pPr>
              <w:pStyle w:val="Compact"/>
            </w:pPr>
            <w:r>
              <w:rPr>
                <w:rFonts w:ascii="Public Sans" w:hAnsi="Public Sans" w:eastAsia="Public Sans"/>
                <w:b/>
                <w:color w:val="FFFFFF"/>
                <w:sz w:val="17"/>
              </w:rPr>
              <w:t xml:space="preserve">Price (USD)</w:t>
            </w:r>
          </w:p>
        </w:tc>
      </w:tr>
      <w:tr>
        <w:trPr>
          <w:cantSplit/>
        </w:trPr>
        <w:tc>
          <w:tcPr/>
          <w:p>
            <w:pPr>
              <w:pStyle w:val="Compact"/>
            </w:pPr>
            <w:r>
              <w:t xml:space="preserve">DEVONthink 4</w:t>
            </w:r>
          </w:p>
        </w:tc>
        <w:tc>
          <w:tcPr/>
          <w:p>
            <w:pPr>
              <w:pStyle w:val="Compact"/>
            </w:pPr>
            <w:r>
              <w:t xml:space="preserve">One-time (Mac) + mobile subscription</w:t>
            </w:r>
          </w:p>
        </w:tc>
        <w:tc>
          <w:tcPr/>
          <w:p>
            <w:pPr>
              <w:pStyle w:val="Compact"/>
            </w:pPr>
            <w:r>
              <w:t xml:space="preserve">199–299; 19/yr mobile</w:t>
            </w:r>
          </w:p>
        </w:tc>
      </w:tr>
      <w:tr>
        <w:trPr>
          <w:cantSplit/>
        </w:trPr>
        <w:tc>
          <w:tcPr/>
          <w:p>
            <w:pPr>
              <w:pStyle w:val="Compact"/>
            </w:pPr>
            <w:r>
              <w:t xml:space="preserve">Readwise Reader</w:t>
            </w:r>
          </w:p>
        </w:tc>
        <w:tc>
          <w:tcPr/>
          <w:p>
            <w:pPr>
              <w:pStyle w:val="Compact"/>
            </w:pPr>
            <w:r>
              <w:t xml:space="preserve">Subscription</w:t>
            </w:r>
          </w:p>
        </w:tc>
        <w:tc>
          <w:tcPr/>
          <w:p>
            <w:pPr>
              <w:pStyle w:val="Compact"/>
            </w:pPr>
            <w:r>
              <w:t xml:space="preserve">9.99/mo</w:t>
            </w:r>
          </w:p>
        </w:tc>
      </w:tr>
      <w:tr>
        <w:trPr>
          <w:cantSplit/>
        </w:trPr>
        <w:tc>
          <w:tcPr/>
          <w:p>
            <w:pPr>
              <w:pStyle w:val="Compact"/>
            </w:pPr>
            <w:r>
              <w:t xml:space="preserve">Papers/ReadCube</w:t>
            </w:r>
          </w:p>
        </w:tc>
        <w:tc>
          <w:tcPr/>
          <w:p>
            <w:pPr>
              <w:pStyle w:val="Compact"/>
            </w:pPr>
            <w:r>
              <w:t xml:space="preserve">Subscription</w:t>
            </w:r>
          </w:p>
        </w:tc>
        <w:tc>
          <w:tcPr/>
          <w:p>
            <w:pPr>
              <w:pStyle w:val="Compact"/>
            </w:pPr>
            <w:r>
              <w:t xml:space="preserve">65–130/yr</w:t>
            </w:r>
          </w:p>
        </w:tc>
      </w:tr>
      <w:tr>
        <w:trPr>
          <w:cantSplit/>
        </w:trPr>
        <w:tc>
          <w:tcPr/>
          <w:p>
            <w:pPr>
              <w:pStyle w:val="Compact"/>
            </w:pPr>
            <w:r>
              <w:t xml:space="preserve">PDF Expert</w:t>
            </w:r>
          </w:p>
        </w:tc>
        <w:tc>
          <w:tcPr/>
          <w:p>
            <w:pPr>
              <w:pStyle w:val="Compact"/>
            </w:pPr>
            <w:r>
              <w:t xml:space="preserve">Subscription or lifetime</w:t>
            </w:r>
          </w:p>
        </w:tc>
        <w:tc>
          <w:tcPr/>
          <w:p>
            <w:pPr>
              <w:pStyle w:val="Compact"/>
            </w:pPr>
            <w:r>
              <w:t xml:space="preserve">79.99/yr; 139.99 lifetime</w:t>
            </w:r>
          </w:p>
        </w:tc>
      </w:tr>
      <w:tr>
        <w:trPr>
          <w:cantSplit/>
        </w:trPr>
        <w:tc>
          <w:tcPr/>
          <w:p>
            <w:pPr>
              <w:pStyle w:val="Compact"/>
            </w:pPr>
            <w:r>
              <w:t xml:space="preserve">Bookends</w:t>
            </w:r>
          </w:p>
        </w:tc>
        <w:tc>
          <w:tcPr/>
          <w:p>
            <w:pPr>
              <w:pStyle w:val="Compact"/>
            </w:pPr>
            <w:r>
              <w:t xml:space="preserve">2-year license</w:t>
            </w:r>
          </w:p>
        </w:tc>
        <w:tc>
          <w:tcPr/>
          <w:p>
            <w:pPr>
              <w:pStyle w:val="Compact"/>
            </w:pPr>
            <w:r>
              <w:t xml:space="preserve">74.99</w:t>
            </w:r>
          </w:p>
        </w:tc>
      </w:tr>
      <w:tr>
        <w:trPr>
          <w:cantSplit/>
        </w:trPr>
        <w:tc>
          <w:tcPr/>
          <w:p>
            <w:pPr>
              <w:pStyle w:val="Compact"/>
            </w:pPr>
            <w:r>
              <w:t xml:space="preserve">Mendeley</w:t>
            </w:r>
          </w:p>
        </w:tc>
        <w:tc>
          <w:tcPr/>
          <w:p>
            <w:pPr>
              <w:pStyle w:val="Compact"/>
            </w:pPr>
            <w:r>
              <w:t xml:space="preserve">Freemium</w:t>
            </w:r>
          </w:p>
        </w:tc>
        <w:tc>
          <w:tcPr/>
          <w:p>
            <w:pPr>
              <w:pStyle w:val="Compact"/>
            </w:pPr>
            <w:r>
              <w:t xml:space="preserve">Plus 4.99/mo – Max 14.99/mo</w:t>
            </w:r>
          </w:p>
        </w:tc>
      </w:tr>
      <w:tr>
        <w:trPr>
          <w:cantSplit/>
        </w:trPr>
        <w:tc>
          <w:tcPr/>
          <w:p>
            <w:pPr>
              <w:pStyle w:val="Compact"/>
            </w:pPr>
            <w:r>
              <w:t xml:space="preserve">Zotero 7</w:t>
            </w:r>
          </w:p>
        </w:tc>
        <w:tc>
          <w:tcPr/>
          <w:p>
            <w:pPr>
              <w:pStyle w:val="Compact"/>
            </w:pPr>
            <w:r>
              <w:t xml:space="preserve">Free + paid storage</w:t>
            </w:r>
          </w:p>
        </w:tc>
        <w:tc>
          <w:tcPr/>
          <w:p>
            <w:pPr>
              <w:pStyle w:val="Compact"/>
            </w:pPr>
            <w:r>
              <w:t xml:space="preserve">20–120/yr storage</w:t>
            </w:r>
          </w:p>
        </w:tc>
      </w:tr>
      <w:tr>
        <w:trPr>
          <w:cantSplit/>
        </w:trPr>
        <w:tc>
          <w:tcPr/>
          <w:p>
            <w:pPr>
              <w:pStyle w:val="Compact"/>
            </w:pPr>
            <w:r>
              <w:t xml:space="preserve">Obsidian</w:t>
            </w:r>
          </w:p>
        </w:tc>
        <w:tc>
          <w:tcPr/>
          <w:p>
            <w:pPr>
              <w:pStyle w:val="Compact"/>
            </w:pPr>
            <w:r>
              <w:t xml:space="preserve">Free local; paid sync</w:t>
            </w:r>
          </w:p>
        </w:tc>
        <w:tc>
          <w:tcPr/>
          <w:p>
            <w:pPr>
              <w:pStyle w:val="Compact"/>
            </w:pPr>
            <w:r>
              <w:t xml:space="preserve">Sync 4/mo</w:t>
            </w:r>
          </w:p>
        </w:tc>
      </w:tr>
    </w:tbl>
    <w:p>
      <w:pPr>
        <w:pStyle w:val="BodyText"/>
      </w:pPr>
      <w:r>
        <w:rPr>
          <w:b/>
          <w:bCs/>
        </w:rPr>
        <w:t xml:space="preserve">Pricing hypothesis (owner decision pending, OQ-11):</w:t>
      </w:r>
      <w:r>
        <w:t xml:space="preserve"> </w:t>
      </w:r>
      <w:r>
        <w:t xml:space="preserve">a one-time license in the USD 149–249 band plus an optional annual update plan at ~USD 39/yr — undercutting DEVONthink while being the only Windows-first entrant in that band — with education/classroom licensing (LAN host + seats) as a second, uncontested revenue lane.</w:t>
      </w:r>
    </w:p>
    <w:bookmarkEnd w:id="92"/>
    <w:bookmarkStart w:id="93" w:name="X8d26b51315386f7a0a8a6004fe4d6c7d790406e"/>
    <w:p>
      <w:pPr>
        <w:pStyle w:val="Heading2"/>
      </w:pPr>
      <w:r>
        <w:rPr>
          <w:rStyle w:val="SectionNumber"/>
          <w:rFonts w:ascii="Spectral" w:hAnsi="Spectral" w:eastAsia="Spectral"/>
          <w:color w:val="132338"/>
        </w:rPr>
        <w:t xml:space="preserve">12.3</w:t>
      </w:r>
      <w:r>
        <w:rPr>
          <w:rFonts w:ascii="Spectral" w:hAnsi="Spectral" w:eastAsia="Spectral"/>
          <w:color w:val="132338"/>
        </w:rPr>
        <w:tab/>
      </w:r>
      <w:r>
        <w:rPr>
          <w:rFonts w:ascii="Spectral" w:hAnsi="Spectral" w:eastAsia="Spectral"/>
          <w:color w:val="132338"/>
        </w:rPr>
        <w:t xml:space="preserve">2026 Table Stakes a Premium Buyer Assumes</w:t>
      </w:r>
    </w:p>
    <w:p>
      <w:pPr>
        <w:pStyle w:val="FirstParagraph"/>
      </w:pPr>
      <w:r>
        <w:t xml:space="preserve">The researched products define the floor a premium entrant must clear, and Ogma meets each with an identified requirement:</w:t>
      </w:r>
    </w:p>
    <w:p>
      <w:pPr>
        <w:pStyle w:val="Compact"/>
        <w:numPr>
          <w:ilvl w:val="0"/>
          <w:numId w:val="1010"/>
        </w:numPr>
      </w:pPr>
      <w:r>
        <w:t xml:space="preserve">Metadata auto-extraction with ISBN/DOI lookup and citation export in BibTeX/RIS/CSL JSON — bar set by Zotero and Bookends; met by FR-META-001 to FR-META-003 and FR-READ-013.</w:t>
      </w:r>
    </w:p>
    <w:p>
      <w:pPr>
        <w:pStyle w:val="Compact"/>
        <w:numPr>
          <w:ilvl w:val="0"/>
          <w:numId w:val="1010"/>
        </w:numPr>
      </w:pPr>
      <w:r>
        <w:t xml:space="preserve">Durable annotation with export — bar set by Mendeley and PDF Expert; met by FR-READ-008 and FR-READ-015.</w:t>
      </w:r>
    </w:p>
    <w:p>
      <w:pPr>
        <w:pStyle w:val="Compact"/>
        <w:numPr>
          <w:ilvl w:val="0"/>
          <w:numId w:val="1010"/>
        </w:numPr>
      </w:pPr>
      <w:r>
        <w:t xml:space="preserve">Full-text search at collection scale — bar set by DEVONthink and Recoll; met by FR-SEARCH-002 within the 500 ms warm budget (NFR-OGMA-004).</w:t>
      </w:r>
    </w:p>
    <w:p>
      <w:pPr>
        <w:pStyle w:val="Compact"/>
        <w:numPr>
          <w:ilvl w:val="0"/>
          <w:numId w:val="1010"/>
        </w:numPr>
      </w:pPr>
      <w:r>
        <w:t xml:space="preserve">AI features with a stated privacy posture — DEVONthink 4's optional local Ollama is the reference implementation; Readwise Ghostreader shows demand; Mendeley's cloud-only "Ask My Library" draws privacy complaints; met and exceeded by the four-tier model (FR-AI-001 to FR-AI-006).</w:t>
      </w:r>
    </w:p>
    <w:p>
      <w:pPr>
        <w:pStyle w:val="Compact"/>
        <w:numPr>
          <w:ilvl w:val="0"/>
          <w:numId w:val="1010"/>
        </w:numPr>
      </w:pPr>
      <w:r>
        <w:t xml:space="preserve">Dark mode, configurable reading typography, and data export with no lock-in — met by FR-UX-008 and the files-remain-the-user's-files principle.</w:t>
      </w:r>
    </w:p>
    <w:bookmarkEnd w:id="93"/>
    <w:bookmarkStart w:id="94" w:name="differentiators-mapped-to-requirements"/>
    <w:p>
      <w:pPr>
        <w:pStyle w:val="Heading2"/>
      </w:pPr>
      <w:r>
        <w:rPr>
          <w:rStyle w:val="SectionNumber"/>
          <w:rFonts w:ascii="Spectral" w:hAnsi="Spectral" w:eastAsia="Spectral"/>
          <w:color w:val="132338"/>
        </w:rPr>
        <w:t xml:space="preserve">12.4</w:t>
      </w:r>
      <w:r>
        <w:rPr>
          <w:rFonts w:ascii="Spectral" w:hAnsi="Spectral" w:eastAsia="Spectral"/>
          <w:color w:val="132338"/>
        </w:rPr>
        <w:tab/>
      </w:r>
      <w:r>
        <w:rPr>
          <w:rFonts w:ascii="Spectral" w:hAnsi="Spectral" w:eastAsia="Spectral"/>
          <w:color w:val="132338"/>
        </w:rPr>
        <w:t xml:space="preserve">Differentiators Mapped to Requirements</w:t>
      </w:r>
    </w:p>
    <w:p>
      <w:pPr>
        <w:pStyle w:val="FirstParagraph"/>
      </w:pPr>
      <w:r>
        <w:t xml:space="preserve">Each differentiator below is specified as a verifiable requirement, not marketing prose: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Differentiator</w:t>
            </w:r>
          </w:p>
        </w:tc>
        <w:tc>
          <w:tcPr>
            <w:shd w:fill="132338"/>
          </w:tcPr>
          <w:p>
            <w:pPr>
              <w:pStyle w:val="Compact"/>
            </w:pPr>
            <w:r>
              <w:rPr>
                <w:rFonts w:ascii="Public Sans" w:hAnsi="Public Sans" w:eastAsia="Public Sans"/>
                <w:b/>
                <w:color w:val="FFFFFF"/>
                <w:sz w:val="17"/>
              </w:rPr>
              <w:t xml:space="preserve">Strongest competitor position</w:t>
            </w:r>
          </w:p>
        </w:tc>
        <w:tc>
          <w:tcPr>
            <w:shd w:fill="132338"/>
          </w:tcPr>
          <w:p>
            <w:pPr>
              <w:pStyle w:val="Compact"/>
            </w:pPr>
            <w:r>
              <w:rPr>
                <w:rFonts w:ascii="Public Sans" w:hAnsi="Public Sans" w:eastAsia="Public Sans"/>
                <w:b/>
                <w:color w:val="FFFFFF"/>
                <w:sz w:val="17"/>
              </w:rPr>
              <w:t xml:space="preserve">Ogma requirement basis</w:t>
            </w:r>
          </w:p>
        </w:tc>
      </w:tr>
      <w:tr>
        <w:trPr>
          <w:cantSplit/>
        </w:trPr>
        <w:tc>
          <w:tcPr/>
          <w:p>
            <w:pPr>
              <w:pStyle w:val="Compact"/>
            </w:pPr>
            <w:r>
              <w:t xml:space="preserve">1</w:t>
            </w:r>
          </w:p>
        </w:tc>
        <w:tc>
          <w:tcPr/>
          <w:p>
            <w:pPr>
              <w:pStyle w:val="Compact"/>
            </w:pPr>
            <w:r>
              <w:t xml:space="preserve">Local-first + zero-telemetry default with payload preview of every off-device call</w:t>
            </w:r>
          </w:p>
        </w:tc>
        <w:tc>
          <w:tcPr/>
          <w:p>
            <w:pPr>
              <w:pStyle w:val="Compact"/>
            </w:pPr>
            <w:r>
              <w:t xml:space="preserve">Not observed in the reviewed set; validate with buyer research</w:t>
            </w:r>
          </w:p>
        </w:tc>
        <w:tc>
          <w:tcPr/>
          <w:p>
            <w:pPr>
              <w:pStyle w:val="Compact"/>
            </w:pPr>
            <w:r>
              <w:t xml:space="preserve">FR-AI-004, FR-AI-005, FR-AI-011</w:t>
            </w:r>
          </w:p>
        </w:tc>
      </w:tr>
      <w:tr>
        <w:trPr>
          <w:cantSplit/>
        </w:trPr>
        <w:tc>
          <w:tcPr/>
          <w:p>
            <w:pPr>
              <w:pStyle w:val="Compact"/>
            </w:pPr>
            <w:r>
              <w:t xml:space="preserve">2</w:t>
            </w:r>
          </w:p>
        </w:tc>
        <w:tc>
          <w:tcPr/>
          <w:p>
            <w:pPr>
              <w:pStyle w:val="Compact"/>
            </w:pPr>
            <w:r>
              <w:t xml:space="preserve">Four-tier AI privacy model (off / metadata-only / content-aware opt-in / local Ollama)</w:t>
            </w:r>
          </w:p>
        </w:tc>
        <w:tc>
          <w:tcPr/>
          <w:p>
            <w:pPr>
              <w:pStyle w:val="Compact"/>
            </w:pPr>
            <w:r>
              <w:t xml:space="preserve">DEVONthink's binary local/remote</w:t>
            </w:r>
          </w:p>
        </w:tc>
        <w:tc>
          <w:tcPr/>
          <w:p>
            <w:pPr>
              <w:pStyle w:val="Compact"/>
            </w:pPr>
            <w:r>
              <w:t xml:space="preserve">FR-AI-001 to FR-AI-006</w:t>
            </w:r>
          </w:p>
        </w:tc>
      </w:tr>
      <w:tr>
        <w:trPr>
          <w:cantSplit/>
        </w:trPr>
        <w:tc>
          <w:tcPr/>
          <w:p>
            <w:pPr>
              <w:pStyle w:val="Compact"/>
            </w:pPr>
            <w:r>
              <w:t xml:space="preserve">3</w:t>
            </w:r>
          </w:p>
        </w:tc>
        <w:tc>
          <w:tcPr/>
          <w:p>
            <w:pPr>
              <w:pStyle w:val="Compact"/>
            </w:pPr>
            <w:r>
              <w:t xml:space="preserve">3D shelf with grid/list parity and accessible fallback</w:t>
            </w:r>
          </w:p>
        </w:tc>
        <w:tc>
          <w:tcPr/>
          <w:p>
            <w:pPr>
              <w:pStyle w:val="Compact"/>
            </w:pPr>
            <w:r>
              <w:t xml:space="preserve">None</w:t>
            </w:r>
          </w:p>
        </w:tc>
        <w:tc>
          <w:tcPr/>
          <w:p>
            <w:pPr>
              <w:pStyle w:val="Compact"/>
            </w:pPr>
            <w:r>
              <w:t xml:space="preserve">FR-CAT-001, NFR-OGMA-006</w:t>
            </w:r>
          </w:p>
        </w:tc>
      </w:tr>
      <w:tr>
        <w:trPr>
          <w:cantSplit/>
        </w:trPr>
        <w:tc>
          <w:tcPr/>
          <w:p>
            <w:pPr>
              <w:pStyle w:val="Compact"/>
            </w:pPr>
            <w:r>
              <w:t xml:space="preserve">4</w:t>
            </w:r>
          </w:p>
        </w:tc>
        <w:tc>
          <w:tcPr/>
          <w:p>
            <w:pPr>
              <w:pStyle w:val="Compact"/>
            </w:pPr>
            <w:r>
              <w:t xml:space="preserve">Local OCR + local embeddings (automation without cloud upload)</w:t>
            </w:r>
          </w:p>
        </w:tc>
        <w:tc>
          <w:tcPr/>
          <w:p>
            <w:pPr>
              <w:pStyle w:val="Compact"/>
            </w:pPr>
            <w:r>
              <w:t xml:space="preserve">Mendeley/Papers OCR in cloud</w:t>
            </w:r>
          </w:p>
        </w:tc>
        <w:tc>
          <w:tcPr/>
          <w:p>
            <w:pPr>
              <w:pStyle w:val="Compact"/>
            </w:pPr>
            <w:r>
              <w:t xml:space="preserve">FR-READ-010, FR-AI-006</w:t>
            </w:r>
          </w:p>
        </w:tc>
      </w:tr>
      <w:tr>
        <w:trPr>
          <w:cantSplit/>
        </w:trPr>
        <w:tc>
          <w:tcPr/>
          <w:p>
            <w:pPr>
              <w:pStyle w:val="Compact"/>
            </w:pPr>
            <w:r>
              <w:t xml:space="preserve">5</w:t>
            </w:r>
          </w:p>
        </w:tc>
        <w:tc>
          <w:tcPr/>
          <w:p>
            <w:pPr>
              <w:pStyle w:val="Compact"/>
            </w:pPr>
            <w:r>
              <w:t xml:space="preserve">Classroom/LAN e-library with school-managed AI keys, quotas, and audit</w:t>
            </w:r>
          </w:p>
        </w:tc>
        <w:tc>
          <w:tcPr/>
          <w:p>
            <w:pPr>
              <w:pStyle w:val="Compact"/>
            </w:pPr>
            <w:r>
              <w:t xml:space="preserve">Direct equivalent not observed in reviewed set; pilot evidence required</w:t>
            </w:r>
          </w:p>
        </w:tc>
        <w:tc>
          <w:tcPr/>
          <w:p>
            <w:pPr>
              <w:pStyle w:val="Compact"/>
            </w:pPr>
            <w:r>
              <w:t xml:space="preserve">FR-LAN, FR-CLIENT, FR-ADMIN groups</w:t>
            </w:r>
          </w:p>
        </w:tc>
      </w:tr>
      <w:tr>
        <w:trPr>
          <w:cantSplit/>
        </w:trPr>
        <w:tc>
          <w:tcPr/>
          <w:p>
            <w:pPr>
              <w:pStyle w:val="Compact"/>
            </w:pPr>
            <w:r>
              <w:t xml:space="preserve">6</w:t>
            </w:r>
          </w:p>
        </w:tc>
        <w:tc>
          <w:tcPr/>
          <w:p>
            <w:pPr>
              <w:pStyle w:val="Compact"/>
            </w:pPr>
            <w:r>
              <w:t xml:space="preserve">WCAG 2.2 AA as a desktop release gate</w:t>
            </w:r>
          </w:p>
        </w:tc>
        <w:tc>
          <w:tcPr/>
          <w:p>
            <w:pPr>
              <w:pStyle w:val="Compact"/>
            </w:pPr>
            <w:r>
              <w:t xml:space="preserve">A product obligation, not a competitor-superiority claim</w:t>
            </w:r>
          </w:p>
        </w:tc>
        <w:tc>
          <w:tcPr/>
          <w:p>
            <w:pPr>
              <w:pStyle w:val="Compact"/>
            </w:pPr>
            <w:r>
              <w:t xml:space="preserve">FR-UX-005, FR-UX-008, Phase 21 audit</w:t>
            </w:r>
          </w:p>
        </w:tc>
      </w:tr>
      <w:tr>
        <w:trPr>
          <w:cantSplit/>
        </w:trPr>
        <w:tc>
          <w:tcPr/>
          <w:p>
            <w:pPr>
              <w:pStyle w:val="Compact"/>
            </w:pPr>
            <w:r>
              <w:t xml:space="preserve">7</w:t>
            </w:r>
          </w:p>
        </w:tc>
        <w:tc>
          <w:tcPr/>
          <w:p>
            <w:pPr>
              <w:pStyle w:val="Compact"/>
            </w:pPr>
            <w:r>
              <w:t xml:space="preserve">Reversibility guarantee: backup, diff, verify, restore on every destructive operation</w:t>
            </w:r>
          </w:p>
        </w:tc>
        <w:tc>
          <w:tcPr/>
          <w:p>
            <w:pPr>
              <w:pStyle w:val="Compact"/>
            </w:pPr>
            <w:r>
              <w:t xml:space="preserve">User-reported data loss (for example Bookends sync complaints) shows the risk this retires</w:t>
            </w:r>
          </w:p>
        </w:tc>
        <w:tc>
          <w:tcPr/>
          <w:p>
            <w:pPr>
              <w:pStyle w:val="Compact"/>
            </w:pPr>
            <w:r>
              <w:t xml:space="preserve">FR-META-005, NFR-OGMA-008</w:t>
            </w:r>
          </w:p>
        </w:tc>
      </w:tr>
    </w:tbl>
    <w:bookmarkEnd w:id="94"/>
    <w:bookmarkStart w:id="95" w:name="sentiment-lessons-what-users-punish"/>
    <w:p>
      <w:pPr>
        <w:pStyle w:val="Heading2"/>
      </w:pPr>
      <w:r>
        <w:rPr>
          <w:rStyle w:val="SectionNumber"/>
          <w:rFonts w:ascii="Spectral" w:hAnsi="Spectral" w:eastAsia="Spectral"/>
          <w:color w:val="132338"/>
        </w:rPr>
        <w:t xml:space="preserve">12.5</w:t>
      </w:r>
      <w:r>
        <w:rPr>
          <w:rFonts w:ascii="Spectral" w:hAnsi="Spectral" w:eastAsia="Spectral"/>
          <w:color w:val="132338"/>
        </w:rPr>
        <w:tab/>
      </w:r>
      <w:r>
        <w:rPr>
          <w:rFonts w:ascii="Spectral" w:hAnsi="Spectral" w:eastAsia="Spectral"/>
          <w:color w:val="132338"/>
        </w:rPr>
        <w:t xml:space="preserve">Sentiment Lessons (what users punish)</w:t>
      </w:r>
    </w:p>
    <w:p>
      <w:pPr>
        <w:pStyle w:val="Compact"/>
        <w:numPr>
          <w:ilvl w:val="0"/>
          <w:numId w:val="1011"/>
        </w:numPr>
      </w:pPr>
      <w:r>
        <w:rPr>
          <w:b/>
          <w:bCs/>
        </w:rPr>
        <w:t xml:space="preserve">Subscription fatigue.</w:t>
      </w:r>
      <w:r>
        <w:t xml:space="preserve"> </w:t>
      </w:r>
      <w:r>
        <w:t xml:space="preserve">Readwise at USD 119.88/yr and PDF Expert's annual pricing draw persistent complaints — supporting the one-time-license positioning of OQ-11.</w:t>
      </w:r>
    </w:p>
    <w:p>
      <w:pPr>
        <w:pStyle w:val="Compact"/>
        <w:numPr>
          <w:ilvl w:val="0"/>
          <w:numId w:val="1011"/>
        </w:numPr>
      </w:pPr>
      <w:r>
        <w:rPr>
          <w:b/>
          <w:bCs/>
        </w:rPr>
        <w:t xml:space="preserve">Learning-curve punishment.</w:t>
      </w:r>
      <w:r>
        <w:t xml:space="preserve"> </w:t>
      </w:r>
      <w:r>
        <w:t xml:space="preserve">Anytype's object model, Obsidian's plugin maze, and DEVONthink's dense interface show that capability without calm onboarding is punished — supporting FR-UX-001's zero-mandatory-configuration requirement.</w:t>
      </w:r>
    </w:p>
    <w:p>
      <w:pPr>
        <w:pStyle w:val="Compact"/>
        <w:numPr>
          <w:ilvl w:val="0"/>
          <w:numId w:val="1011"/>
        </w:numPr>
      </w:pPr>
      <w:r>
        <w:rPr>
          <w:b/>
          <w:bCs/>
        </w:rPr>
        <w:t xml:space="preserve">Trust destruction.</w:t>
      </w:r>
      <w:r>
        <w:t xml:space="preserve"> </w:t>
      </w:r>
      <w:r>
        <w:t xml:space="preserve">Mendeley's retirement of mobile and collaboration features and opaque AI providers (Ghostreader) show cloud dependence and unexplained AI destroy trust permanently — supporting explainable AI (FR-AI-003), the Privacy Center (FR-AI-011), and the no-lock-in export guarantees.</w:t>
      </w:r>
    </w:p>
    <w:bookmarkEnd w:id="95"/>
    <w:bookmarkStart w:id="96" w:name="competitive-risks"/>
    <w:p>
      <w:pPr>
        <w:pStyle w:val="Heading2"/>
      </w:pPr>
      <w:r>
        <w:rPr>
          <w:rStyle w:val="SectionNumber"/>
          <w:rFonts w:ascii="Spectral" w:hAnsi="Spectral" w:eastAsia="Spectral"/>
          <w:color w:val="132338"/>
        </w:rPr>
        <w:t xml:space="preserve">12.6</w:t>
      </w:r>
      <w:r>
        <w:rPr>
          <w:rFonts w:ascii="Spectral" w:hAnsi="Spectral" w:eastAsia="Spectral"/>
          <w:color w:val="132338"/>
        </w:rPr>
        <w:tab/>
      </w:r>
      <w:r>
        <w:rPr>
          <w:rFonts w:ascii="Spectral" w:hAnsi="Spectral" w:eastAsia="Spectral"/>
          <w:color w:val="132338"/>
        </w:rPr>
        <w:t xml:space="preserve">Competitive Risks</w:t>
      </w:r>
    </w:p>
    <w:p>
      <w:pPr>
        <w:pStyle w:val="FirstParagraph"/>
      </w:pPr>
      <w:r>
        <w:t xml:space="preserve">Two risks temper this analysis. First, DEVONthink or another incumbent could ship a Windows port or a classroom mode faster than Ogma completes Phases 19–23; the mitigation is that the classroom track is already implemented in code and the moat is the combination, not any single feature. Second, pricing anchors move — the figures above must be re-verified before the OQ-11 decision is ratified, and any figure older than the decision date is not evidence.</w:t>
      </w:r>
    </w:p>
    <w:bookmarkEnd w:id="96"/>
    <w:bookmarkEnd w:id="97"/>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PRODUCT REQUIREMENTS DOCUMENT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Chwezi Core Systems</dc:creator>
  <cp:keywords>Ogma Library; local-first; requirements; desktop; controlled baseline</cp:keywords>
  <dcterms:created xsi:type="dcterms:W3CDTF">2026-08-13T13:27:16Z</dcterms:created>
  <dcterms:modified xsi:type="dcterms:W3CDTF">2026-08-13T13:27:16Z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