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Requirements Traceability Matrix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f447a46770b42096d9796ba9c0a8a76b08a6255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Requirements Traceability Matrix — Governance Rollup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Traceability Matrix (governance rollup)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IEEE 1012-2016 (bidirectional traceability)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This governance rollup uses the same 101-requirement inventory and status taxonomy as SRS Section 8. “Code/test evidence” means the named behavior is represented in source and automated checks; it does not mean release acceptance. Story traces live in</w:t>
      </w:r>
      <w:r>
        <w:t xml:space="preserve"> </w:t>
      </w:r>
      <w:r>
        <w:rPr>
          <w:rStyle w:val="VerbatimChar"/>
        </w:rPr>
        <w:t xml:space="preserve">07-agile-artifacts/02-user-stories.md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_registry/baseline-trace.yaml</w:t>
      </w:r>
      <w:r>
        <w:t xml:space="preserve">.</w:t>
      </w:r>
    </w:p>
    <w:bookmarkStart w:id="9" w:name="Xad0a4799dc8026c00b7a0062ec65045602acc4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Business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BG-001 Visible library</w:t>
      </w:r>
      <w:r>
        <w:t xml:space="preserve"> </w:t>
      </w:r>
      <w:r>
        <w:t xml:space="preserve">— covers, shelves, metadata, multiple browsing modes.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BG-002 Usable library</w:t>
      </w:r>
      <w:r>
        <w:t xml:space="preserve"> </w:t>
      </w:r>
      <w:r>
        <w:t xml:space="preserve">— progress, bookmarks, annotations, search, statistics.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BG-003 Intelligent library</w:t>
      </w:r>
      <w:r>
        <w:t xml:space="preserve"> </w:t>
      </w:r>
      <w:r>
        <w:t xml:space="preserve">— an explainable AI advisor over the user's own collection.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BG-004 Durable ownership</w:t>
      </w:r>
      <w:r>
        <w:t xml:space="preserve"> </w:t>
      </w:r>
      <w:r>
        <w:t xml:space="preserve">— files stay the user's files; the catalogue augments, never replaces.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BG-005 Private by default</w:t>
      </w:r>
      <w:r>
        <w:t xml:space="preserve"> </w:t>
      </w:r>
      <w:r>
        <w:t xml:space="preserve">— on-device by default; every off-device transmission explicit, consented, reversible.</w:t>
      </w:r>
    </w:p>
    <w:p>
      <w:pPr>
        <w:pStyle w:val="FirstParagraph"/>
      </w:pPr>
      <w:r>
        <w:t xml:space="preserve">The classroom scope expansion (LAN/CLIENT/ADMIN, baseline v2.0) extends BG-001/BG-002 to a shared institutional collection and BG-005 to students as data subjects; no new business goal was created — the Change Impact Analysis entry for the expansion records this decision.</w:t>
      </w:r>
    </w:p>
    <w:bookmarkEnd w:id="9"/>
    <w:bookmarkStart w:id="10" w:name="X968870449b72cbb42d5e03af3b75d722649fd0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Forward Traceability: Goals → Modules → Verification →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Business goal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FR module (count)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Primary verification method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Verification vehicle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Implementation 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LIB (7)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Fixture-tree scanning and identity round-trip tests; golden 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7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 (7)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View-equivalence and filter-conjunction assertions; smart-shelf evaluator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6 code/test evidence; 1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 (8)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Provider-stub lookups; write-back fault injection; health-dashboard checks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8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BG-002, 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 (15)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Reader-state round-trip; annotation durability; OCR and password fixtures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14 code/test evidence; 1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BG-002, BG-003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SEARCH (6)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Query-replay benchmarks; index rebuild reconciliation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6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BG-003, BG-005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(11)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 payload-capture and tier-enforcement tests; AI evaluation harness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10 code/test evidence; 1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BG-005 (institutional)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 (10)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 tooling; path-validation and TLS/TOFU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10 code/test evidence; platform acceptance open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BG-002, BG-005 (students)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(13)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Sync-conflict, offline-cache, profile-isolation, read-only architecture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13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BG-003, BG-005 (students)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ADMIN (13)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Proxy key-capture, quota-enforcement, audit-export tests; DPIA screening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13 code/test evidence; release acceptance open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BG-004 (ecosystem)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 (3)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 (planned)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Gateway-enforced plugin contract demonstration; import reconciliation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 Partial; 2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UX (8)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 + Inspection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 state tests; scripted journeys; WCAG 2.2 AA audit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4 Partial; 4 Planned/not formally accepted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87 code/test evidence, 5 Partial, 9 Planned</w:t>
            </w:r>
          </w:p>
        </w:tc>
      </w:tr>
    </w:tbl>
    <w:bookmarkEnd w:id="10"/>
    <w:bookmarkStart w:id="11" w:name="X7103bce53f48700774496845b418fa9776611b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Backward Traceability: Coverage of Each Goal</w:t>
      </w:r>
    </w:p>
    <w:p>
      <w:pPr>
        <w:pStyle w:val="FirstParagraph"/>
      </w:pPr>
      <w:r>
        <w:t xml:space="preserve">Every business goal has implementing requirements and no goal is orphaned: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Business goal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modules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Delivered evidence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LIB, CAT, META, LAN, UX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Catalogue, 4 views incl. 3D shelf, health dashboard, published host catalogues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READ, SEARCH, CAT, CLIENT, UX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Resume/annotations/search shipped; formal journey measurement pending 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AI, SEARCH, ADMIN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Explained recommendations, plans, semantic search, managed classroom AI; answer mode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LIB, META, READ, 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Identity preservation, reversible write-back, citation export; importers/read API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AI, LAN, CLIENT, ADMIN + CTRL-001..024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Tier system, payload preview, Privacy Center, student privacy isolation; at-rest encryption pending Phase 19</w:t>
            </w:r>
          </w:p>
        </w:tc>
      </w:tr>
    </w:tbl>
    <w:p>
      <w:pPr>
        <w:pStyle w:val="BodyText"/>
      </w:pPr>
      <w:r>
        <w:t xml:space="preserve">Conversely, every FR module names its goals (column 1 of §2), so no implemented capability lacks a business anchor.</w:t>
      </w:r>
    </w:p>
    <w:bookmarkEnd w:id="11"/>
    <w:bookmarkStart w:id="12" w:name="X335866562f8ec0b2d29cabb0f24e1e416eb62a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NFR → Mechanism → Test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Budget/obligation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mechanism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Test layer / evidence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Cold start ≤ 3 s (P95, W-REF-01)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Deferred service start, skeleton shell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benchmark (trend) → Phase 20 acceptance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load ≤ 2 s, 2,000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Read-model projection, virtualised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gc-perf-2000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corpus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search ≤ 150 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In-memory read model + indexed queries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Query-replay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Full-text search ≤ 500 ms warm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FTS5 external-content index, BM25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Query-replay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turn ≤ 100 ms cached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PageRenderCache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Render-cache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shelf ≥ 60 FPS, 500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Virtualised Three.js scene, spine texture atlas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WebView frame timing on UHD 620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 instrumentation timestamps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Gateway-side elapsed minus provider round-trip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Annotation durability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Transactional annotation persistence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Fault-injection round-trip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Job recovery, no duplicate work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Idempotent background workers, job journal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Kill-and-restart fault injection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Local-first availability/offline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On-device catalogue, sidecar, local AI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Network-blocked integration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NFR-PROD-007/008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WCAG 2.2 AA keyboard/screen-reader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Icon + aria label per control, keyboard paths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 walkthroughs → Phase 21 audit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 verification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Data portability, no lock-in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Portable export bundle (catalogue + sidecar)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Export/import round-trip 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Reversible destructive operations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Backup → diff → verify → restore pipeline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Write-back fault injection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Signed builds, idempotent backed-up migrations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EF migrations (10, idempotent); signing at Phase 22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Migration tests; packaging pending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Partial — signing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NFR-PROD-013/014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Audit trail; AI history/embedding erasure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AuditEvents</w:t>
            </w:r>
            <w:r>
              <w:rPr>
                <w:sz w:val="16"/>
              </w:rPr>
              <w:t xml:space="preserve">, scoped erasure services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Erasure-residue and audit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</w:tbl>
    <w:p>
      <w:pPr>
        <w:pStyle w:val="BodyText"/>
      </w:pPr>
      <w:r>
        <w:t xml:space="preserve">Rule of interpretation (from</w:t>
      </w:r>
      <w:r>
        <w:t xml:space="preserve"> </w:t>
      </w:r>
      <w:r>
        <w:rPr>
          <w:rStyle w:val="VerbatimChar"/>
        </w:rPr>
        <w:t xml:space="preserve">_context/reference-hardware.md</w:t>
      </w:r>
      <w:r>
        <w:t xml:space="preserve">): NFR-OGMA budgets are binding for release gates at MVP scale; all pre-Phase-20 measurements are trend-only and never asserted as acceptance evidence. Where an NFR-PROD default and an NFR-OGMA budget address the same attribute, NFR-OGMA binds at 2,000-book scale and NFR-PROD holds as the 50,000-item V1 target gated at Phase 20.</w:t>
      </w:r>
    </w:p>
    <w:bookmarkEnd w:id="12"/>
    <w:bookmarkStart w:id="13" w:name="X0c16f88e0906dfe91d11a1f29370efcce6f0c9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Gap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Gap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Remediation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8 Planned FRs have no implementing code (FR-CAT-007, FR-READ-012, FR-AI-008, FR-EXT-001..003, FR-UX-003, FR-UX-006)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Major (release-scope)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Scheduled in the forward sprint plan, Sprints 2–6; not release blockers for the personal MVP except FR-UX-006 (owner decision pending)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NFR-OGMA performance figures are trend-only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 acceptance on W-REF-01/M-REF-01 (story US-053)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LAN/CLIENT verification recorded on Windows 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macOS/Linux verification pass, retrospective action A-5, due 2026-08-07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Three stories had empty baseline traces in v2.0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US-001, US-052, and US-057 now trace to controlled NFRs; validator evidence is retained in the Kaizen pack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SRS and governance counts diverged in v2.0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now report 87 code/test evidence, 5 Partial, and 9 Planned</w:t>
            </w:r>
          </w:p>
        </w:tc>
      </w:tr>
    </w:tbl>
    <w:p>
      <w:pPr>
        <w:pStyle w:val="BodyText"/>
      </w:pPr>
      <w:r>
        <w:t xml:space="preserve">No orphan requirement or goal is asserted after registry validation. Coverage is 101/101 FRs at module/story level. Status coverage is 87 code/test evidence, 5 Partial, and 9 Planned; release-acceptance coverage is not inferred from those counts.</w:t>
      </w:r>
    </w:p>
    <w:bookmarkEnd w:id="13"/>
    <w:bookmarkStart w:id="14" w:name="Xa0c920b4d1424525a4133bcdf6ad4849112b7a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First governance rollup at baseline v2.0; replaces group-only traceability noted as a v1.0 defect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../audit-report.md</w:t>
            </w:r>
          </w:p>
        </w:tc>
      </w:tr>
    </w:tbl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orient="landscape" w:w="16838" w:h="11906"/>
      <w:pgMar w:bottom="850" w:left="737" w:right="737" w:top="85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REQUIREMENTS TRACEABILITY MATRIX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Traceability Matrix</dc:title>
  <dc:creator>Chwezi Core Systems</dc:creator>
  <cp:keywords>Ogma Library; local-first; requirements; desktop; controlled baseline</cp:keywords>
  <dcterms:created xsi:type="dcterms:W3CDTF">2026-08-13T13:27:37Z</dcterms:created>
  <dcterms:modified xsi:type="dcterms:W3CDTF">2026-08-13T13:27:37Z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Traceability Matrix (Governance Rollup)</vt:lpwstr>
  </property>
  <property fmtid="{D5CDD505-2E9C-101B-9397-08002B2CF9AE}" pid="3" name="phase">
    <vt:lpwstr>09</vt:lpwstr>
  </property>
</Properties>
</file>