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1245a4fb066d19ba4508d7bd651387c91b0f20"/>
    <w:p>
      <w:pPr>
        <w:pStyle w:val="Heading1"/>
      </w:pPr>
      <w:r>
        <w:t xml:space="preserve">Internal Audit Report — Documentation Baseline v2.0 and As-Built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Internal Audit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t xml:space="preserve">ISO/IEC 27001:2022 §9.2 (internal audit), IEEE 1012-2016 (V&amp;V)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9" w:name="X086be6aa1f26b146133c0326b5447293a6545d3"/>
    <w:p>
      <w:pPr>
        <w:pStyle w:val="Heading2"/>
      </w:pPr>
      <w:r>
        <w:t xml:space="preserve">1. Audit Scope and Objective</w:t>
      </w:r>
    </w:p>
    <w:p>
      <w:pPr>
        <w:pStyle w:val="FirstParagraph"/>
      </w:pPr>
      <w:r>
        <w:t xml:space="preserve">This internal audit assesses (a) the Ogma Library documentation baseline v2.0 (Phases 01–09 deliverables in this workspace) and (b) the as-built system at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 </w:t>
      </w:r>
      <w:r>
        <w:t xml:space="preserve">(grand-plan Phases 00–18, 294 commits, 2026-05-30 to 2026-06-03), against the audit criteria in §2. The objective is ISO/IEC 27001 §9.2-style assurance that the documentation conforms to the engine's own requirements and reflects reality, and that nonconformities carry owned, dated corrective actions.</w:t>
      </w:r>
    </w:p>
    <w:p>
      <w:pPr>
        <w:pStyle w:val="BodyText"/>
      </w:pPr>
      <w:r>
        <w:t xml:space="preserve">In scope:</w:t>
      </w:r>
      <w:r>
        <w:t xml:space="preserve"> </w:t>
      </w:r>
      <w:r>
        <w:rPr>
          <w:rStyle w:val="VerbatimChar"/>
        </w:rPr>
        <w:t xml:space="preserve">_context/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07-agile-artifacts/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08-end-user-documentation/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09-governance-compliance/</w:t>
      </w:r>
      <w:r>
        <w:t xml:space="preserve"> </w:t>
      </w:r>
      <w:r>
        <w:t xml:space="preserve">(including the DPIA, risk register, and traceability rollup), and the SRS/PRD/design baseline they trace to. Out of scope: the ADR catalog content under</w:t>
      </w:r>
      <w:r>
        <w:t xml:space="preserve"> </w:t>
      </w:r>
      <w:r>
        <w:rPr>
          <w:rStyle w:val="VerbatimChar"/>
        </w:rPr>
        <w:t xml:space="preserve">09-governance-compliance/05-adr/</w:t>
      </w:r>
      <w:r>
        <w:t xml:space="preserve"> </w:t>
      </w:r>
      <w:r>
        <w:t xml:space="preserve">(separately owned this cycle) and legal review of any jurisdictional data-protection position.</w:t>
      </w:r>
    </w:p>
    <w:bookmarkEnd w:id="9"/>
    <w:bookmarkStart w:id="10" w:name="X25f9fab5e3606fda3808a5d0c5f1cc64ca92d95"/>
    <w:p>
      <w:pPr>
        <w:pStyle w:val="Heading2"/>
      </w:pPr>
      <w:r>
        <w:t xml:space="preserve">2. Audit Criteria</w:t>
      </w:r>
    </w:p>
    <w:p>
      <w:pPr>
        <w:pStyle w:val="Compact"/>
        <w:numPr>
          <w:ilvl w:val="0"/>
          <w:numId w:val="1001"/>
        </w:numPr>
      </w:pPr>
      <w:r>
        <w:t xml:space="preserve">Engine validation gates (</w:t>
      </w:r>
      <w:r>
        <w:rPr>
          <w:rStyle w:val="VerbatimChar"/>
        </w:rPr>
        <w:t xml:space="preserve">python -m engine validate Ogma-Library</w:t>
      </w:r>
      <w:r>
        <w:t xml:space="preserve">): phase 07 (DoR/DoD/sprint/retro/velocity checks), phase 08 (user manual with screenshots, release notes with FR traceability, FAQ ≥ 5 Q&amp;A), phase 09 (audit report present, registries, NFR threshold dedup), and the hybrid gate (dor-dod coupling, baseline traces).</w:t>
      </w:r>
    </w:p>
    <w:p>
      <w:pPr>
        <w:pStyle w:val="Compact"/>
        <w:numPr>
          <w:ilvl w:val="0"/>
          <w:numId w:val="1001"/>
        </w:numPr>
      </w:pPr>
      <w:r>
        <w:t xml:space="preserve">The IEEE 1012 V&amp;V Standard Operating Procedure in the engine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 correctness, consistency, completeness, verifiability; fail-tag protocol.</w:t>
      </w:r>
    </w:p>
    <w:p>
      <w:pPr>
        <w:pStyle w:val="Compact"/>
        <w:numPr>
          <w:ilvl w:val="0"/>
          <w:numId w:val="1001"/>
        </w:numPr>
      </w:pPr>
      <w:r>
        <w:t xml:space="preserve">The anti-AI-slop gate (</w:t>
      </w:r>
      <w:r>
        <w:rPr>
          <w:rStyle w:val="VerbatimChar"/>
        </w:rPr>
        <w:t xml:space="preserve">09-governance-compliance/28-anti-ai-slop</w:t>
      </w:r>
      <w:r>
        <w:t xml:space="preserve">): zero fiction, specificity floor, verify-before-emit, no banned vocabulary without metrics.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as the canonical as-built digest: every status claim in a deliverable must agree with it.</w:t>
      </w:r>
    </w:p>
    <w:bookmarkEnd w:id="10"/>
    <w:bookmarkStart w:id="11" w:name="Xeae2dc85413e447d2c08d145b986cffc1f454f7"/>
    <w:p>
      <w:pPr>
        <w:pStyle w:val="Heading2"/>
      </w:pPr>
      <w:r>
        <w:t xml:space="preserve">3. Method</w:t>
      </w:r>
    </w:p>
    <w:p>
      <w:pPr>
        <w:pStyle w:val="FirstParagraph"/>
      </w:pPr>
      <w:r>
        <w:t xml:space="preserve">Documents were checked against the criteria by inspection; implementation-status claims were sampled against the codebase (git log,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greps for</w:t>
      </w:r>
      <w:r>
        <w:t xml:space="preserve"> </w:t>
      </w:r>
      <w:r>
        <w:rPr>
          <w:rStyle w:val="VerbatimChar"/>
        </w:rPr>
        <w:t xml:space="preserve">AnnotationLayerService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SplitViewViewModel</w:t>
      </w:r>
      <w:r>
        <w:t xml:space="preserve"> </w:t>
      </w:r>
      <w:r>
        <w:t xml:space="preserve">wiring,</w:t>
      </w:r>
      <w:r>
        <w:t xml:space="preserve"> </w:t>
      </w:r>
      <w:r>
        <w:rPr>
          <w:rStyle w:val="VerbatimChar"/>
        </w:rPr>
        <w:t xml:space="preserve">NotImplementedException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AdvisorService</w:t>
      </w:r>
      <w:r>
        <w:t xml:space="preserve">, absence of</w:t>
      </w:r>
      <w:r>
        <w:t xml:space="preserve"> </w:t>
      </w:r>
      <w:r>
        <w:rPr>
          <w:rStyle w:val="VerbatimChar"/>
        </w:rPr>
        <w:t xml:space="preserve">WorkEdition</w:t>
      </w:r>
      <w:r>
        <w:t xml:space="preserve"> </w:t>
      </w:r>
      <w:r>
        <w:t xml:space="preserve">and command-palette code); FR counts were re-derived from</w:t>
      </w:r>
      <w:r>
        <w:t xml:space="preserve"> </w:t>
      </w:r>
      <w:r>
        <w:rPr>
          <w:rStyle w:val="VerbatimChar"/>
        </w:rPr>
        <w:t xml:space="preserve">_context/features.md</w:t>
      </w:r>
      <w:r>
        <w:t xml:space="preserve">.</w:t>
      </w:r>
    </w:p>
    <w:bookmarkEnd w:id="11"/>
    <w:bookmarkStart w:id="12" w:name="Xa7479fdb62e9268fa7a2cd6401b53f6b4c6845c"/>
    <w:p>
      <w:pPr>
        <w:pStyle w:val="Heading2"/>
      </w:pPr>
      <w:r>
        <w:t xml:space="preserve">4. Findings</w:t>
      </w:r>
    </w:p>
    <w:p>
      <w:pPr>
        <w:pStyle w:val="FirstParagraph"/>
      </w:pPr>
      <w:r>
        <w:t xml:space="preserve">Severity: Critical (unsafe/non-compliant), Major (must fix before release), Minor (should fix), Observation (no compliance impact). Status: Remediated (in v2.0) or Open.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Corrective action /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</w:t>
            </w:r>
          </w:p>
        </w:tc>
        <w:tc>
          <w:tcPr/>
          <w:p>
            <w:pPr>
              <w:pStyle w:val="Compact"/>
            </w:pPr>
            <w:r>
              <w:t xml:space="preserve">v1.0 Phase 07 artifacts contained a fictional Sprint-01 retrospective and seeded velocity for sprints that never ran</w:t>
            </w:r>
          </w:p>
        </w:tc>
        <w:tc>
          <w:tcPr/>
          <w:p>
            <w:pPr>
              <w:pStyle w:val="Compact"/>
            </w:pPr>
            <w:r>
              <w:t xml:space="preserve">Critical (integrity)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  <w:r>
              <w:t xml:space="preserve"> </w:t>
            </w:r>
            <w:r>
              <w:rPr>
                <w:rStyle w:val="VerbatimChar"/>
              </w:rPr>
              <w:t xml:space="preserve">retrospective.md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velocity.md</w:t>
            </w:r>
            <w:r>
              <w:t xml:space="preserve"> </w:t>
            </w:r>
            <w:r>
              <w:t xml:space="preserve">(removed)</w:t>
            </w:r>
          </w:p>
        </w:tc>
        <w:tc>
          <w:tcPr/>
          <w:p>
            <w:pPr>
              <w:pStyle w:val="Compact"/>
            </w:pPr>
            <w:r>
              <w:t xml:space="preserve">Remediated 2026-07-06</w:t>
            </w:r>
          </w:p>
        </w:tc>
        <w:tc>
          <w:tcPr/>
          <w:p>
            <w:pPr>
              <w:pStyle w:val="Compact"/>
            </w:pPr>
            <w:r>
              <w:t xml:space="preserve">v2.0 rebuilt from git evidence; anti-slop U3 (verify-before-emit) added to the Phase 07 production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</w:t>
            </w:r>
          </w:p>
        </w:tc>
        <w:tc>
          <w:tcPr/>
          <w:p>
            <w:pPr>
              <w:pStyle w:val="Compact"/>
            </w:pPr>
            <w:r>
              <w:t xml:space="preserve">v1.0 documentation asserted or implied a go-live/delivery state that never occurred</w:t>
            </w:r>
          </w:p>
        </w:tc>
        <w:tc>
          <w:tcPr/>
          <w:p>
            <w:pPr>
              <w:pStyle w:val="Compact"/>
            </w:pPr>
            <w:r>
              <w:t xml:space="preserve">Critical (integrity)</w:t>
            </w:r>
          </w:p>
        </w:tc>
        <w:tc>
          <w:tcPr/>
          <w:p>
            <w:pPr>
              <w:pStyle w:val="Compact"/>
            </w:pPr>
            <w:r>
              <w:t xml:space="preserve">v1.0 status sections vs. git history (no release, no packaging config)</w:t>
            </w:r>
          </w:p>
        </w:tc>
        <w:tc>
          <w:tcPr/>
          <w:p>
            <w:pPr>
              <w:pStyle w:val="Compact"/>
            </w:pPr>
            <w:r>
              <w:t xml:space="preserve">Remediated 2026-07-06</w:t>
            </w:r>
          </w:p>
        </w:tc>
        <w:tc>
          <w:tcPr/>
          <w:p>
            <w:pPr>
              <w:pStyle w:val="Compact"/>
            </w:pPr>
            <w:r>
              <w:t xml:space="preserve">All v2.0 deliverables state "development snapshot; Phases 19–23 outstanding"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F-3</w:t>
            </w:r>
          </w:p>
        </w:tc>
        <w:tc>
          <w:tcPr/>
          <w:p>
            <w:pPr>
              <w:pStyle w:val="Compact"/>
            </w:pPr>
            <w:r>
              <w:t xml:space="preserve">PRD/vision content was stale against the expanded product (no LAN/classroom/school scope)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  <w:r>
              <w:t xml:space="preserve"> </w:t>
            </w:r>
            <w:r>
              <w:rPr>
                <w:rStyle w:val="VerbatimChar"/>
              </w:rPr>
              <w:t xml:space="preserve">_context/features.md</w:t>
            </w:r>
            <w:r>
              <w:t xml:space="preserve"> </w:t>
            </w:r>
            <w:r>
              <w:t xml:space="preserve">(6 modules) vs. codebase Phases 16–18</w:t>
            </w:r>
          </w:p>
        </w:tc>
        <w:tc>
          <w:tcPr/>
          <w:p>
            <w:pPr>
              <w:pStyle w:val="Compact"/>
            </w:pPr>
            <w:r>
              <w:t xml:space="preserve">Remediated 2026-07-06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</w:t>
            </w:r>
            <w:r>
              <w:t xml:space="preserve"> </w:t>
            </w:r>
            <w:r>
              <w:t xml:space="preserve">v2.0 carries the closed 11-module, 101-FR inventory with per-FR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</w:t>
            </w:r>
          </w:p>
        </w:tc>
        <w:tc>
          <w:tcPr/>
          <w:p>
            <w:pPr>
              <w:pStyle w:val="Compact"/>
            </w:pPr>
            <w:r>
              <w:t xml:space="preserve">NFR contradictions: NFR-PROD defaults and NFR-OGMA budgets stated different unlabelled numbers for the same attributes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v1.0 SRS §5.4 open item</w:t>
            </w:r>
          </w:p>
        </w:tc>
        <w:tc>
          <w:tcPr/>
          <w:p>
            <w:pPr>
              <w:pStyle w:val="Compact"/>
            </w:pPr>
            <w:r>
              <w:t xml:space="preserve">Remediated 2026-07-06</w:t>
            </w:r>
          </w:p>
        </w:tc>
        <w:tc>
          <w:tcPr/>
          <w:p>
            <w:pPr>
              <w:pStyle w:val="Compact"/>
            </w:pPr>
            <w:r>
              <w:t xml:space="preserve">Conflict-resolution rule recorded in</w:t>
            </w:r>
            <w:r>
              <w:t xml:space="preserve"> </w:t>
            </w:r>
            <w:r>
              <w:rPr>
                <w:rStyle w:val="VerbatimChar"/>
              </w:rPr>
              <w:t xml:space="preserve">_context/reference-hardware.md</w:t>
            </w:r>
            <w:r>
              <w:t xml:space="preserve"> </w:t>
            </w:r>
            <w:r>
              <w:t xml:space="preserve">(NFR-OGMA binds at MVP scale; NFR-PROD is the labelled V1 target); phase09 NFR-dedup gate re-run required at next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</w:t>
            </w:r>
          </w:p>
        </w:tc>
        <w:tc>
          <w:tcPr/>
          <w:p>
            <w:pPr>
              <w:pStyle w:val="Compact"/>
            </w:pPr>
            <w:r>
              <w:t xml:space="preserve">Traceability was group-only: goals mapped to FR groups with no story/status resolution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v1.0 SRS §8 table</w:t>
            </w:r>
          </w:p>
        </w:tc>
        <w:tc>
          <w:tcPr/>
          <w:p>
            <w:pPr>
              <w:pStyle w:val="Compact"/>
            </w:pPr>
            <w:r>
              <w:t xml:space="preserve">Remediated 2026-07-06</w:t>
            </w:r>
          </w:p>
        </w:tc>
        <w:tc>
          <w:tcPr/>
          <w:p>
            <w:pPr>
              <w:pStyle w:val="Compact"/>
            </w:pPr>
            <w:r>
              <w:t xml:space="preserve">Governance rollup at</w:t>
            </w:r>
            <w:r>
              <w:t xml:space="preserve"> </w:t>
            </w:r>
            <w:r>
              <w:rPr>
                <w:rStyle w:val="VerbatimChar"/>
              </w:rPr>
              <w:t xml:space="preserve">01-traceability-matrix/traceability-matrix.md</w:t>
            </w:r>
            <w:r>
              <w:t xml:space="preserve"> </w:t>
            </w:r>
            <w:r>
              <w:t xml:space="preserve">(101/101 FRs traced; gaps logged G-1..G-5); per-FR SRS §8 refresh remains open (F-10)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</w:t>
            </w:r>
          </w:p>
        </w:tc>
        <w:tc>
          <w:tcPr/>
          <w:p>
            <w:pPr>
              <w:pStyle w:val="Compact"/>
            </w:pPr>
            <w:r>
              <w:t xml:space="preserve">Phases 19–23 have no execution evidence: hardening, performance acceptance, WCAG audit, es/it/de, packaging, launch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_context/build-status.md</w:t>
            </w:r>
            <w:r>
              <w:t xml:space="preserve"> </w:t>
            </w:r>
            <w:r>
              <w:t xml:space="preserve">"Not yet implemented"; no packaging config in repo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Forward sprint plan Sprints 1–6 (2026-07-13 to 2026-10-02); performance figures remain trend-only until Phase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</w:t>
            </w:r>
          </w:p>
        </w:tc>
        <w:tc>
          <w:tcPr/>
          <w:p>
            <w:pPr>
              <w:pStyle w:val="Compact"/>
            </w:pPr>
            <w:r>
              <w:t xml:space="preserve">Premium PNG icon procurement from the owner is outstanding; placeholders/stock icons in use — a release blocker by policy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_context/build-status.md</w:t>
            </w:r>
            <w:r>
              <w:t xml:space="preserve">; grand plan principle 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Retrospective action A-3, product owner, due 2026-08-21 (before Sprint-4 packaging)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</w:t>
            </w:r>
          </w:p>
        </w:tc>
        <w:tc>
          <w:tcPr/>
          <w:p>
            <w:pPr>
              <w:pStyle w:val="Compact"/>
            </w:pPr>
            <w:r>
              <w:t xml:space="preserve">OGMA0001 hard-coded-string analyzer not built; en/fr rule enforced only by convention plus pseudolocale tests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_context/build-status.md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Retrospective action A-2, engineering lead, due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</w:t>
            </w:r>
          </w:p>
        </w:tc>
        <w:tc>
          <w:tcPr/>
          <w:p>
            <w:pPr>
              <w:pStyle w:val="Compact"/>
            </w:pPr>
            <w:r>
              <w:t xml:space="preserve">EF Core 9.0.16 on net10.0 with mixed 9.x/10.x Microsoft.Extensions packages; alignment decision recorded as ADR-0014 but not executed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_context/build-status.md</w:t>
            </w:r>
            <w:r>
              <w:t xml:space="preserve">; repo package references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Retrospective action A-4, engineering lead, due 2026-07-31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SRS §8 traceability table and</w:t>
            </w:r>
            <w:r>
              <w:t xml:space="preserve"> </w:t>
            </w:r>
            <w:r>
              <w:rPr>
                <w:rStyle w:val="VerbatimChar"/>
              </w:rPr>
              <w:t xml:space="preserve">_registry/baseline-trace.yaml</w:t>
            </w:r>
            <w:r>
              <w:t xml:space="preserve"> </w:t>
            </w:r>
            <w:r>
              <w:t xml:space="preserve">still reflect the v1.0 module set and story set (US-001..020)</w:t>
            </w:r>
          </w:p>
        </w:tc>
        <w:tc>
          <w:tcPr/>
          <w:p>
            <w:pPr>
              <w:pStyle w:val="Compact"/>
            </w:pPr>
            <w:r>
              <w:t xml:space="preserve">Major (governance)</w:t>
            </w:r>
          </w:p>
        </w:tc>
        <w:tc>
          <w:tcPr/>
          <w:p>
            <w:pPr>
              <w:pStyle w:val="Compact"/>
            </w:pPr>
            <w:r>
              <w:t xml:space="preserve">SRS §8 rows end at FR-AI; registry story count 20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Registry re-sync and SRS §8 refresh, QA/verification, due 2026-07-17 (retrospective action A-7); the hybrid gate will fail honestly until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/</w:t>
            </w:r>
            <w:r>
              <w:rPr>
                <w:rStyle w:val="VerbatimChar"/>
              </w:rPr>
              <w:t xml:space="preserve">CHANGELOG.md</w:t>
            </w:r>
            <w:r>
              <w:t xml:space="preserve"> </w:t>
            </w:r>
            <w:r>
              <w:t xml:space="preserve">stale ("Phases 00–02") and duplicate ADR trees with one duplicated number in the codebase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git working tree;</w:t>
            </w:r>
            <w:r>
              <w:t xml:space="preserve"> </w:t>
            </w:r>
            <w:r>
              <w:rPr>
                <w:rStyle w:val="VerbatimChar"/>
              </w:rPr>
              <w:t xml:space="preserve">_context/build-status.md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Retrospective action A-1, engineering lead, due 2026-07-17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LAN/classroom verification evidence recorded on Windows only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"test: record phase 16 windows lan verification" commit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Retrospective action A-5, QA/verification, due 2026-08-07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Classroom mode processes minors' data but v1.0 DPIA covered only the single-user product</w:t>
            </w:r>
          </w:p>
        </w:tc>
        <w:tc>
          <w:tcPr/>
          <w:p>
            <w:pPr>
              <w:pStyle w:val="Compact"/>
            </w:pPr>
            <w:r>
              <w:t xml:space="preserve">Major (compliance)</w:t>
            </w:r>
          </w:p>
        </w:tc>
        <w:tc>
          <w:tcPr/>
          <w:p>
            <w:pPr>
              <w:pStyle w:val="Compact"/>
            </w:pPr>
            <w:r>
              <w:t xml:space="preserve">v1.0 DPIA §1 ("no third-party PII baseline") vs. FR-CLIENT/FR-ADMIN scope</w:t>
            </w:r>
          </w:p>
        </w:tc>
        <w:tc>
          <w:tcPr/>
          <w:p>
            <w:pPr>
              <w:pStyle w:val="Compact"/>
            </w:pPr>
            <w:r>
              <w:t xml:space="preserve">Remediated 2026-07-06</w:t>
            </w:r>
          </w:p>
        </w:tc>
        <w:tc>
          <w:tcPr/>
          <w:p>
            <w:pPr>
              <w:pStyle w:val="Compact"/>
            </w:pPr>
            <w:r>
              <w:t xml:space="preserve">DPIA v2.0 expanded: classroom processing inventory, minors-specific risks, trigger register (</w:t>
            </w:r>
            <w:r>
              <w:rPr>
                <w:rStyle w:val="VerbatimChar"/>
              </w:rPr>
              <w:t xml:space="preserve">03-dpia/</w:t>
            </w:r>
            <w:r>
              <w:t xml:space="preserve">); target-jurisdiction owner decision remains open (F-14)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Target jurisdictions for classroom deployments undecided; lawful-basis and cross-border analysis cannot be finalised</w:t>
            </w:r>
          </w:p>
        </w:tc>
        <w:tc>
          <w:tcPr/>
          <w:p>
            <w:pPr>
              <w:pStyle w:val="Compact"/>
            </w:pPr>
            <w:r>
              <w:t xml:space="preserve">Major (compliance)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[CONTEXT-GAP]</w:t>
            </w:r>
            <w:r>
              <w:t xml:space="preserve"> </w:t>
            </w:r>
            <w:r>
              <w:t xml:space="preserve">carried in DPIA §2.7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Owner decision requested by 2026-08-21 (before any classroom pilot); DPIA holds a configurable-jurisdiction, GDPR-aligned baseline meanwhile</w:t>
            </w:r>
          </w:p>
        </w:tc>
      </w:tr>
    </w:tbl>
    <w:bookmarkEnd w:id="12"/>
    <w:bookmarkStart w:id="13" w:name="X3e2d2954e1a2dac05e4cbdc868c3a2ebed5dc42"/>
    <w:p>
      <w:pPr>
        <w:pStyle w:val="Heading2"/>
      </w:pPr>
      <w:r>
        <w:t xml:space="preserve">5. Analysis Against the Four V&amp;V Dimensions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Correctness</w:t>
      </w:r>
      <w:r>
        <w:t xml:space="preserve"> </w:t>
      </w:r>
      <w:r>
        <w:t xml:space="preserve">— v2.0 deliverables were sampled against the codebase with no false capability claim found; the two deliberate stubs (FR-READ-012, FR-AI-008) are disclosed everywhere status is stated. The v1.0 corpus failed this dimension (F-1, F-2).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Completeness</w:t>
      </w:r>
      <w:r>
        <w:t xml:space="preserve"> </w:t>
      </w:r>
      <w:r>
        <w:t xml:space="preserve">— the FR inventory is closed at 101 and fully traced (G-1 gaps are scheduled scope, not undocumented scope); end-user documentation now exists with manual, installation guide, FAQ (17 Q&amp;A), and release 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— statuses are single-sourced from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; the NFR dual-number defect is resolved by the recorded precedence rule (F-4). Residual inconsistency is confined to the v1.0-era SRS §8 and registry (F-10).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Traceability</w:t>
      </w:r>
      <w:r>
        <w:t xml:space="preserve"> </w:t>
      </w:r>
      <w:r>
        <w:t xml:space="preserve">— bidirectional at rollup level (goals ↔ modules ↔ stories ↔ status); per-FR test-case linkage lives in SRS §8 and is stale pending F-10.</w:t>
      </w:r>
    </w:p>
    <w:bookmarkEnd w:id="13"/>
    <w:bookmarkStart w:id="14" w:name="Xaa16fc4108846a5e2133c1c3c73c0feb5219db9"/>
    <w:p>
      <w:pPr>
        <w:pStyle w:val="Heading2"/>
      </w:pPr>
      <w:r>
        <w:t xml:space="preserve">6. Conclusion and Recommendation</w:t>
      </w:r>
    </w:p>
    <w:p>
      <w:pPr>
        <w:pStyle w:val="FirstParagraph"/>
      </w:pPr>
      <w:r>
        <w:rPr>
          <w:b/>
          <w:bCs/>
        </w:rPr>
        <w:t xml:space="preserve">Conditional Pass.</w:t>
      </w:r>
      <w:r>
        <w:t xml:space="preserve"> </w:t>
      </w:r>
      <w:r>
        <w:t xml:space="preserve">No Critical finding remains open. Seven findings are open (F-6 through F-12 excluding remediated ones, plus F-14), all Major or Minor, each with a named owner-role and due date between 2026-07-17 and 2026-08-21. Release of any public build remains blocked by policy until F-6 (Phase 20 acceptance at minimum), F-7 (icons), and — for any classroom deployment — F-14 (jurisdiction decision) close.</w:t>
      </w:r>
    </w:p>
    <w:p>
      <w:pPr>
        <w:pStyle w:val="BodyText"/>
      </w:pPr>
      <w:r>
        <w:t xml:space="preserve">Follow-up audit checkpoints:</w:t>
      </w:r>
    </w:p>
    <w:p>
      <w:pPr>
        <w:pStyle w:val="Compact"/>
        <w:numPr>
          <w:ilvl w:val="0"/>
          <w:numId w:val="1003"/>
        </w:numPr>
      </w:pPr>
      <w:r>
        <w:t xml:space="preserve">2026-07-17 — verify F-10 and F-11 closure (registry re-sync, repo doc truth).</w:t>
      </w:r>
    </w:p>
    <w:p>
      <w:pPr>
        <w:pStyle w:val="Compact"/>
        <w:numPr>
          <w:ilvl w:val="0"/>
          <w:numId w:val="1003"/>
        </w:numPr>
      </w:pPr>
      <w:r>
        <w:t xml:space="preserve">2026-08-07 — verify F-8, F-9, F-12 closure at Sprint-2 review.</w:t>
      </w:r>
    </w:p>
    <w:p>
      <w:pPr>
        <w:pStyle w:val="Compact"/>
        <w:numPr>
          <w:ilvl w:val="0"/>
          <w:numId w:val="1003"/>
        </w:numPr>
      </w:pPr>
      <w:r>
        <w:t xml:space="preserve">2026-08-21 — verify F-7 and F-14 owner decisions before Sprint-4 packaging.</w:t>
      </w:r>
    </w:p>
    <w:p>
      <w:pPr>
        <w:pStyle w:val="Compact"/>
        <w:numPr>
          <w:ilvl w:val="0"/>
          <w:numId w:val="1003"/>
        </w:numPr>
      </w:pPr>
      <w:r>
        <w:t xml:space="preserve">Phase 20 closure — re-audit F-6 evidence (formal NFR acceptance) before any release-candidate build.</w:t>
      </w:r>
    </w:p>
    <w:bookmarkEnd w:id="14"/>
    <w:bookmarkStart w:id="15" w:name="Xc77396290bd97977cb38105e39f05630980967f"/>
    <w:p>
      <w:pPr>
        <w:pStyle w:val="Heading2"/>
      </w:pPr>
      <w:r>
        <w:t xml:space="preserve">7.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t xml:space="preserve">First internal audit at documentation baseline v2.0; records v1.0 defects and their remediation</w:t>
            </w:r>
          </w:p>
        </w:tc>
      </w:tr>
    </w:tbl>
    <w:bookmarkEnd w:id="15"/>
    <w:bookmarkStart w:id="16" w:name="X60d58a54b9f978c8ebf0e1337c65ddfef32fe85"/>
    <w:p>
      <w:pPr>
        <w:pStyle w:val="Heading2"/>
      </w:pPr>
      <w:r>
        <w:t xml:space="preserve">Annex B — AI-Slop Audit Verdict (skill 29, run 2026-07-06)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A (Clean — ship). Genericness signals: 0 banned-vocabulary occurrences in assertive text across 110 markdown files (1 match is the PRD's own prohibition clause quoting the banned words; "fast-forward" is a git term).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Tag discipline: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/</w:t>
      </w:r>
      <w:r>
        <w:rPr>
          <w:rStyle w:val="VerbatimChar"/>
        </w:rPr>
        <w:t xml:space="preserve">[VERIFIABILITY-FAIL]</w:t>
      </w:r>
      <w:r>
        <w:t xml:space="preserve">/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occurrences in Phase 05 documents are declared coverage-gap records per the V&amp;V SOP (each names its owner and closure phase), not unresolved review scaffolding; the 9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occurrences are the honest open register (icons, pricing, jurisdictions, ISBN precision floor, Phase 19-23 evidence).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Fictional-completion scan:</w:t>
      </w:r>
      <w:r>
        <w:t xml:space="preserve"> </w:t>
      </w:r>
      <w:r>
        <w:t xml:space="preserve">0 pre-checked gates; the go-live checklist shows 21 unchecked items under waiver WAIVE-001; the test-completion report leads with a blocked canonical run and 1 real test failure.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Fixes applied during audit:</w:t>
      </w:r>
      <w:r>
        <w:t xml:space="preserve"> </w:t>
      </w:r>
      <w:r>
        <w:t xml:space="preserve">2 ADR decision-driver adjectives replaced with measurable phrasing (ADR-0003 bridge validation, ADR-0004 extraction quality).</w:t>
      </w:r>
    </w:p>
    <w:bookmarkEnd w:id="16"/>
    <w:bookmarkEnd w:id="17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2026-07-06T19:43:27Z</dcterms:created>
  <dcterms:modified xsi:type="dcterms:W3CDTF">2026-07-06T19:43:27Z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Internal Audit Report</vt:lpwstr>
  </property>
  <property fmtid="{D5CDD505-2E9C-101B-9397-08002B2CF9AE}" pid="3" name="phase">
    <vt:lpwstr>09</vt:lpwstr>
  </property>
</Properties>
</file>