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Stakeholder Analysis</w:t>
      </w:r>
    </w:p>
    <w:p>
      <w:pPr>
        <w:pStyle w:val="Date"/>
      </w:pPr>
      <w:r>
        <w:t xml:space="preserve">2026-07-06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29" w:name="stakeholder-analysis"/>
    <w:p>
      <w:pPr>
        <w:pStyle w:val="Heading1"/>
      </w:pPr>
      <w:r>
        <w:t xml:space="preserve">Stakeholder Analysis</w:t>
      </w:r>
    </w:p>
    <w:p>
      <w:pPr>
        <w:pStyle w:val="FirstParagraph"/>
      </w:pPr>
      <w:r>
        <w:rPr>
          <w:b/>
          <w:bCs/>
        </w:rPr>
        <w:t xml:space="preserve">Ogma Library</w:t>
      </w:r>
    </w:p>
    <w:p>
      <w:pPr>
        <w:pStyle w:val="BodyText"/>
      </w:pPr>
      <w:r>
        <w:rPr>
          <w:i/>
          <w:iCs/>
        </w:rPr>
        <w:t xml:space="preserve">A local-first personal and classroom PDF library application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Ogma Library</w:t>
            </w:r>
          </w:p>
        </w:tc>
      </w:tr>
      <w:tr>
        <w:tc>
          <w:tcPr/>
          <w:p>
            <w:pPr>
              <w:pStyle w:val="Compact"/>
            </w:pPr>
            <w:r>
              <w:rPr>
                <w:b/>
                <w:bCs/>
              </w:rPr>
              <w:t xml:space="preserve">Document</w:t>
            </w:r>
          </w:p>
        </w:tc>
        <w:tc>
          <w:tcPr/>
          <w:p>
            <w:pPr>
              <w:pStyle w:val="Compact"/>
            </w:pPr>
            <w:r>
              <w:t xml:space="preserve">Stakeholder Analysis</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Author</w:t>
            </w:r>
          </w:p>
        </w:tc>
        <w:tc>
          <w:tcPr/>
          <w:p>
            <w:pPr>
              <w:pStyle w:val="Compact"/>
            </w:pPr>
            <w:r>
              <w:t xml:space="preserve">Peter Bamuhigire, Lead Consultant, Chwezi Core</w:t>
            </w:r>
          </w:p>
        </w:tc>
      </w:tr>
      <w:tr>
        <w:tc>
          <w:tcPr/>
          <w:p>
            <w:pPr>
              <w:pStyle w:val="Compact"/>
            </w:pPr>
            <w:r>
              <w:rPr>
                <w:b/>
                <w:bCs/>
              </w:rPr>
              <w:t xml:space="preserve">Document Version</w:t>
            </w:r>
          </w:p>
        </w:tc>
        <w:tc>
          <w:tcPr/>
          <w:p>
            <w:pPr>
              <w:pStyle w:val="Compact"/>
            </w:pPr>
            <w:r>
              <w:t xml:space="preserve">2.0</w:t>
            </w:r>
          </w:p>
        </w:tc>
      </w:tr>
      <w:tr>
        <w:tc>
          <w:tcPr/>
          <w:p>
            <w:pPr>
              <w:pStyle w:val="Compact"/>
            </w:pPr>
            <w:r>
              <w:rPr>
                <w:b/>
                <w:bCs/>
              </w:rPr>
              <w:t xml:space="preserve">Date</w:t>
            </w:r>
          </w:p>
        </w:tc>
        <w:tc>
          <w:tcPr/>
          <w:p>
            <w:pPr>
              <w:pStyle w:val="Compact"/>
            </w:pPr>
            <w:r>
              <w:t xml:space="preserve">2026-07-06</w:t>
            </w:r>
          </w:p>
        </w:tc>
      </w:tr>
      <w:tr>
        <w:tc>
          <w:tcPr/>
          <w:p>
            <w:pPr>
              <w:pStyle w:val="Compact"/>
            </w:pPr>
            <w:r>
              <w:rPr>
                <w:b/>
                <w:bCs/>
              </w:rPr>
              <w:t xml:space="preserve">Status</w:t>
            </w:r>
          </w:p>
        </w:tc>
        <w:tc>
          <w:tcPr/>
          <w:p>
            <w:pPr>
              <w:pStyle w:val="Compact"/>
            </w:pPr>
            <w:r>
              <w:t xml:space="preserve">Draft for owner sign-off — supersedes signed baseline v1.0 (2026-05-30)</w:t>
            </w:r>
          </w:p>
        </w:tc>
      </w:tr>
      <w:tr>
        <w:tc>
          <w:tcPr/>
          <w:p>
            <w:pPr>
              <w:pStyle w:val="Compact"/>
            </w:pPr>
            <w:r>
              <w:rPr>
                <w:b/>
                <w:bCs/>
              </w:rPr>
              <w:t xml:space="preserve">Classification</w:t>
            </w:r>
          </w:p>
        </w:tc>
        <w:tc>
          <w:tcPr/>
          <w:p>
            <w:pPr>
              <w:pStyle w:val="Compact"/>
            </w:pPr>
            <w:r>
              <w:t xml:space="preserve">Confidential — Internal Use Only</w:t>
            </w:r>
          </w:p>
        </w:tc>
      </w:tr>
    </w:tbl>
    <w:p>
      <w:r>
        <w:pict>
          <v:rect style="width:0;height:1.5pt" o:hralign="center" o:hrstd="t" o:hr="t"/>
        </w:pict>
      </w:r>
    </w:p>
    <w:p>
      <w:pPr>
        <w:pStyle w:val="FirstParagraph"/>
      </w:pPr>
      <w:r>
        <w:rPr>
          <w:i/>
          <w:iCs/>
        </w:rPr>
        <w:t xml:space="preserve">Confidential — Internal Use Only. This document is the intellectual property of Chwezi Core Systems. No part may be reproduced or disclosed without written permission.</w:t>
      </w:r>
    </w:p>
    <w:p>
      <w:r>
        <w:pict>
          <v:rect style="width:0;height:1.5pt" o:hralign="center" o:hrstd="t" o:hr="t"/>
        </w:pict>
      </w:r>
    </w:p>
    <w:p>
      <w:pPr>
        <w:pStyle w:val="FirstParagraph"/>
      </w:pPr>
      <w:r>
        <w:t xml:space="preserve">Version 2.0 extends the v1.0 register for the classroom/LAN scope (grand-plan Phases 16–18, implemented) and the open-source and Extension SDK ambitions: it adds the student, teacher, and school administrator personas, the school as an institutional stakeholder and data controller, and the extension-developer community, and updates the influence-interest matrix, communication plan, approval matrix, and RACI accordingly.</w:t>
      </w:r>
    </w:p>
    <w:p>
      <w:r>
        <w:pict>
          <v:rect style="width:0;height:1.5pt" o:hralign="center" o:hrstd="t" o:hr="t"/>
        </w:pict>
      </w:r>
    </w:p>
    <w:bookmarkStart w:id="12" w:name="stakeholder-register-for-ogma-library"/>
    <w:p>
      <w:pPr>
        <w:pStyle w:val="Heading2"/>
      </w:pPr>
      <w:r>
        <w:t xml:space="preserve">Stakeholder Register for Ogma Library</w:t>
      </w:r>
    </w:p>
    <w:p>
      <w:pPr>
        <w:pStyle w:val="FirstParagraph"/>
      </w:pPr>
      <w:r>
        <w:t xml:space="preserve">This register identifies the stakeholders whose needs the Ogma Library application shall address. It separates the internal delivery team — the 3-to-5 person cross-functional group that builds, verifies, and launches the product — from the 8 external user personas whose jobs define the product's acceptance criteria, and, new in v2.0, from the institutional and community stakeholders introduced by the classroom product and the open-source/Extension ambitions. Each entry records role, primary interest, influence over requirements and release decisions, and the single concern that most shapes their requirements.</w:t>
      </w:r>
    </w:p>
    <w:p>
      <w:pPr>
        <w:pStyle w:val="BodyText"/>
      </w:pPr>
      <w:r>
        <w:t xml:space="preserve">The product is owned by Chwezi Core Systems (</w:t>
      </w:r>
      <w:r>
        <w:rPr>
          <w:rStyle w:val="VerbatimChar"/>
        </w:rPr>
        <w:t xml:space="preserve">chwezicore.com</w:t>
      </w:r>
      <w:r>
        <w:t xml:space="preserve">); the product owner is Peter Bamuhigire. The delivery team spans the grand-plan build phases (Phase 00 through Phase 23; Phases 00–18 implemented as of 2026-07-06 per</w:t>
      </w:r>
      <w:r>
        <w:t xml:space="preserve"> </w:t>
      </w:r>
      <w:r>
        <w:rPr>
          <w:rStyle w:val="VerbatimChar"/>
        </w:rPr>
        <w:t xml:space="preserve">_context/build-status.md</w:t>
      </w:r>
      <w:r>
        <w:t xml:space="preserve">).</w:t>
      </w:r>
    </w:p>
    <w:bookmarkStart w:id="9" w:name="internal-delivery-team"/>
    <w:p>
      <w:pPr>
        <w:pStyle w:val="Heading3"/>
      </w:pPr>
      <w:r>
        <w:t xml:space="preserve">Internal Delivery Team</w:t>
      </w:r>
    </w:p>
    <w:p>
      <w:pPr>
        <w:pStyle w:val="FirstParagraph"/>
      </w:pPr>
      <w:r>
        <w:t xml:space="preserve">These stakeholders execute the engagement and hold decision authority over scope, architecture, quality, and release.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Stakeholder</w:t>
            </w:r>
          </w:p>
        </w:tc>
        <w:tc>
          <w:tcPr/>
          <w:p>
            <w:pPr>
              <w:pStyle w:val="Compact"/>
            </w:pPr>
            <w:r>
              <w:t xml:space="preserve">Role</w:t>
            </w:r>
          </w:p>
        </w:tc>
        <w:tc>
          <w:tcPr/>
          <w:p>
            <w:pPr>
              <w:pStyle w:val="Compact"/>
            </w:pPr>
            <w:r>
              <w:t xml:space="preserve">Interest</w:t>
            </w:r>
          </w:p>
        </w:tc>
        <w:tc>
          <w:tcPr/>
          <w:p>
            <w:pPr>
              <w:pStyle w:val="Compact"/>
            </w:pPr>
            <w:r>
              <w:t xml:space="preserve">Influence</w:t>
            </w:r>
          </w:p>
        </w:tc>
        <w:tc>
          <w:tcPr/>
          <w:p>
            <w:pPr>
              <w:pStyle w:val="Compact"/>
            </w:pPr>
            <w:r>
              <w:t xml:space="preserve">Primary Concern</w:t>
            </w:r>
          </w:p>
        </w:tc>
      </w:tr>
      <w:tr>
        <w:tc>
          <w:tcPr/>
          <w:p>
            <w:pPr>
              <w:pStyle w:val="Compact"/>
            </w:pPr>
            <w:r>
              <w:t xml:space="preserve">STK-01</w:t>
            </w:r>
          </w:p>
        </w:tc>
        <w:tc>
          <w:tcPr/>
          <w:p>
            <w:pPr>
              <w:pStyle w:val="Compact"/>
            </w:pPr>
            <w:r>
              <w:t xml:space="preserve">Peter Bamuhigire</w:t>
            </w:r>
          </w:p>
        </w:tc>
        <w:tc>
          <w:tcPr/>
          <w:p>
            <w:pPr>
              <w:pStyle w:val="Compact"/>
            </w:pPr>
            <w:r>
              <w:t xml:space="preserve">Product Owner</w:t>
            </w:r>
          </w:p>
        </w:tc>
        <w:tc>
          <w:tcPr/>
          <w:p>
            <w:pPr>
              <w:pStyle w:val="Compact"/>
            </w:pPr>
            <w:r>
              <w:t xml:space="preserve">Accountable for vision, scope, Software Requirements Specification (SRS) baseline sign-off, and phase-gate decisions</w:t>
            </w:r>
          </w:p>
        </w:tc>
        <w:tc>
          <w:tcPr/>
          <w:p>
            <w:pPr>
              <w:pStyle w:val="Compact"/>
            </w:pPr>
            <w:r>
              <w:t xml:space="preserve">High</w:t>
            </w:r>
          </w:p>
        </w:tc>
        <w:tc>
          <w:tcPr/>
          <w:p>
            <w:pPr>
              <w:pStyle w:val="Compact"/>
            </w:pPr>
            <w:r>
              <w:t xml:space="preserve">The product holds to the four acceptance criteria — privacy, durability, beauty, and command — at every gate</w:t>
            </w:r>
          </w:p>
        </w:tc>
      </w:tr>
      <w:tr>
        <w:tc>
          <w:tcPr/>
          <w:p>
            <w:pPr>
              <w:pStyle w:val="Compact"/>
            </w:pPr>
            <w:r>
              <w:t xml:space="preserve">STK-02</w:t>
            </w:r>
          </w:p>
        </w:tc>
        <w:tc>
          <w:tcPr/>
          <w:p>
            <w:pPr>
              <w:pStyle w:val="Compact"/>
            </w:pPr>
            <w:r>
              <w:t xml:space="preserve">Engineering Lead</w:t>
            </w:r>
          </w:p>
        </w:tc>
        <w:tc>
          <w:tcPr/>
          <w:p>
            <w:pPr>
              <w:pStyle w:val="Compact"/>
            </w:pPr>
            <w:r>
              <w:t xml:space="preserve">Runtime and Architecture Owner</w:t>
            </w:r>
          </w:p>
        </w:tc>
        <w:tc>
          <w:tcPr/>
          <w:p>
            <w:pPr>
              <w:pStyle w:val="Compact"/>
            </w:pPr>
            <w:r>
              <w:t xml:space="preserve">Responsible for the .NET runtime, Architecture Decision Records (ADRs) including ADR-0010 through ADR-0012 (LAN host, classroom identity, school-managed AI), and risk spikes</w:t>
            </w:r>
          </w:p>
        </w:tc>
        <w:tc>
          <w:tcPr/>
          <w:p>
            <w:pPr>
              <w:pStyle w:val="Compact"/>
            </w:pPr>
            <w:r>
              <w:t xml:space="preserve">High</w:t>
            </w:r>
          </w:p>
        </w:tc>
        <w:tc>
          <w:tcPr/>
          <w:p>
            <w:pPr>
              <w:pStyle w:val="Compact"/>
            </w:pPr>
            <w:r>
              <w:t xml:space="preserve">Each spike retires its risk before its architecture is baselined; the LAN listener stays opt-in and scoped</w:t>
            </w:r>
          </w:p>
        </w:tc>
      </w:tr>
      <w:tr>
        <w:tc>
          <w:tcPr/>
          <w:p>
            <w:pPr>
              <w:pStyle w:val="Compact"/>
            </w:pPr>
            <w:r>
              <w:t xml:space="preserve">STK-03</w:t>
            </w:r>
          </w:p>
        </w:tc>
        <w:tc>
          <w:tcPr/>
          <w:p>
            <w:pPr>
              <w:pStyle w:val="Compact"/>
            </w:pPr>
            <w:r>
              <w:t xml:space="preserve">AI Engineer</w:t>
            </w:r>
          </w:p>
        </w:tc>
        <w:tc>
          <w:tcPr/>
          <w:p>
            <w:pPr>
              <w:pStyle w:val="Compact"/>
            </w:pPr>
            <w:r>
              <w:t xml:space="preserve">AI Gateway Owner</w:t>
            </w:r>
          </w:p>
        </w:tc>
        <w:tc>
          <w:tcPr/>
          <w:p>
            <w:pPr>
              <w:pStyle w:val="Compact"/>
            </w:pPr>
            <w:r>
              <w:t xml:space="preserve">Responsible for the provider-neutral AI gateway, privacy tiers, embeddings, payload preview, and the classroom AI proxy</w:t>
            </w:r>
          </w:p>
        </w:tc>
        <w:tc>
          <w:tcPr/>
          <w:p>
            <w:pPr>
              <w:pStyle w:val="Compact"/>
            </w:pPr>
            <w:r>
              <w:t xml:space="preserve">High</w:t>
            </w:r>
          </w:p>
        </w:tc>
        <w:tc>
          <w:tcPr/>
          <w:p>
            <w:pPr>
              <w:pStyle w:val="Compact"/>
            </w:pPr>
            <w:r>
              <w:t xml:space="preserve">No document content leaves a device unless the user — or, in classrooms, the administrator policy plus the student's preview — explicitly permits that operation</w:t>
            </w:r>
          </w:p>
        </w:tc>
      </w:tr>
      <w:tr>
        <w:tc>
          <w:tcPr/>
          <w:p>
            <w:pPr>
              <w:pStyle w:val="Compact"/>
            </w:pPr>
            <w:r>
              <w:t xml:space="preserve">STK-04</w:t>
            </w:r>
          </w:p>
        </w:tc>
        <w:tc>
          <w:tcPr/>
          <w:p>
            <w:pPr>
              <w:pStyle w:val="Compact"/>
            </w:pPr>
            <w:r>
              <w:t xml:space="preserve">QA / Verification Engineer</w:t>
            </w:r>
          </w:p>
        </w:tc>
        <w:tc>
          <w:tcPr/>
          <w:p>
            <w:pPr>
              <w:pStyle w:val="Compact"/>
            </w:pPr>
            <w:r>
              <w:t xml:space="preserve">Quality and Release-Gate Owner</w:t>
            </w:r>
          </w:p>
        </w:tc>
        <w:tc>
          <w:tcPr/>
          <w:p>
            <w:pPr>
              <w:pStyle w:val="Compact"/>
            </w:pPr>
            <w:r>
              <w:t xml:space="preserve">Responsible for the golden corpus, the 616-test suite, the Phase 13 AI evaluation harness, and the release gates including Phase 20 NFR acceptance on W-REF-01/M-REF-01</w:t>
            </w:r>
          </w:p>
        </w:tc>
        <w:tc>
          <w:tcPr/>
          <w:p>
            <w:pPr>
              <w:pStyle w:val="Compact"/>
            </w:pPr>
            <w:r>
              <w:t xml:space="preserve">High</w:t>
            </w:r>
          </w:p>
        </w:tc>
        <w:tc>
          <w:tcPr/>
          <w:p>
            <w:pPr>
              <w:pStyle w:val="Compact"/>
            </w:pPr>
            <w:r>
              <w:t xml:space="preserve">Every baselined functional requirement (FR) has a deterministic test case with a clear pass or fail criterion</w:t>
            </w:r>
          </w:p>
        </w:tc>
      </w:tr>
      <w:tr>
        <w:tc>
          <w:tcPr/>
          <w:p>
            <w:pPr>
              <w:pStyle w:val="Compact"/>
            </w:pPr>
            <w:r>
              <w:t xml:space="preserve">STK-05</w:t>
            </w:r>
          </w:p>
        </w:tc>
        <w:tc>
          <w:tcPr/>
          <w:p>
            <w:pPr>
              <w:pStyle w:val="Compact"/>
            </w:pPr>
            <w:r>
              <w:t xml:space="preserve">Design / UX Engineer</w:t>
            </w:r>
          </w:p>
        </w:tc>
        <w:tc>
          <w:tcPr/>
          <w:p>
            <w:pPr>
              <w:pStyle w:val="Compact"/>
            </w:pPr>
            <w:r>
              <w:t xml:space="preserve">Experience Owner</w:t>
            </w:r>
          </w:p>
        </w:tc>
        <w:tc>
          <w:tcPr/>
          <w:p>
            <w:pPr>
              <w:pStyle w:val="Compact"/>
            </w:pPr>
            <w:r>
              <w:t xml:space="preserve">Responsible for the calm-control user experience (UX), reader experience, 3D shelf, classroom join and dashboard surfaces, and accessibility</w:t>
            </w:r>
          </w:p>
        </w:tc>
        <w:tc>
          <w:tcPr/>
          <w:p>
            <w:pPr>
              <w:pStyle w:val="Compact"/>
            </w:pPr>
            <w:r>
              <w:t xml:space="preserve">High</w:t>
            </w:r>
          </w:p>
        </w:tc>
        <w:tc>
          <w:tcPr/>
          <w:p>
            <w:pPr>
              <w:pStyle w:val="Compact"/>
            </w:pPr>
            <w:r>
              <w:t xml:space="preserve">The interface meets Web Content Accessibility Guidelines (WCAG) 2.2 AA and stays calm for collections of 10,000 or more books</w:t>
            </w:r>
          </w:p>
        </w:tc>
      </w:tr>
    </w:tbl>
    <w:bookmarkEnd w:id="9"/>
    <w:bookmarkStart w:id="10" w:name="external-user-personas"/>
    <w:p>
      <w:pPr>
        <w:pStyle w:val="Heading3"/>
      </w:pPr>
      <w:r>
        <w:t xml:space="preserve">External User Personas</w:t>
      </w:r>
    </w:p>
    <w:p>
      <w:pPr>
        <w:pStyle w:val="FirstParagraph"/>
      </w:pPr>
      <w:r>
        <w:t xml:space="preserve">These stakeholders do not build the product; their stated jobs are the source of every functional requirement. They are consulted and informed, not accountable for delivery decisions. STK-11 through STK-13 are new in v2.0 for the classroom product (FR-LAN, FR-CLIENT, FR-ADMIN modules).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Stakeholder</w:t>
            </w:r>
          </w:p>
        </w:tc>
        <w:tc>
          <w:tcPr/>
          <w:p>
            <w:pPr>
              <w:pStyle w:val="Compact"/>
            </w:pPr>
            <w:r>
              <w:t xml:space="preserve">Role</w:t>
            </w:r>
          </w:p>
        </w:tc>
        <w:tc>
          <w:tcPr/>
          <w:p>
            <w:pPr>
              <w:pStyle w:val="Compact"/>
            </w:pPr>
            <w:r>
              <w:t xml:space="preserve">Interest</w:t>
            </w:r>
          </w:p>
        </w:tc>
        <w:tc>
          <w:tcPr/>
          <w:p>
            <w:pPr>
              <w:pStyle w:val="Compact"/>
            </w:pPr>
            <w:r>
              <w:t xml:space="preserve">Influence</w:t>
            </w:r>
          </w:p>
        </w:tc>
        <w:tc>
          <w:tcPr/>
          <w:p>
            <w:pPr>
              <w:pStyle w:val="Compact"/>
            </w:pPr>
            <w:r>
              <w:t xml:space="preserve">Primary Concern</w:t>
            </w:r>
          </w:p>
        </w:tc>
      </w:tr>
      <w:tr>
        <w:tc>
          <w:tcPr/>
          <w:p>
            <w:pPr>
              <w:pStyle w:val="Compact"/>
            </w:pPr>
            <w:r>
              <w:t xml:space="preserve">STK-06</w:t>
            </w:r>
          </w:p>
        </w:tc>
        <w:tc>
          <w:tcPr/>
          <w:p>
            <w:pPr>
              <w:pStyle w:val="Compact"/>
            </w:pPr>
            <w:r>
              <w:t xml:space="preserve">Serious Reader</w:t>
            </w:r>
          </w:p>
        </w:tc>
        <w:tc>
          <w:tcPr/>
          <w:p>
            <w:pPr>
              <w:pStyle w:val="Compact"/>
            </w:pPr>
            <w:r>
              <w:t xml:space="preserve">Long-term Collection Owner</w:t>
            </w:r>
          </w:p>
        </w:tc>
        <w:tc>
          <w:tcPr/>
          <w:p>
            <w:pPr>
              <w:pStyle w:val="Compact"/>
            </w:pPr>
            <w:r>
              <w:t xml:space="preserve">Re-discover and continue books through the 3D shelf, grid view, reading progress, shelves, and statistics</w:t>
            </w:r>
          </w:p>
        </w:tc>
        <w:tc>
          <w:tcPr/>
          <w:p>
            <w:pPr>
              <w:pStyle w:val="Compact"/>
            </w:pPr>
            <w:r>
              <w:t xml:space="preserve">Low</w:t>
            </w:r>
          </w:p>
        </w:tc>
        <w:tc>
          <w:tcPr/>
          <w:p>
            <w:pPr>
              <w:pStyle w:val="Compact"/>
            </w:pPr>
            <w:r>
              <w:t xml:space="preserve">Can find, resume, and browse books without remembering file names</w:t>
            </w:r>
          </w:p>
        </w:tc>
      </w:tr>
      <w:tr>
        <w:tc>
          <w:tcPr/>
          <w:p>
            <w:pPr>
              <w:pStyle w:val="Compact"/>
            </w:pPr>
            <w:r>
              <w:t xml:space="preserve">STK-07</w:t>
            </w:r>
          </w:p>
        </w:tc>
        <w:tc>
          <w:tcPr/>
          <w:p>
            <w:pPr>
              <w:pStyle w:val="Compact"/>
            </w:pPr>
            <w:r>
              <w:t xml:space="preserve">Researcher</w:t>
            </w:r>
          </w:p>
        </w:tc>
        <w:tc>
          <w:tcPr/>
          <w:p>
            <w:pPr>
              <w:pStyle w:val="Compact"/>
            </w:pPr>
            <w:r>
              <w:t xml:space="preserve">Knowledge Worker</w:t>
            </w:r>
          </w:p>
        </w:tc>
        <w:tc>
          <w:tcPr/>
          <w:p>
            <w:pPr>
              <w:pStyle w:val="Compact"/>
            </w:pPr>
            <w:r>
              <w:t xml:space="preserve">Move from a topic to the right source through full-text search, semantic search, the AI advisor, annotations, and citation export</w:t>
            </w:r>
          </w:p>
        </w:tc>
        <w:tc>
          <w:tcPr/>
          <w:p>
            <w:pPr>
              <w:pStyle w:val="Compact"/>
            </w:pPr>
            <w:r>
              <w:t xml:space="preserve">Low</w:t>
            </w:r>
          </w:p>
        </w:tc>
        <w:tc>
          <w:tcPr/>
          <w:p>
            <w:pPr>
              <w:pStyle w:val="Compact"/>
            </w:pPr>
            <w:r>
              <w:t xml:space="preserve">Time from search intent to a relevant source is measured in seconds, not minutes</w:t>
            </w:r>
          </w:p>
        </w:tc>
      </w:tr>
      <w:tr>
        <w:tc>
          <w:tcPr/>
          <w:p>
            <w:pPr>
              <w:pStyle w:val="Compact"/>
            </w:pPr>
            <w:r>
              <w:t xml:space="preserve">STK-08</w:t>
            </w:r>
          </w:p>
        </w:tc>
        <w:tc>
          <w:tcPr/>
          <w:p>
            <w:pPr>
              <w:pStyle w:val="Compact"/>
            </w:pPr>
            <w:r>
              <w:t xml:space="preserve">Collector</w:t>
            </w:r>
          </w:p>
        </w:tc>
        <w:tc>
          <w:tcPr/>
          <w:p>
            <w:pPr>
              <w:pStyle w:val="Compact"/>
            </w:pPr>
            <w:r>
              <w:t xml:space="preserve">Metadata Steward</w:t>
            </w:r>
          </w:p>
        </w:tc>
        <w:tc>
          <w:tcPr/>
          <w:p>
            <w:pPr>
              <w:pStyle w:val="Compact"/>
            </w:pPr>
            <w:r>
              <w:t xml:space="preserve">Repair, enrich, export, and write metadata safely through International Standard Book Number (ISBN) detection, provider lookup, the metadata editor, and backups</w:t>
            </w:r>
          </w:p>
        </w:tc>
        <w:tc>
          <w:tcPr/>
          <w:p>
            <w:pPr>
              <w:pStyle w:val="Compact"/>
            </w:pPr>
            <w:r>
              <w:t xml:space="preserve">Low</w:t>
            </w:r>
          </w:p>
        </w:tc>
        <w:tc>
          <w:tcPr/>
          <w:p>
            <w:pPr>
              <w:pStyle w:val="Compact"/>
            </w:pPr>
            <w:r>
              <w:t xml:space="preserve">Metadata write-back is reversible — every write creates a backup and supports restore</w:t>
            </w:r>
          </w:p>
        </w:tc>
      </w:tr>
      <w:tr>
        <w:tc>
          <w:tcPr/>
          <w:p>
            <w:pPr>
              <w:pStyle w:val="Compact"/>
            </w:pPr>
            <w:r>
              <w:t xml:space="preserve">STK-09</w:t>
            </w:r>
          </w:p>
        </w:tc>
        <w:tc>
          <w:tcPr/>
          <w:p>
            <w:pPr>
              <w:pStyle w:val="Compact"/>
            </w:pPr>
            <w:r>
              <w:t xml:space="preserve">Power Librarian</w:t>
            </w:r>
          </w:p>
        </w:tc>
        <w:tc>
          <w:tcPr/>
          <w:p>
            <w:pPr>
              <w:pStyle w:val="Compact"/>
            </w:pPr>
            <w:r>
              <w:t xml:space="preserve">Large-Collection Maintainer</w:t>
            </w:r>
          </w:p>
        </w:tc>
        <w:tc>
          <w:tcPr/>
          <w:p>
            <w:pPr>
              <w:pStyle w:val="Compact"/>
            </w:pPr>
            <w:r>
              <w:t xml:space="preserve">Audit duplicates, missing metadata, unavailable files, and broken covers through the library health dashboard and batch jobs</w:t>
            </w:r>
          </w:p>
        </w:tc>
        <w:tc>
          <w:tcPr/>
          <w:p>
            <w:pPr>
              <w:pStyle w:val="Compact"/>
            </w:pPr>
            <w:r>
              <w:t xml:space="preserve">Low</w:t>
            </w:r>
          </w:p>
        </w:tc>
        <w:tc>
          <w:tcPr/>
          <w:p>
            <w:pPr>
              <w:pStyle w:val="Compact"/>
            </w:pPr>
            <w:r>
              <w:t xml:space="preserve">Library-wide audits and batch jobs complete without corrupting catalogue state</w:t>
            </w:r>
          </w:p>
        </w:tc>
      </w:tr>
      <w:tr>
        <w:tc>
          <w:tcPr/>
          <w:p>
            <w:pPr>
              <w:pStyle w:val="Compact"/>
            </w:pPr>
            <w:r>
              <w:t xml:space="preserve">STK-10</w:t>
            </w:r>
          </w:p>
        </w:tc>
        <w:tc>
          <w:tcPr/>
          <w:p>
            <w:pPr>
              <w:pStyle w:val="Compact"/>
            </w:pPr>
            <w:r>
              <w:t xml:space="preserve">Privacy-Sensitive User</w:t>
            </w:r>
          </w:p>
        </w:tc>
        <w:tc>
          <w:tcPr/>
          <w:p>
            <w:pPr>
              <w:pStyle w:val="Compact"/>
            </w:pPr>
            <w:r>
              <w:t xml:space="preserve">Privacy-First Reader</w:t>
            </w:r>
          </w:p>
        </w:tc>
        <w:tc>
          <w:tcPr/>
          <w:p>
            <w:pPr>
              <w:pStyle w:val="Compact"/>
            </w:pPr>
            <w:r>
              <w:t xml:space="preserve">Use AI without exposing documents through privacy tiers, local embeddings, and the Privacy Center</w:t>
            </w:r>
          </w:p>
        </w:tc>
        <w:tc>
          <w:tcPr/>
          <w:p>
            <w:pPr>
              <w:pStyle w:val="Compact"/>
            </w:pPr>
            <w:r>
              <w:t xml:space="preserve">Low</w:t>
            </w:r>
          </w:p>
        </w:tc>
        <w:tc>
          <w:tcPr/>
          <w:p>
            <w:pPr>
              <w:pStyle w:val="Compact"/>
            </w:pPr>
            <w:r>
              <w:t xml:space="preserve">Can choose local-only or metadata-only AI modes and see exactly what any AI call would send</w:t>
            </w:r>
          </w:p>
        </w:tc>
      </w:tr>
      <w:tr>
        <w:tc>
          <w:tcPr/>
          <w:p>
            <w:pPr>
              <w:pStyle w:val="Compact"/>
            </w:pPr>
            <w:r>
              <w:t xml:space="preserve">STK-11</w:t>
            </w:r>
          </w:p>
        </w:tc>
        <w:tc>
          <w:tcPr/>
          <w:p>
            <w:pPr>
              <w:pStyle w:val="Compact"/>
            </w:pPr>
            <w:r>
              <w:t xml:space="preserve">Student</w:t>
            </w:r>
          </w:p>
        </w:tc>
        <w:tc>
          <w:tcPr/>
          <w:p>
            <w:pPr>
              <w:pStyle w:val="Compact"/>
            </w:pPr>
            <w:r>
              <w:t xml:space="preserve">Classroom Client User (frequently a minor)</w:t>
            </w:r>
          </w:p>
        </w:tc>
        <w:tc>
          <w:tcPr/>
          <w:p>
            <w:pPr>
              <w:pStyle w:val="Compact"/>
            </w:pPr>
            <w:r>
              <w:t xml:space="preserve">Read and search the school's shared collection from any LAN computer with a join code, streamed reading, and private per-profile notes and progress</w:t>
            </w:r>
          </w:p>
        </w:tc>
        <w:tc>
          <w:tcPr/>
          <w:p>
            <w:pPr>
              <w:pStyle w:val="Compact"/>
            </w:pPr>
            <w:r>
              <w:t xml:space="preserve">Low</w:t>
            </w:r>
          </w:p>
        </w:tc>
        <w:tc>
          <w:tcPr/>
          <w:p>
            <w:pPr>
              <w:pStyle w:val="Compact"/>
            </w:pPr>
            <w:r>
              <w:t xml:space="preserve">Their reading state and AI history stay private from other students, and every off-device AI call shows a tier label and payload preview first</w:t>
            </w:r>
          </w:p>
        </w:tc>
      </w:tr>
      <w:tr>
        <w:tc>
          <w:tcPr/>
          <w:p>
            <w:pPr>
              <w:pStyle w:val="Compact"/>
            </w:pPr>
            <w:r>
              <w:t xml:space="preserve">STK-12</w:t>
            </w:r>
          </w:p>
        </w:tc>
        <w:tc>
          <w:tcPr/>
          <w:p>
            <w:pPr>
              <w:pStyle w:val="Compact"/>
            </w:pPr>
            <w:r>
              <w:t xml:space="preserve">Teacher</w:t>
            </w:r>
          </w:p>
        </w:tc>
        <w:tc>
          <w:tcPr/>
          <w:p>
            <w:pPr>
              <w:pStyle w:val="Compact"/>
            </w:pPr>
            <w:r>
              <w:t xml:space="preserve">Class Guide</w:t>
            </w:r>
          </w:p>
        </w:tc>
        <w:tc>
          <w:tcPr/>
          <w:p>
            <w:pPr>
              <w:pStyle w:val="Compact"/>
            </w:pPr>
            <w:r>
              <w:t xml:space="preserve">Guide a class through a shared collection via shared shelves, role-scoped access, and class-level reading dashboards</w:t>
            </w:r>
          </w:p>
        </w:tc>
        <w:tc>
          <w:tcPr/>
          <w:p>
            <w:pPr>
              <w:pStyle w:val="Compact"/>
            </w:pPr>
            <w:r>
              <w:t xml:space="preserve">Low</w:t>
            </w:r>
          </w:p>
        </w:tc>
        <w:tc>
          <w:tcPr/>
          <w:p>
            <w:pPr>
              <w:pStyle w:val="Compact"/>
            </w:pPr>
            <w:r>
              <w:t xml:space="preserve">Class dashboards are aggregate by default; any per-student visibility is disclosed to the affected students</w:t>
            </w:r>
          </w:p>
        </w:tc>
      </w:tr>
      <w:tr>
        <w:tc>
          <w:tcPr/>
          <w:p>
            <w:pPr>
              <w:pStyle w:val="Compact"/>
            </w:pPr>
            <w:r>
              <w:t xml:space="preserve">STK-13</w:t>
            </w:r>
          </w:p>
        </w:tc>
        <w:tc>
          <w:tcPr/>
          <w:p>
            <w:pPr>
              <w:pStyle w:val="Compact"/>
            </w:pPr>
            <w:r>
              <w:t xml:space="preserve">School Administrator</w:t>
            </w:r>
          </w:p>
        </w:tc>
        <w:tc>
          <w:tcPr/>
          <w:p>
            <w:pPr>
              <w:pStyle w:val="Compact"/>
            </w:pPr>
            <w:r>
              <w:t xml:space="preserve">Shared-Library Operator</w:t>
            </w:r>
          </w:p>
        </w:tc>
        <w:tc>
          <w:tcPr/>
          <w:p>
            <w:pPr>
              <w:pStyle w:val="Compact"/>
            </w:pPr>
            <w:r>
              <w:t xml:space="preserve">Publish content, enroll and revoke profiles, custody the school's AI keys, set privacy tiers and quotas, and export audit evidence</w:t>
            </w:r>
          </w:p>
        </w:tc>
        <w:tc>
          <w:tcPr/>
          <w:p>
            <w:pPr>
              <w:pStyle w:val="Compact"/>
            </w:pPr>
            <w:r>
              <w:t xml:space="preserve">Low (per deployment: operates within admin-scoped requirements)</w:t>
            </w:r>
          </w:p>
        </w:tc>
        <w:tc>
          <w:tcPr/>
          <w:p>
            <w:pPr>
              <w:pStyle w:val="Compact"/>
            </w:pPr>
            <w:r>
              <w:t xml:space="preserve">The school's AI key never reaches a client, spend stays within quota, and revocation takes effect at the next connection</w:t>
            </w:r>
          </w:p>
        </w:tc>
      </w:tr>
    </w:tbl>
    <w:bookmarkEnd w:id="10"/>
    <w:bookmarkStart w:id="11" w:name="X02718a9f900420542539a2d5e6184b721cf8a05"/>
    <w:p>
      <w:pPr>
        <w:pStyle w:val="Heading3"/>
      </w:pPr>
      <w:r>
        <w:t xml:space="preserve">Institutional and Community Stakeholders (new in v2.0)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Stakeholder</w:t>
            </w:r>
          </w:p>
        </w:tc>
        <w:tc>
          <w:tcPr/>
          <w:p>
            <w:pPr>
              <w:pStyle w:val="Compact"/>
            </w:pPr>
            <w:r>
              <w:t xml:space="preserve">Role</w:t>
            </w:r>
          </w:p>
        </w:tc>
        <w:tc>
          <w:tcPr/>
          <w:p>
            <w:pPr>
              <w:pStyle w:val="Compact"/>
            </w:pPr>
            <w:r>
              <w:t xml:space="preserve">Interest</w:t>
            </w:r>
          </w:p>
        </w:tc>
        <w:tc>
          <w:tcPr/>
          <w:p>
            <w:pPr>
              <w:pStyle w:val="Compact"/>
            </w:pPr>
            <w:r>
              <w:t xml:space="preserve">Influence</w:t>
            </w:r>
          </w:p>
        </w:tc>
        <w:tc>
          <w:tcPr/>
          <w:p>
            <w:pPr>
              <w:pStyle w:val="Compact"/>
            </w:pPr>
            <w:r>
              <w:t xml:space="preserve">Primary Concern</w:t>
            </w:r>
          </w:p>
        </w:tc>
      </w:tr>
      <w:tr>
        <w:tc>
          <w:tcPr/>
          <w:p>
            <w:pPr>
              <w:pStyle w:val="Compact"/>
            </w:pPr>
            <w:r>
              <w:t xml:space="preserve">STK-14</w:t>
            </w:r>
          </w:p>
        </w:tc>
        <w:tc>
          <w:tcPr/>
          <w:p>
            <w:pPr>
              <w:pStyle w:val="Compact"/>
            </w:pPr>
            <w:r>
              <w:t xml:space="preserve">School (institution)</w:t>
            </w:r>
          </w:p>
        </w:tc>
        <w:tc>
          <w:tcPr/>
          <w:p>
            <w:pPr>
              <w:pStyle w:val="Compact"/>
            </w:pPr>
            <w:r>
              <w:t xml:space="preserve">Buyer and Data Controller</w:t>
            </w:r>
          </w:p>
        </w:tc>
        <w:tc>
          <w:tcPr/>
          <w:p>
            <w:pPr>
              <w:pStyle w:val="Compact"/>
            </w:pPr>
            <w:r>
              <w:t xml:space="preserve">Purchases classroom licensing (host + seats); determines lawful basis and jurisdiction for processing student data (SRS ASM-3, CTRL-024, CTRL-032)</w:t>
            </w:r>
          </w:p>
        </w:tc>
        <w:tc>
          <w:tcPr/>
          <w:p>
            <w:pPr>
              <w:pStyle w:val="Compact"/>
            </w:pPr>
            <w:r>
              <w:t xml:space="preserve">High (as buyer: blocks or approves classroom deployments)</w:t>
            </w:r>
          </w:p>
        </w:tc>
        <w:tc>
          <w:tcPr/>
          <w:p>
            <w:pPr>
              <w:pStyle w:val="Compact"/>
            </w:pPr>
            <w:r>
              <w:t xml:space="preserve">Minors' data is minimised, DPIA-screened, and erasable; deployment fits the school's data-protection obligations</w:t>
            </w:r>
          </w:p>
        </w:tc>
      </w:tr>
      <w:tr>
        <w:tc>
          <w:tcPr/>
          <w:p>
            <w:pPr>
              <w:pStyle w:val="Compact"/>
            </w:pPr>
            <w:r>
              <w:t xml:space="preserve">STK-15</w:t>
            </w:r>
          </w:p>
        </w:tc>
        <w:tc>
          <w:tcPr/>
          <w:p>
            <w:pPr>
              <w:pStyle w:val="Compact"/>
            </w:pPr>
            <w:r>
              <w:t xml:space="preserve">Extension Developer / Open-Source Contributor</w:t>
            </w:r>
          </w:p>
        </w:tc>
        <w:tc>
          <w:tcPr/>
          <w:p>
            <w:pPr>
              <w:pStyle w:val="Compact"/>
            </w:pPr>
            <w:r>
              <w:t xml:space="preserve">Community Builder</w:t>
            </w:r>
          </w:p>
        </w:tc>
        <w:tc>
          <w:tcPr/>
          <w:p>
            <w:pPr>
              <w:pStyle w:val="Compact"/>
            </w:pPr>
            <w:r>
              <w:t xml:space="preserve">Builds plugins against the metadata, export, OCR, and AI provider interfaces and the documented read API (FR-EXT group); contributes under the repository's</w:t>
            </w:r>
            <w:r>
              <w:t xml:space="preserve"> </w:t>
            </w:r>
            <w:r>
              <w:rPr>
                <w:rStyle w:val="VerbatimChar"/>
              </w:rPr>
              <w:t xml:space="preserve">CONTRIBUTING.md</w:t>
            </w:r>
            <w:r>
              <w:t xml:space="preserve">,</w:t>
            </w:r>
            <w:r>
              <w:t xml:space="preserve"> </w:t>
            </w:r>
            <w:r>
              <w:rPr>
                <w:rStyle w:val="VerbatimChar"/>
              </w:rPr>
              <w:t xml:space="preserve">CODE_OF_CONDUCT.md</w:t>
            </w:r>
            <w:r>
              <w:t xml:space="preserve">, and</w:t>
            </w:r>
            <w:r>
              <w:t xml:space="preserve"> </w:t>
            </w:r>
            <w:r>
              <w:rPr>
                <w:rStyle w:val="VerbatimChar"/>
              </w:rPr>
              <w:t xml:space="preserve">SECURITY.md</w:t>
            </w:r>
          </w:p>
        </w:tc>
        <w:tc>
          <w:tcPr/>
          <w:p>
            <w:pPr>
              <w:pStyle w:val="Compact"/>
            </w:pPr>
            <w:r>
              <w:t xml:space="preserve">Low</w:t>
            </w:r>
          </w:p>
        </w:tc>
        <w:tc>
          <w:tcPr/>
          <w:p>
            <w:pPr>
              <w:pStyle w:val="Compact"/>
            </w:pPr>
            <w:r>
              <w:t xml:space="preserve">Extension points are stable, documented, and privacy-safe — all extension off-device traffic routes through the AI gateway tiers</w:t>
            </w:r>
          </w:p>
        </w:tc>
      </w:tr>
      <w:tr>
        <w:tc>
          <w:tcPr/>
          <w:p>
            <w:pPr>
              <w:pStyle w:val="Compact"/>
            </w:pPr>
            <w:r>
              <w:t xml:space="preserve">STK-16</w:t>
            </w:r>
          </w:p>
        </w:tc>
        <w:tc>
          <w:tcPr/>
          <w:p>
            <w:pPr>
              <w:pStyle w:val="Compact"/>
            </w:pPr>
            <w:r>
              <w:t xml:space="preserve">Store / Platform Reviewer</w:t>
            </w:r>
          </w:p>
        </w:tc>
        <w:tc>
          <w:tcPr/>
          <w:p>
            <w:pPr>
              <w:pStyle w:val="Compact"/>
            </w:pPr>
            <w:r>
              <w:t xml:space="preserve">Distribution Gatekeeper</w:t>
            </w:r>
          </w:p>
        </w:tc>
        <w:tc>
          <w:tcPr/>
          <w:p>
            <w:pPr>
              <w:pStyle w:val="Compact"/>
            </w:pPr>
            <w:r>
              <w:t xml:space="preserve">Reviews MSIX (Microsoft Store) and notarized DMG (Mac App Store) submissions at Phase 22</w:t>
            </w:r>
          </w:p>
        </w:tc>
        <w:tc>
          <w:tcPr/>
          <w:p>
            <w:pPr>
              <w:pStyle w:val="Compact"/>
            </w:pPr>
            <w:r>
              <w:t xml:space="preserve">High (can block a channel)</w:t>
            </w:r>
          </w:p>
        </w:tc>
        <w:tc>
          <w:tcPr/>
          <w:p>
            <w:pPr>
              <w:pStyle w:val="Compact"/>
            </w:pPr>
            <w:r>
              <w:t xml:space="preserve">Builds are signed, sandbox-compliant, and privacy-declared per store policy</w:t>
            </w:r>
          </w:p>
        </w:tc>
      </w:tr>
    </w:tbl>
    <w:bookmarkEnd w:id="11"/>
    <w:bookmarkEnd w:id="12"/>
    <w:bookmarkStart w:id="15" w:name="X1dd927e75a7487a0e3288b1f78f8b33d43e7473"/>
    <w:p>
      <w:pPr>
        <w:pStyle w:val="Heading2"/>
      </w:pPr>
      <w:r>
        <w:t xml:space="preserve">Influence-Interest Matrix for Ogma Library</w:t>
      </w:r>
    </w:p>
    <w:p>
      <w:pPr>
        <w:pStyle w:val="FirstParagraph"/>
      </w:pPr>
      <w:r>
        <w:t xml:space="preserve">This matrix classifies each stakeholder across 4 engagement quadrants derived from the Power-Interest Grid (Mendelow, 1981).</w:t>
      </w:r>
      <w:r>
        <w:t xml:space="preserve"> </w:t>
      </w:r>
      <w:r>
        <w:rPr>
          <w:i/>
          <w:iCs/>
        </w:rPr>
        <w:t xml:space="preserve">Influence</w:t>
      </w:r>
      <w:r>
        <w:t xml:space="preserve"> </w:t>
      </w:r>
      <w:r>
        <w:t xml:space="preserve">measures authority to shape requirements, scope, or release decisions.</w:t>
      </w:r>
      <w:r>
        <w:t xml:space="preserve"> </w:t>
      </w:r>
      <w:r>
        <w:rPr>
          <w:i/>
          <w:iCs/>
        </w:rPr>
        <w:t xml:space="preserve">Interest</w:t>
      </w:r>
      <w:r>
        <w:t xml:space="preserve"> </w:t>
      </w:r>
      <w:r>
        <w:t xml:space="preserve">measures how directly the product's output affects the stakeholder's daily work.</w:t>
      </w:r>
    </w:p>
    <w:bookmarkStart w:id="13" w:name="quadrant-definitions"/>
    <w:p>
      <w:pPr>
        <w:pStyle w:val="Heading3"/>
      </w:pPr>
      <w:r>
        <w:t xml:space="preserve">Quadrant Definitions</w:t>
      </w:r>
    </w:p>
    <w:p>
      <w:pPr>
        <w:pStyle w:val="Compact"/>
        <w:numPr>
          <w:ilvl w:val="0"/>
          <w:numId w:val="1001"/>
        </w:numPr>
      </w:pPr>
      <w:r>
        <w:rPr>
          <w:b/>
          <w:bCs/>
        </w:rPr>
        <w:t xml:space="preserve">Manage Closely</w:t>
      </w:r>
      <w:r>
        <w:t xml:space="preserve"> </w:t>
      </w:r>
      <w:r>
        <w:t xml:space="preserve">— High Influence, High Interest: primary engagement targets; every requirement traces to their stated needs and they participate in every relevant gate.</w:t>
      </w:r>
    </w:p>
    <w:p>
      <w:pPr>
        <w:pStyle w:val="Compact"/>
        <w:numPr>
          <w:ilvl w:val="0"/>
          <w:numId w:val="1001"/>
        </w:numPr>
      </w:pPr>
      <w:r>
        <w:rPr>
          <w:b/>
          <w:bCs/>
        </w:rPr>
        <w:t xml:space="preserve">Keep Satisfied</w:t>
      </w:r>
      <w:r>
        <w:t xml:space="preserve"> </w:t>
      </w:r>
      <w:r>
        <w:t xml:space="preserve">— High Influence, Low Interest: engaged at key milestones to prevent blocking decisions; not involved in day-to-day detail.</w:t>
      </w:r>
    </w:p>
    <w:p>
      <w:pPr>
        <w:pStyle w:val="Compact"/>
        <w:numPr>
          <w:ilvl w:val="0"/>
          <w:numId w:val="1001"/>
        </w:numPr>
      </w:pPr>
      <w:r>
        <w:rPr>
          <w:b/>
          <w:bCs/>
        </w:rPr>
        <w:t xml:space="preserve">Keep Informed</w:t>
      </w:r>
      <w:r>
        <w:t xml:space="preserve"> </w:t>
      </w:r>
      <w:r>
        <w:t xml:space="preserve">— Low Influence, High Interest: frequent communication ensures the product matches their jobs; feedback is captured but does not unilaterally gate delivery.</w:t>
      </w:r>
    </w:p>
    <w:p>
      <w:pPr>
        <w:pStyle w:val="Compact"/>
        <w:numPr>
          <w:ilvl w:val="0"/>
          <w:numId w:val="1001"/>
        </w:numPr>
      </w:pPr>
      <w:r>
        <w:rPr>
          <w:b/>
          <w:bCs/>
        </w:rPr>
        <w:t xml:space="preserve">Monitor</w:t>
      </w:r>
      <w:r>
        <w:t xml:space="preserve"> </w:t>
      </w:r>
      <w:r>
        <w:t xml:space="preserve">— Low Influence, Low Interest: passive stakeholders, notified of outcomes that affect them.</w:t>
      </w:r>
    </w:p>
    <w:bookmarkEnd w:id="13"/>
    <w:bookmarkStart w:id="14" w:name="classification"/>
    <w:p>
      <w:pPr>
        <w:pStyle w:val="Heading3"/>
      </w:pPr>
      <w:r>
        <w:t xml:space="preserve">Classification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Stakeholder</w:t>
            </w:r>
          </w:p>
        </w:tc>
        <w:tc>
          <w:tcPr/>
          <w:p>
            <w:pPr>
              <w:pStyle w:val="Compact"/>
            </w:pPr>
            <w:r>
              <w:t xml:space="preserve">Influence</w:t>
            </w:r>
          </w:p>
        </w:tc>
        <w:tc>
          <w:tcPr/>
          <w:p>
            <w:pPr>
              <w:pStyle w:val="Compact"/>
            </w:pPr>
            <w:r>
              <w:t xml:space="preserve">Interest</w:t>
            </w:r>
          </w:p>
        </w:tc>
        <w:tc>
          <w:tcPr/>
          <w:p>
            <w:pPr>
              <w:pStyle w:val="Compact"/>
            </w:pPr>
            <w:r>
              <w:t xml:space="preserve">Quadrant</w:t>
            </w:r>
          </w:p>
        </w:tc>
        <w:tc>
          <w:tcPr/>
          <w:p>
            <w:pPr>
              <w:pStyle w:val="Compact"/>
            </w:pPr>
            <w:r>
              <w:t xml:space="preserve">Engagement Strategy</w:t>
            </w:r>
          </w:p>
        </w:tc>
      </w:tr>
      <w:tr>
        <w:tc>
          <w:tcPr/>
          <w:p>
            <w:pPr>
              <w:pStyle w:val="Compact"/>
            </w:pPr>
            <w:r>
              <w:t xml:space="preserve">STK-01</w:t>
            </w:r>
          </w:p>
        </w:tc>
        <w:tc>
          <w:tcPr/>
          <w:p>
            <w:pPr>
              <w:pStyle w:val="Compact"/>
            </w:pPr>
            <w:r>
              <w:t xml:space="preserve">Peter Bamuhigire (Product Owner)</w:t>
            </w:r>
          </w:p>
        </w:tc>
        <w:tc>
          <w:tcPr/>
          <w:p>
            <w:pPr>
              <w:pStyle w:val="Compact"/>
            </w:pPr>
            <w:r>
              <w:t xml:space="preserve">High</w:t>
            </w:r>
          </w:p>
        </w:tc>
        <w:tc>
          <w:tcPr/>
          <w:p>
            <w:pPr>
              <w:pStyle w:val="Compact"/>
            </w:pPr>
            <w:r>
              <w:t xml:space="preserve">High</w:t>
            </w:r>
          </w:p>
        </w:tc>
        <w:tc>
          <w:tcPr/>
          <w:p>
            <w:pPr>
              <w:pStyle w:val="Compact"/>
            </w:pPr>
            <w:r>
              <w:t xml:space="preserve">Manage Closely</w:t>
            </w:r>
          </w:p>
        </w:tc>
        <w:tc>
          <w:tcPr/>
          <w:p>
            <w:pPr>
              <w:pStyle w:val="Compact"/>
            </w:pPr>
            <w:r>
              <w:t xml:space="preserve">Sole accountability for the SRS baseline and every phase gate; reviews each phase-closure artefact before sign-off.</w:t>
            </w:r>
          </w:p>
        </w:tc>
      </w:tr>
      <w:tr>
        <w:tc>
          <w:tcPr/>
          <w:p>
            <w:pPr>
              <w:pStyle w:val="Compact"/>
            </w:pPr>
            <w:r>
              <w:t xml:space="preserve">STK-02</w:t>
            </w:r>
          </w:p>
        </w:tc>
        <w:tc>
          <w:tcPr/>
          <w:p>
            <w:pPr>
              <w:pStyle w:val="Compact"/>
            </w:pPr>
            <w:r>
              <w:t xml:space="preserve">Engineering Lead</w:t>
            </w:r>
          </w:p>
        </w:tc>
        <w:tc>
          <w:tcPr/>
          <w:p>
            <w:pPr>
              <w:pStyle w:val="Compact"/>
            </w:pPr>
            <w:r>
              <w:t xml:space="preserve">High</w:t>
            </w:r>
          </w:p>
        </w:tc>
        <w:tc>
          <w:tcPr/>
          <w:p>
            <w:pPr>
              <w:pStyle w:val="Compact"/>
            </w:pPr>
            <w:r>
              <w:t xml:space="preserve">High</w:t>
            </w:r>
          </w:p>
        </w:tc>
        <w:tc>
          <w:tcPr/>
          <w:p>
            <w:pPr>
              <w:pStyle w:val="Compact"/>
            </w:pPr>
            <w:r>
              <w:t xml:space="preserve">Manage Closely</w:t>
            </w:r>
          </w:p>
        </w:tc>
        <w:tc>
          <w:tcPr/>
          <w:p>
            <w:pPr>
              <w:pStyle w:val="Compact"/>
            </w:pPr>
            <w:r>
              <w:t xml:space="preserve">Authors and ratifies ADRs, including ADR-0010–0012 for the LAN/classroom track; presents each spike outcome at the spike-closure gate.</w:t>
            </w:r>
          </w:p>
        </w:tc>
      </w:tr>
      <w:tr>
        <w:tc>
          <w:tcPr/>
          <w:p>
            <w:pPr>
              <w:pStyle w:val="Compact"/>
            </w:pPr>
            <w:r>
              <w:t xml:space="preserve">STK-03</w:t>
            </w:r>
          </w:p>
        </w:tc>
        <w:tc>
          <w:tcPr/>
          <w:p>
            <w:pPr>
              <w:pStyle w:val="Compact"/>
            </w:pPr>
            <w:r>
              <w:t xml:space="preserve">AI Engineer</w:t>
            </w:r>
          </w:p>
        </w:tc>
        <w:tc>
          <w:tcPr/>
          <w:p>
            <w:pPr>
              <w:pStyle w:val="Compact"/>
            </w:pPr>
            <w:r>
              <w:t xml:space="preserve">High</w:t>
            </w:r>
          </w:p>
        </w:tc>
        <w:tc>
          <w:tcPr/>
          <w:p>
            <w:pPr>
              <w:pStyle w:val="Compact"/>
            </w:pPr>
            <w:r>
              <w:t xml:space="preserve">High</w:t>
            </w:r>
          </w:p>
        </w:tc>
        <w:tc>
          <w:tcPr/>
          <w:p>
            <w:pPr>
              <w:pStyle w:val="Compact"/>
            </w:pPr>
            <w:r>
              <w:t xml:space="preserve">Manage Closely</w:t>
            </w:r>
          </w:p>
        </w:tc>
        <w:tc>
          <w:tcPr/>
          <w:p>
            <w:pPr>
              <w:pStyle w:val="Compact"/>
            </w:pPr>
            <w:r>
              <w:t xml:space="preserve">Owns privacy-tier design, payload preview, and the classroom AI proxy; presents the gateway evidence before any AI feature is baselined.</w:t>
            </w:r>
          </w:p>
        </w:tc>
      </w:tr>
      <w:tr>
        <w:tc>
          <w:tcPr/>
          <w:p>
            <w:pPr>
              <w:pStyle w:val="Compact"/>
            </w:pPr>
            <w:r>
              <w:t xml:space="preserve">STK-04</w:t>
            </w:r>
          </w:p>
        </w:tc>
        <w:tc>
          <w:tcPr/>
          <w:p>
            <w:pPr>
              <w:pStyle w:val="Compact"/>
            </w:pPr>
            <w:r>
              <w:t xml:space="preserve">QA / Verification Engineer</w:t>
            </w:r>
          </w:p>
        </w:tc>
        <w:tc>
          <w:tcPr/>
          <w:p>
            <w:pPr>
              <w:pStyle w:val="Compact"/>
            </w:pPr>
            <w:r>
              <w:t xml:space="preserve">High</w:t>
            </w:r>
          </w:p>
        </w:tc>
        <w:tc>
          <w:tcPr/>
          <w:p>
            <w:pPr>
              <w:pStyle w:val="Compact"/>
            </w:pPr>
            <w:r>
              <w:t xml:space="preserve">High</w:t>
            </w:r>
          </w:p>
        </w:tc>
        <w:tc>
          <w:tcPr/>
          <w:p>
            <w:pPr>
              <w:pStyle w:val="Compact"/>
            </w:pPr>
            <w:r>
              <w:t xml:space="preserve">Manage Closely</w:t>
            </w:r>
          </w:p>
        </w:tc>
        <w:tc>
          <w:tcPr/>
          <w:p>
            <w:pPr>
              <w:pStyle w:val="Compact"/>
            </w:pPr>
            <w:r>
              <w:t xml:space="preserve">Owns golden-corpus coverage and release-gate criteria, including the Phase 20 W-REF-01/M-REF-01 acceptance run; no release proceeds without a passing gate.</w:t>
            </w:r>
          </w:p>
        </w:tc>
      </w:tr>
      <w:tr>
        <w:tc>
          <w:tcPr/>
          <w:p>
            <w:pPr>
              <w:pStyle w:val="Compact"/>
            </w:pPr>
            <w:r>
              <w:t xml:space="preserve">STK-05</w:t>
            </w:r>
          </w:p>
        </w:tc>
        <w:tc>
          <w:tcPr/>
          <w:p>
            <w:pPr>
              <w:pStyle w:val="Compact"/>
            </w:pPr>
            <w:r>
              <w:t xml:space="preserve">Design / UX Engineer</w:t>
            </w:r>
          </w:p>
        </w:tc>
        <w:tc>
          <w:tcPr/>
          <w:p>
            <w:pPr>
              <w:pStyle w:val="Compact"/>
            </w:pPr>
            <w:r>
              <w:t xml:space="preserve">High</w:t>
            </w:r>
          </w:p>
        </w:tc>
        <w:tc>
          <w:tcPr/>
          <w:p>
            <w:pPr>
              <w:pStyle w:val="Compact"/>
            </w:pPr>
            <w:r>
              <w:t xml:space="preserve">High</w:t>
            </w:r>
          </w:p>
        </w:tc>
        <w:tc>
          <w:tcPr/>
          <w:p>
            <w:pPr>
              <w:pStyle w:val="Compact"/>
            </w:pPr>
            <w:r>
              <w:t xml:space="preserve">Manage Closely</w:t>
            </w:r>
          </w:p>
        </w:tc>
        <w:tc>
          <w:tcPr/>
          <w:p>
            <w:pPr>
              <w:pStyle w:val="Compact"/>
            </w:pPr>
            <w:r>
              <w:t xml:space="preserve">Owns calm-control UX and WCAG 2.2 AA conformance (Phase 21 audit); reviews every reader- and classroom-facing flow before its gate.</w:t>
            </w:r>
          </w:p>
        </w:tc>
      </w:tr>
      <w:tr>
        <w:tc>
          <w:tcPr/>
          <w:p>
            <w:pPr>
              <w:pStyle w:val="Compact"/>
            </w:pPr>
            <w:r>
              <w:t xml:space="preserve">STK-06</w:t>
            </w:r>
          </w:p>
        </w:tc>
        <w:tc>
          <w:tcPr/>
          <w:p>
            <w:pPr>
              <w:pStyle w:val="Compact"/>
            </w:pPr>
            <w:r>
              <w:t xml:space="preserve">Serious Reader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Usability testing on 3D shelf, grid, list, and progress flows against the</w:t>
            </w:r>
            <w:r>
              <w:t xml:space="preserve"> </w:t>
            </w:r>
            <w:r>
              <w:rPr>
                <w:i/>
                <w:iCs/>
              </w:rPr>
              <w:t xml:space="preserve">visible</w:t>
            </w:r>
            <w:r>
              <w:t xml:space="preserve"> </w:t>
            </w:r>
            <w:r>
              <w:t xml:space="preserve">and</w:t>
            </w:r>
            <w:r>
              <w:t xml:space="preserve"> </w:t>
            </w:r>
            <w:r>
              <w:rPr>
                <w:i/>
                <w:iCs/>
              </w:rPr>
              <w:t xml:space="preserve">usable</w:t>
            </w:r>
            <w:r>
              <w:t xml:space="preserve"> </w:t>
            </w:r>
            <w:r>
              <w:t xml:space="preserve">promises.</w:t>
            </w:r>
          </w:p>
        </w:tc>
      </w:tr>
      <w:tr>
        <w:tc>
          <w:tcPr/>
          <w:p>
            <w:pPr>
              <w:pStyle w:val="Compact"/>
            </w:pPr>
            <w:r>
              <w:t xml:space="preserve">STK-07</w:t>
            </w:r>
          </w:p>
        </w:tc>
        <w:tc>
          <w:tcPr/>
          <w:p>
            <w:pPr>
              <w:pStyle w:val="Compact"/>
            </w:pPr>
            <w:r>
              <w:t xml:space="preserve">Researcher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Search-relevance and advisor evaluation against the golden corpus and Phase 13 harness; gates the</w:t>
            </w:r>
            <w:r>
              <w:t xml:space="preserve"> </w:t>
            </w:r>
            <w:r>
              <w:rPr>
                <w:i/>
                <w:iCs/>
              </w:rPr>
              <w:t xml:space="preserve">intelligent</w:t>
            </w:r>
            <w:r>
              <w:t xml:space="preserve"> </w:t>
            </w:r>
            <w:r>
              <w:t xml:space="preserve">promise, not the schedule.</w:t>
            </w:r>
          </w:p>
        </w:tc>
      </w:tr>
      <w:tr>
        <w:tc>
          <w:tcPr/>
          <w:p>
            <w:pPr>
              <w:pStyle w:val="Compact"/>
            </w:pPr>
            <w:r>
              <w:t xml:space="preserve">STK-08</w:t>
            </w:r>
          </w:p>
        </w:tc>
        <w:tc>
          <w:tcPr/>
          <w:p>
            <w:pPr>
              <w:pStyle w:val="Compact"/>
            </w:pPr>
            <w:r>
              <w:t xml:space="preserve">Collector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Metadata-repair and write-back-reversibility testing; gates the reversibility criterion.</w:t>
            </w:r>
          </w:p>
        </w:tc>
      </w:tr>
      <w:tr>
        <w:tc>
          <w:tcPr/>
          <w:p>
            <w:pPr>
              <w:pStyle w:val="Compact"/>
            </w:pPr>
            <w:r>
              <w:t xml:space="preserve">STK-09</w:t>
            </w:r>
          </w:p>
        </w:tc>
        <w:tc>
          <w:tcPr/>
          <w:p>
            <w:pPr>
              <w:pStyle w:val="Compact"/>
            </w:pPr>
            <w:r>
              <w:t xml:space="preserve">Power Librarian</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Large-collection and batch-job testing; drives the health-dashboard requirements.</w:t>
            </w:r>
          </w:p>
        </w:tc>
      </w:tr>
      <w:tr>
        <w:tc>
          <w:tcPr/>
          <w:p>
            <w:pPr>
              <w:pStyle w:val="Compact"/>
            </w:pPr>
            <w:r>
              <w:t xml:space="preserve">STK-10</w:t>
            </w:r>
          </w:p>
        </w:tc>
        <w:tc>
          <w:tcPr/>
          <w:p>
            <w:pPr>
              <w:pStyle w:val="Compact"/>
            </w:pPr>
            <w:r>
              <w:t xml:space="preserve">Privacy-Sensitive User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Privacy-tier, payload-preview, and Privacy Center testing; gates the local-only and metadata-only acceptance criteria.</w:t>
            </w:r>
          </w:p>
        </w:tc>
      </w:tr>
      <w:tr>
        <w:tc>
          <w:tcPr/>
          <w:p>
            <w:pPr>
              <w:pStyle w:val="Compact"/>
            </w:pPr>
            <w:r>
              <w:t xml:space="preserve">STK-11</w:t>
            </w:r>
          </w:p>
        </w:tc>
        <w:tc>
          <w:tcPr/>
          <w:p>
            <w:pPr>
              <w:pStyle w:val="Compact"/>
            </w:pPr>
            <w:r>
              <w:t xml:space="preserve">Student</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Represented through classroom-client testing (join, streamed reading, private state, disclosed dashboards); their privacy concerns are baselined as CTRL-029 and CTRL-032, so protection does not depend on their voice in the room.</w:t>
            </w:r>
          </w:p>
        </w:tc>
      </w:tr>
      <w:tr>
        <w:tc>
          <w:tcPr/>
          <w:p>
            <w:pPr>
              <w:pStyle w:val="Compact"/>
            </w:pPr>
            <w:r>
              <w:t xml:space="preserve">STK-12</w:t>
            </w:r>
          </w:p>
        </w:tc>
        <w:tc>
          <w:tcPr/>
          <w:p>
            <w:pPr>
              <w:pStyle w:val="Compact"/>
            </w:pPr>
            <w:r>
              <w:t xml:space="preserve">Teacher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Represented through shared-shelf and class-dashboard validation; the aggregate-by-default rule (FR-CLIENT-012) is their trust boundary with students.</w:t>
            </w:r>
          </w:p>
        </w:tc>
      </w:tr>
      <w:tr>
        <w:tc>
          <w:tcPr/>
          <w:p>
            <w:pPr>
              <w:pStyle w:val="Compact"/>
            </w:pPr>
            <w:r>
              <w:t xml:space="preserve">STK-13</w:t>
            </w:r>
          </w:p>
        </w:tc>
        <w:tc>
          <w:tcPr/>
          <w:p>
            <w:pPr>
              <w:pStyle w:val="Compact"/>
            </w:pPr>
            <w:r>
              <w:t xml:space="preserve">School Administrator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Represented through admin-console validation (publish, enroll, revoke, quotas, audit export); their runbook needs feed the deployment documentation.</w:t>
            </w:r>
          </w:p>
        </w:tc>
      </w:tr>
      <w:tr>
        <w:tc>
          <w:tcPr/>
          <w:p>
            <w:pPr>
              <w:pStyle w:val="Compact"/>
            </w:pPr>
            <w:r>
              <w:t xml:space="preserve">STK-14</w:t>
            </w:r>
          </w:p>
        </w:tc>
        <w:tc>
          <w:tcPr/>
          <w:p>
            <w:pPr>
              <w:pStyle w:val="Compact"/>
            </w:pPr>
            <w:r>
              <w:t xml:space="preserve">School (institution)</w:t>
            </w:r>
          </w:p>
        </w:tc>
        <w:tc>
          <w:tcPr/>
          <w:p>
            <w:pPr>
              <w:pStyle w:val="Compact"/>
            </w:pPr>
            <w:r>
              <w:t xml:space="preserve">High</w:t>
            </w:r>
          </w:p>
        </w:tc>
        <w:tc>
          <w:tcPr/>
          <w:p>
            <w:pPr>
              <w:pStyle w:val="Compact"/>
            </w:pPr>
            <w:r>
              <w:t xml:space="preserve">Low</w:t>
            </w:r>
          </w:p>
        </w:tc>
        <w:tc>
          <w:tcPr/>
          <w:p>
            <w:pPr>
              <w:pStyle w:val="Compact"/>
            </w:pPr>
            <w:r>
              <w:t xml:space="preserve">Keep Satisfied</w:t>
            </w:r>
          </w:p>
        </w:tc>
        <w:tc>
          <w:tcPr/>
          <w:p>
            <w:pPr>
              <w:pStyle w:val="Compact"/>
            </w:pPr>
            <w:r>
              <w:t xml:space="preserve">Engaged at classroom-licensing and deployment milestones; supplied with the DPIA screening pack, minors' data controls (CTRL-032), and audit-export evidence they need as data controller.</w:t>
            </w:r>
          </w:p>
        </w:tc>
      </w:tr>
      <w:tr>
        <w:tc>
          <w:tcPr/>
          <w:p>
            <w:pPr>
              <w:pStyle w:val="Compact"/>
            </w:pPr>
            <w:r>
              <w:t xml:space="preserve">STK-15</w:t>
            </w:r>
          </w:p>
        </w:tc>
        <w:tc>
          <w:tcPr/>
          <w:p>
            <w:pPr>
              <w:pStyle w:val="Compact"/>
            </w:pPr>
            <w:r>
              <w:t xml:space="preserve">Extension Developer / Contributor</w:t>
            </w:r>
          </w:p>
        </w:tc>
        <w:tc>
          <w:tcPr/>
          <w:p>
            <w:pPr>
              <w:pStyle w:val="Compact"/>
            </w:pPr>
            <w:r>
              <w:t xml:space="preserve">Low</w:t>
            </w:r>
          </w:p>
        </w:tc>
        <w:tc>
          <w:tcPr/>
          <w:p>
            <w:pPr>
              <w:pStyle w:val="Compact"/>
            </w:pPr>
            <w:r>
              <w:t xml:space="preserve">Low</w:t>
            </w:r>
          </w:p>
        </w:tc>
        <w:tc>
          <w:tcPr/>
          <w:p>
            <w:pPr>
              <w:pStyle w:val="Compact"/>
            </w:pPr>
            <w:r>
              <w:t xml:space="preserve">Monitor</w:t>
            </w:r>
          </w:p>
        </w:tc>
        <w:tc>
          <w:tcPr/>
          <w:p>
            <w:pPr>
              <w:pStyle w:val="Compact"/>
            </w:pPr>
            <w:r>
              <w:t xml:space="preserve">Notified through repository releases and the Extension SDK documentation when FR-EXT work lands; interest rises to Keep Informed once the SDK (FR-EXT-001/002) ships.</w:t>
            </w:r>
          </w:p>
        </w:tc>
      </w:tr>
      <w:tr>
        <w:tc>
          <w:tcPr/>
          <w:p>
            <w:pPr>
              <w:pStyle w:val="Compact"/>
            </w:pPr>
            <w:r>
              <w:t xml:space="preserve">STK-16</w:t>
            </w:r>
          </w:p>
        </w:tc>
        <w:tc>
          <w:tcPr/>
          <w:p>
            <w:pPr>
              <w:pStyle w:val="Compact"/>
            </w:pPr>
            <w:r>
              <w:t xml:space="preserve">Store / Platform Reviewer</w:t>
            </w:r>
          </w:p>
        </w:tc>
        <w:tc>
          <w:tcPr/>
          <w:p>
            <w:pPr>
              <w:pStyle w:val="Compact"/>
            </w:pPr>
            <w:r>
              <w:t xml:space="preserve">High</w:t>
            </w:r>
          </w:p>
        </w:tc>
        <w:tc>
          <w:tcPr/>
          <w:p>
            <w:pPr>
              <w:pStyle w:val="Compact"/>
            </w:pPr>
            <w:r>
              <w:t xml:space="preserve">Low</w:t>
            </w:r>
          </w:p>
        </w:tc>
        <w:tc>
          <w:tcPr/>
          <w:p>
            <w:pPr>
              <w:pStyle w:val="Compact"/>
            </w:pPr>
            <w:r>
              <w:t xml:space="preserve">Keep Satisfied</w:t>
            </w:r>
          </w:p>
        </w:tc>
        <w:tc>
          <w:tcPr/>
          <w:p>
            <w:pPr>
              <w:pStyle w:val="Compact"/>
            </w:pPr>
            <w:r>
              <w:t xml:space="preserve">Engaged at Phase 22 with signed, notarized, policy-compliant submissions; their checklists are inputs to the packaging gate, not negotiable at review time.</w:t>
            </w:r>
          </w:p>
        </w:tc>
      </w:tr>
    </w:tbl>
    <w:p>
      <w:pPr>
        <w:pStyle w:val="BodyText"/>
      </w:pPr>
      <w:r>
        <w:rPr>
          <w:i/>
          <w:iCs/>
        </w:rPr>
        <w:t xml:space="preserve">The 8 user personas sit in Keep Informed because none holds authority over scope, budget, or release; their high interest is honoured by making their stated jobs the source of traceable requirements. The v1.0 gap in the Keep Satisfied quadrant is now filled by the school (as classroom buyer and data controller) and the store reviewers — both can block a deployment or a channel without caring about day-to-day build detail.</w:t>
      </w:r>
    </w:p>
    <w:bookmarkEnd w:id="14"/>
    <w:bookmarkEnd w:id="15"/>
    <w:bookmarkStart w:id="20" w:name="communication-plan-for-ogma-library"/>
    <w:p>
      <w:pPr>
        <w:pStyle w:val="Heading2"/>
      </w:pPr>
      <w:r>
        <w:t xml:space="preserve">Communication Plan for Ogma Library</w:t>
      </w:r>
    </w:p>
    <w:p>
      <w:pPr>
        <w:pStyle w:val="FirstParagraph"/>
      </w:pPr>
      <w:r>
        <w:t xml:space="preserve">This plan defines, for each stakeholder group, the information it receives, the cadence, the channel, and the accountable owner. The internal team communicates through engagement artefacts and gate reviews. External personas are represented through validation activities and in-product surfaces. New in v2.0: classroom-deployment communication (school, administrators, teachers, students) and community communication for the open-source/Extension ambitions.</w:t>
      </w:r>
    </w:p>
    <w:bookmarkStart w:id="16" w:name="principles"/>
    <w:p>
      <w:pPr>
        <w:pStyle w:val="Heading3"/>
      </w:pPr>
      <w:r>
        <w:t xml:space="preserve">Principles</w:t>
      </w:r>
    </w:p>
    <w:p>
      <w:pPr>
        <w:pStyle w:val="Compact"/>
        <w:numPr>
          <w:ilvl w:val="0"/>
          <w:numId w:val="1002"/>
        </w:numPr>
      </w:pPr>
      <w:r>
        <w:t xml:space="preserve">Internal communication is artefact-driven: each phase gate produces a sign-off ledger entry, a baseline snapshot, and, where applicable, an ADR or Change Impact Analysis record.</w:t>
      </w:r>
    </w:p>
    <w:p>
      <w:pPr>
        <w:pStyle w:val="Compact"/>
        <w:numPr>
          <w:ilvl w:val="0"/>
          <w:numId w:val="1002"/>
        </w:numPr>
      </w:pPr>
      <w:r>
        <w:t xml:space="preserve">Persona "communication" is delivered as product behaviour and validation evidence; no live end-users are contracted to this engagement.</w:t>
      </w:r>
    </w:p>
    <w:p>
      <w:pPr>
        <w:pStyle w:val="Compact"/>
        <w:numPr>
          <w:ilvl w:val="0"/>
          <w:numId w:val="1002"/>
        </w:numPr>
      </w:pPr>
      <w:r>
        <w:t xml:space="preserve">Classroom deployments add a real outbound channel: the school receives a deployment pack (DPIA screening, audit-export guide, revocation runbook) because it carries data-controller obligations.</w:t>
      </w:r>
    </w:p>
    <w:p>
      <w:pPr>
        <w:pStyle w:val="Compact"/>
        <w:numPr>
          <w:ilvl w:val="0"/>
          <w:numId w:val="1002"/>
        </w:numPr>
      </w:pPr>
      <w:r>
        <w:t xml:space="preserve">Gate-blocking failures and scope-changing spike outcomes are raised immediately, not held for a scheduled review.</w:t>
      </w:r>
    </w:p>
    <w:bookmarkEnd w:id="16"/>
    <w:bookmarkStart w:id="17" w:name="internal-team-communication"/>
    <w:p>
      <w:pPr>
        <w:pStyle w:val="Heading3"/>
      </w:pPr>
      <w:r>
        <w:t xml:space="preserve">Internal Team Communication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Stakeholder Group</w:t>
            </w:r>
          </w:p>
        </w:tc>
        <w:tc>
          <w:tcPr/>
          <w:p>
            <w:pPr>
              <w:pStyle w:val="Compact"/>
            </w:pPr>
            <w:r>
              <w:t xml:space="preserve">What</w:t>
            </w:r>
          </w:p>
        </w:tc>
        <w:tc>
          <w:tcPr/>
          <w:p>
            <w:pPr>
              <w:pStyle w:val="Compact"/>
            </w:pPr>
            <w:r>
              <w:t xml:space="preserve">Cadence</w:t>
            </w:r>
          </w:p>
        </w:tc>
        <w:tc>
          <w:tcPr/>
          <w:p>
            <w:pPr>
              <w:pStyle w:val="Compact"/>
            </w:pPr>
            <w:r>
              <w:t xml:space="preserve">Channel</w:t>
            </w:r>
          </w:p>
        </w:tc>
        <w:tc>
          <w:tcPr/>
          <w:p>
            <w:pPr>
              <w:pStyle w:val="Compact"/>
            </w:pPr>
            <w:r>
              <w:t xml:space="preserve">Owner</w:t>
            </w:r>
          </w:p>
        </w:tc>
      </w:tr>
      <w:tr>
        <w:tc>
          <w:tcPr/>
          <w:p>
            <w:pPr>
              <w:pStyle w:val="Compact"/>
            </w:pPr>
            <w:r>
              <w:t xml:space="preserve">Product Owner (STK-01)</w:t>
            </w:r>
          </w:p>
        </w:tc>
        <w:tc>
          <w:tcPr/>
          <w:p>
            <w:pPr>
              <w:pStyle w:val="Compact"/>
            </w:pPr>
            <w:r>
              <w:t xml:space="preserve">SRS baseline v2.0 for review and sign-off (supersedes v1.0 under CIA)</w:t>
            </w:r>
          </w:p>
        </w:tc>
        <w:tc>
          <w:tcPr/>
          <w:p>
            <w:pPr>
              <w:pStyle w:val="Compact"/>
            </w:pPr>
            <w:r>
              <w:t xml:space="preserve">Once, at this re-baseline</w:t>
            </w:r>
          </w:p>
        </w:tc>
        <w:tc>
          <w:tcPr/>
          <w:p>
            <w:pPr>
              <w:pStyle w:val="Compact"/>
            </w:pPr>
            <w:r>
              <w:t xml:space="preserve">Document portal + sign-off ledger</w:t>
            </w:r>
          </w:p>
        </w:tc>
        <w:tc>
          <w:tcPr/>
          <w:p>
            <w:pPr>
              <w:pStyle w:val="Compact"/>
            </w:pPr>
            <w:r>
              <w:t xml:space="preserve">Engineering Lead</w:t>
            </w:r>
          </w:p>
        </w:tc>
      </w:tr>
      <w:tr>
        <w:tc>
          <w:tcPr/>
          <w:p>
            <w:pPr>
              <w:pStyle w:val="Compact"/>
            </w:pPr>
            <w:r>
              <w:t xml:space="preserve">Product Owner (STK-01)</w:t>
            </w:r>
          </w:p>
        </w:tc>
        <w:tc>
          <w:tcPr/>
          <w:p>
            <w:pPr>
              <w:pStyle w:val="Compact"/>
            </w:pPr>
            <w:r>
              <w:t xml:space="preserve">Phase-gate decision pack (snapshot, open-items register, sign-off request)</w:t>
            </w:r>
          </w:p>
        </w:tc>
        <w:tc>
          <w:tcPr/>
          <w:p>
            <w:pPr>
              <w:pStyle w:val="Compact"/>
            </w:pPr>
            <w:r>
              <w:t xml:space="preserve">Per phase gate (Phases 19–23 outstanding)</w:t>
            </w:r>
          </w:p>
        </w:tc>
        <w:tc>
          <w:tcPr/>
          <w:p>
            <w:pPr>
              <w:pStyle w:val="Compact"/>
            </w:pPr>
            <w:r>
              <w:t xml:space="preserve">Gate review + sign-off ledger</w:t>
            </w:r>
          </w:p>
        </w:tc>
        <w:tc>
          <w:tcPr/>
          <w:p>
            <w:pPr>
              <w:pStyle w:val="Compact"/>
            </w:pPr>
            <w:r>
              <w:t xml:space="preserve">QA / Verification Engineer</w:t>
            </w:r>
          </w:p>
        </w:tc>
      </w:tr>
      <w:tr>
        <w:tc>
          <w:tcPr/>
          <w:p>
            <w:pPr>
              <w:pStyle w:val="Compact"/>
            </w:pPr>
            <w:r>
              <w:t xml:space="preserve">Product Owner (STK-01)</w:t>
            </w:r>
          </w:p>
        </w:tc>
        <w:tc>
          <w:tcPr/>
          <w:p>
            <w:pPr>
              <w:pStyle w:val="Compact"/>
            </w:pPr>
            <w:r>
              <w:t xml:space="preserve">Change Impact Analysis for any baselined FR/NFR/CTRL change</w:t>
            </w:r>
          </w:p>
        </w:tc>
        <w:tc>
          <w:tcPr/>
          <w:p>
            <w:pPr>
              <w:pStyle w:val="Compact"/>
            </w:pPr>
            <w:r>
              <w:t xml:space="preserve">Per change request</w:t>
            </w:r>
          </w:p>
        </w:tc>
        <w:tc>
          <w:tcPr/>
          <w:p>
            <w:pPr>
              <w:pStyle w:val="Compact"/>
            </w:pPr>
            <w:r>
              <w:t xml:space="preserve">Change-impact registry</w:t>
            </w:r>
          </w:p>
        </w:tc>
        <w:tc>
          <w:tcPr/>
          <w:p>
            <w:pPr>
              <w:pStyle w:val="Compact"/>
            </w:pPr>
            <w:r>
              <w:t xml:space="preserve">Engineering Lead</w:t>
            </w:r>
          </w:p>
        </w:tc>
      </w:tr>
      <w:tr>
        <w:tc>
          <w:tcPr/>
          <w:p>
            <w:pPr>
              <w:pStyle w:val="Compact"/>
            </w:pPr>
            <w:r>
              <w:t xml:space="preserve">Engineering Lead (STK-02)</w:t>
            </w:r>
          </w:p>
        </w:tc>
        <w:tc>
          <w:tcPr/>
          <w:p>
            <w:pPr>
              <w:pStyle w:val="Compact"/>
            </w:pPr>
            <w:r>
              <w:t xml:space="preserve">Architecture ADRs for ratification, incl. ADR-0010 (host mode amends CI-2), ADR-0011 (classroom identity), ADR-0012 (school-managed AI), and the EF Core version-alignment amendment (OI-2)</w:t>
            </w:r>
          </w:p>
        </w:tc>
        <w:tc>
          <w:tcPr/>
          <w:p>
            <w:pPr>
              <w:pStyle w:val="Compact"/>
            </w:pPr>
            <w:r>
              <w:t xml:space="preserve">Per decision</w:t>
            </w:r>
          </w:p>
        </w:tc>
        <w:tc>
          <w:tcPr/>
          <w:p>
            <w:pPr>
              <w:pStyle w:val="Compact"/>
            </w:pPr>
            <w:r>
              <w:t xml:space="preserve">ADR catalog (</w:t>
            </w:r>
            <w:r>
              <w:rPr>
                <w:rStyle w:val="VerbatimChar"/>
              </w:rPr>
              <w:t xml:space="preserve">09-governance-compliance/05-adr/</w:t>
            </w:r>
            <w:r>
              <w:t xml:space="preserve">)</w:t>
            </w:r>
          </w:p>
        </w:tc>
        <w:tc>
          <w:tcPr/>
          <w:p>
            <w:pPr>
              <w:pStyle w:val="Compact"/>
            </w:pPr>
            <w:r>
              <w:t xml:space="preserve">Engineering Lead</w:t>
            </w:r>
          </w:p>
        </w:tc>
      </w:tr>
      <w:tr>
        <w:tc>
          <w:tcPr/>
          <w:p>
            <w:pPr>
              <w:pStyle w:val="Compact"/>
            </w:pPr>
            <w:r>
              <w:t xml:space="preserve">AI Engineer (STK-03)</w:t>
            </w:r>
          </w:p>
        </w:tc>
        <w:tc>
          <w:tcPr/>
          <w:p>
            <w:pPr>
              <w:pStyle w:val="Compact"/>
            </w:pPr>
            <w:r>
              <w:t xml:space="preserve">Privacy-tier, payload-preview, and classroom AI-proxy specification and evidence</w:t>
            </w:r>
          </w:p>
        </w:tc>
        <w:tc>
          <w:tcPr/>
          <w:p>
            <w:pPr>
              <w:pStyle w:val="Compact"/>
            </w:pPr>
            <w:r>
              <w:t xml:space="preserve">Before any AI feature gate</w:t>
            </w:r>
          </w:p>
        </w:tc>
        <w:tc>
          <w:tcPr/>
          <w:p>
            <w:pPr>
              <w:pStyle w:val="Compact"/>
            </w:pPr>
            <w:r>
              <w:t xml:space="preserve">Design review + ADR</w:t>
            </w:r>
          </w:p>
        </w:tc>
        <w:tc>
          <w:tcPr/>
          <w:p>
            <w:pPr>
              <w:pStyle w:val="Compact"/>
            </w:pPr>
            <w:r>
              <w:t xml:space="preserve">AI Engineer</w:t>
            </w:r>
          </w:p>
        </w:tc>
      </w:tr>
      <w:tr>
        <w:tc>
          <w:tcPr/>
          <w:p>
            <w:pPr>
              <w:pStyle w:val="Compact"/>
            </w:pPr>
            <w:r>
              <w:t xml:space="preserve">QA / Verification Engineer (STK-04)</w:t>
            </w:r>
          </w:p>
        </w:tc>
        <w:tc>
          <w:tcPr/>
          <w:p>
            <w:pPr>
              <w:pStyle w:val="Compact"/>
            </w:pPr>
            <w:r>
              <w:t xml:space="preserve">Golden-corpus coverage, planned TC- backlog burn-down, Phase 20 W-REF-01/M-REF-01 acceptance results</w:t>
            </w:r>
          </w:p>
        </w:tc>
        <w:tc>
          <w:tcPr/>
          <w:p>
            <w:pPr>
              <w:pStyle w:val="Compact"/>
            </w:pPr>
            <w:r>
              <w:t xml:space="preserve">Per release gate</w:t>
            </w:r>
          </w:p>
        </w:tc>
        <w:tc>
          <w:tcPr/>
          <w:p>
            <w:pPr>
              <w:pStyle w:val="Compact"/>
            </w:pPr>
            <w:r>
              <w:t xml:space="preserve">Test-strategy review</w:t>
            </w:r>
          </w:p>
        </w:tc>
        <w:tc>
          <w:tcPr/>
          <w:p>
            <w:pPr>
              <w:pStyle w:val="Compact"/>
            </w:pPr>
            <w:r>
              <w:t xml:space="preserve">QA / Verification Engineer</w:t>
            </w:r>
          </w:p>
        </w:tc>
      </w:tr>
      <w:tr>
        <w:tc>
          <w:tcPr/>
          <w:p>
            <w:pPr>
              <w:pStyle w:val="Compact"/>
            </w:pPr>
            <w:r>
              <w:t xml:space="preserve">Design / UX Engineer (STK-05)</w:t>
            </w:r>
          </w:p>
        </w:tc>
        <w:tc>
          <w:tcPr/>
          <w:p>
            <w:pPr>
              <w:pStyle w:val="Compact"/>
            </w:pPr>
            <w:r>
              <w:t xml:space="preserve">Reader-flow, classroom-surface, and accessibility (WCAG 2.2 AA) review</w:t>
            </w:r>
          </w:p>
        </w:tc>
        <w:tc>
          <w:tcPr/>
          <w:p>
            <w:pPr>
              <w:pStyle w:val="Compact"/>
            </w:pPr>
            <w:r>
              <w:t xml:space="preserve">Per experience-facing gate; formal audit at Phase 21</w:t>
            </w:r>
          </w:p>
        </w:tc>
        <w:tc>
          <w:tcPr/>
          <w:p>
            <w:pPr>
              <w:pStyle w:val="Compact"/>
            </w:pPr>
            <w:r>
              <w:t xml:space="preserve">UX review</w:t>
            </w:r>
          </w:p>
        </w:tc>
        <w:tc>
          <w:tcPr/>
          <w:p>
            <w:pPr>
              <w:pStyle w:val="Compact"/>
            </w:pPr>
            <w:r>
              <w:t xml:space="preserve">Design / UX Engineer</w:t>
            </w:r>
          </w:p>
        </w:tc>
      </w:tr>
    </w:tbl>
    <w:bookmarkEnd w:id="17"/>
    <w:bookmarkStart w:id="18" w:name="X3e4bee81e3dee7fff393661c986c6d7905aff4b"/>
    <w:p>
      <w:pPr>
        <w:pStyle w:val="Heading3"/>
      </w:pPr>
      <w:r>
        <w:t xml:space="preserve">External Persona Representation (in-product surfaces)</w:t>
      </w:r>
    </w:p>
    <w:p>
      <w:pPr>
        <w:pStyle w:val="FirstParagraph"/>
      </w:pPr>
      <w:r>
        <w:t xml:space="preserve">Cadence describes when the surface acts, not a scheduled report; Ogma Library has no server-side notification channel for personal users.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Stakeholder Group</w:t>
            </w:r>
          </w:p>
        </w:tc>
        <w:tc>
          <w:tcPr/>
          <w:p>
            <w:pPr>
              <w:pStyle w:val="Compact"/>
            </w:pPr>
            <w:r>
              <w:t xml:space="preserve">What</w:t>
            </w:r>
          </w:p>
        </w:tc>
        <w:tc>
          <w:tcPr/>
          <w:p>
            <w:pPr>
              <w:pStyle w:val="Compact"/>
            </w:pPr>
            <w:r>
              <w:t xml:space="preserve">Cadence</w:t>
            </w:r>
          </w:p>
        </w:tc>
        <w:tc>
          <w:tcPr/>
          <w:p>
            <w:pPr>
              <w:pStyle w:val="Compact"/>
            </w:pPr>
            <w:r>
              <w:t xml:space="preserve">Channel</w:t>
            </w:r>
          </w:p>
        </w:tc>
        <w:tc>
          <w:tcPr/>
          <w:p>
            <w:pPr>
              <w:pStyle w:val="Compact"/>
            </w:pPr>
            <w:r>
              <w:t xml:space="preserve">Owner</w:t>
            </w:r>
          </w:p>
        </w:tc>
      </w:tr>
      <w:tr>
        <w:tc>
          <w:tcPr/>
          <w:p>
            <w:pPr>
              <w:pStyle w:val="Compact"/>
            </w:pPr>
            <w:r>
              <w:t xml:space="preserve">Serious Reader (STK-06)</w:t>
            </w:r>
          </w:p>
        </w:tc>
        <w:tc>
          <w:tcPr/>
          <w:p>
            <w:pPr>
              <w:pStyle w:val="Compact"/>
            </w:pPr>
            <w:r>
              <w:t xml:space="preserve">Reading progress, shelves, and reading statistics</w:t>
            </w:r>
          </w:p>
        </w:tc>
        <w:tc>
          <w:tcPr/>
          <w:p>
            <w:pPr>
              <w:pStyle w:val="Compact"/>
            </w:pPr>
            <w:r>
              <w:t xml:space="preserve">Continuous, in product</w:t>
            </w:r>
          </w:p>
        </w:tc>
        <w:tc>
          <w:tcPr/>
          <w:p>
            <w:pPr>
              <w:pStyle w:val="Compact"/>
            </w:pPr>
            <w:r>
              <w:t xml:space="preserve">Library and reader views</w:t>
            </w:r>
          </w:p>
        </w:tc>
        <w:tc>
          <w:tcPr/>
          <w:p>
            <w:pPr>
              <w:pStyle w:val="Compact"/>
            </w:pPr>
            <w:r>
              <w:t xml:space="preserve">Design / UX Engineer</w:t>
            </w:r>
          </w:p>
        </w:tc>
      </w:tr>
      <w:tr>
        <w:tc>
          <w:tcPr/>
          <w:p>
            <w:pPr>
              <w:pStyle w:val="Compact"/>
            </w:pPr>
            <w:r>
              <w:t xml:space="preserve">Researcher (STK-07)</w:t>
            </w:r>
          </w:p>
        </w:tc>
        <w:tc>
          <w:tcPr/>
          <w:p>
            <w:pPr>
              <w:pStyle w:val="Compact"/>
            </w:pPr>
            <w:r>
              <w:t xml:space="preserve">Search results with match-location labels; advisor recommendations with explanation and confidence</w:t>
            </w:r>
          </w:p>
        </w:tc>
        <w:tc>
          <w:tcPr/>
          <w:p>
            <w:pPr>
              <w:pStyle w:val="Compact"/>
            </w:pPr>
            <w:r>
              <w:t xml:space="preserve">On query</w:t>
            </w:r>
          </w:p>
        </w:tc>
        <w:tc>
          <w:tcPr/>
          <w:p>
            <w:pPr>
              <w:pStyle w:val="Compact"/>
            </w:pPr>
            <w:r>
              <w:t xml:space="preserve">Search and advisor panels</w:t>
            </w:r>
          </w:p>
        </w:tc>
        <w:tc>
          <w:tcPr/>
          <w:p>
            <w:pPr>
              <w:pStyle w:val="Compact"/>
            </w:pPr>
            <w:r>
              <w:t xml:space="preserve">AI Engineer</w:t>
            </w:r>
          </w:p>
        </w:tc>
      </w:tr>
      <w:tr>
        <w:tc>
          <w:tcPr/>
          <w:p>
            <w:pPr>
              <w:pStyle w:val="Compact"/>
            </w:pPr>
            <w:r>
              <w:t xml:space="preserve">Collector (STK-08)</w:t>
            </w:r>
          </w:p>
        </w:tc>
        <w:tc>
          <w:tcPr/>
          <w:p>
            <w:pPr>
              <w:pStyle w:val="Compact"/>
            </w:pPr>
            <w:r>
              <w:t xml:space="preserve">Write-back diff, backup confirmation, restore option</w:t>
            </w:r>
          </w:p>
        </w:tc>
        <w:tc>
          <w:tcPr/>
          <w:p>
            <w:pPr>
              <w:pStyle w:val="Compact"/>
            </w:pPr>
            <w:r>
              <w:t xml:space="preserve">Per metadata write</w:t>
            </w:r>
          </w:p>
        </w:tc>
        <w:tc>
          <w:tcPr/>
          <w:p>
            <w:pPr>
              <w:pStyle w:val="Compact"/>
            </w:pPr>
            <w:r>
              <w:t xml:space="preserve">Metadata editor</w:t>
            </w:r>
          </w:p>
        </w:tc>
        <w:tc>
          <w:tcPr/>
          <w:p>
            <w:pPr>
              <w:pStyle w:val="Compact"/>
            </w:pPr>
            <w:r>
              <w:t xml:space="preserve">Engineering Lead</w:t>
            </w:r>
          </w:p>
        </w:tc>
      </w:tr>
      <w:tr>
        <w:tc>
          <w:tcPr/>
          <w:p>
            <w:pPr>
              <w:pStyle w:val="Compact"/>
            </w:pPr>
            <w:r>
              <w:t xml:space="preserve">Power Librarian (STK-09)</w:t>
            </w:r>
          </w:p>
        </w:tc>
        <w:tc>
          <w:tcPr/>
          <w:p>
            <w:pPr>
              <w:pStyle w:val="Compact"/>
            </w:pPr>
            <w:r>
              <w:t xml:space="preserve">Library health dashboard with per-finding remediation</w:t>
            </w:r>
          </w:p>
        </w:tc>
        <w:tc>
          <w:tcPr/>
          <w:p>
            <w:pPr>
              <w:pStyle w:val="Compact"/>
            </w:pPr>
            <w:r>
              <w:t xml:space="preserve">On open and after batch jobs</w:t>
            </w:r>
          </w:p>
        </w:tc>
        <w:tc>
          <w:tcPr/>
          <w:p>
            <w:pPr>
              <w:pStyle w:val="Compact"/>
            </w:pPr>
            <w:r>
              <w:t xml:space="preserve">Health dashboard</w:t>
            </w:r>
          </w:p>
        </w:tc>
        <w:tc>
          <w:tcPr/>
          <w:p>
            <w:pPr>
              <w:pStyle w:val="Compact"/>
            </w:pPr>
            <w:r>
              <w:t xml:space="preserve">Engineering Lead</w:t>
            </w:r>
          </w:p>
        </w:tc>
      </w:tr>
      <w:tr>
        <w:tc>
          <w:tcPr/>
          <w:p>
            <w:pPr>
              <w:pStyle w:val="Compact"/>
            </w:pPr>
            <w:r>
              <w:t xml:space="preserve">Privacy-Sensitive User (STK-10)</w:t>
            </w:r>
          </w:p>
        </w:tc>
        <w:tc>
          <w:tcPr/>
          <w:p>
            <w:pPr>
              <w:pStyle w:val="Compact"/>
            </w:pPr>
            <w:r>
              <w:t xml:space="preserve">Privacy Center: keys, per-call payloads and tiers, delete controls, audit export</w:t>
            </w:r>
          </w:p>
        </w:tc>
        <w:tc>
          <w:tcPr/>
          <w:p>
            <w:pPr>
              <w:pStyle w:val="Compact"/>
            </w:pPr>
            <w:r>
              <w:t xml:space="preserve">Continuous; preview before each off-device call</w:t>
            </w:r>
          </w:p>
        </w:tc>
        <w:tc>
          <w:tcPr/>
          <w:p>
            <w:pPr>
              <w:pStyle w:val="Compact"/>
            </w:pPr>
            <w:r>
              <w:t xml:space="preserve">Privacy Center</w:t>
            </w:r>
          </w:p>
        </w:tc>
        <w:tc>
          <w:tcPr/>
          <w:p>
            <w:pPr>
              <w:pStyle w:val="Compact"/>
            </w:pPr>
            <w:r>
              <w:t xml:space="preserve">AI Engineer</w:t>
            </w:r>
          </w:p>
        </w:tc>
      </w:tr>
      <w:tr>
        <w:tc>
          <w:tcPr/>
          <w:p>
            <w:pPr>
              <w:pStyle w:val="Compact"/>
            </w:pPr>
            <w:r>
              <w:t xml:space="preserve">Student (STK-11)</w:t>
            </w:r>
          </w:p>
        </w:tc>
        <w:tc>
          <w:tcPr/>
          <w:p>
            <w:pPr>
              <w:pStyle w:val="Compact"/>
            </w:pPr>
            <w:r>
              <w:t xml:space="preserve">Connection state, entitled shelves, privacy-tier label and payload preview before AI calls, own-history delete control</w:t>
            </w:r>
          </w:p>
        </w:tc>
        <w:tc>
          <w:tcPr/>
          <w:p>
            <w:pPr>
              <w:pStyle w:val="Compact"/>
            </w:pPr>
            <w:r>
              <w:t xml:space="preserve">Continuous in classroom mode; preview per AI call</w:t>
            </w:r>
          </w:p>
        </w:tc>
        <w:tc>
          <w:tcPr/>
          <w:p>
            <w:pPr>
              <w:pStyle w:val="Compact"/>
            </w:pPr>
            <w:r>
              <w:t xml:space="preserve">Classroom client surfaces</w:t>
            </w:r>
          </w:p>
        </w:tc>
        <w:tc>
          <w:tcPr/>
          <w:p>
            <w:pPr>
              <w:pStyle w:val="Compact"/>
            </w:pPr>
            <w:r>
              <w:t xml:space="preserve">AI Engineer</w:t>
            </w:r>
          </w:p>
        </w:tc>
      </w:tr>
      <w:tr>
        <w:tc>
          <w:tcPr/>
          <w:p>
            <w:pPr>
              <w:pStyle w:val="Compact"/>
            </w:pPr>
            <w:r>
              <w:t xml:space="preserve">Teacher (STK-12)</w:t>
            </w:r>
          </w:p>
        </w:tc>
        <w:tc>
          <w:tcPr/>
          <w:p>
            <w:pPr>
              <w:pStyle w:val="Compact"/>
            </w:pPr>
            <w:r>
              <w:t xml:space="preserve">Class-level aggregate dashboards; per-student visibility disclosure to affected students</w:t>
            </w:r>
          </w:p>
        </w:tc>
        <w:tc>
          <w:tcPr/>
          <w:p>
            <w:pPr>
              <w:pStyle w:val="Compact"/>
            </w:pPr>
            <w:r>
              <w:t xml:space="preserve">On dashboard open</w:t>
            </w:r>
          </w:p>
        </w:tc>
        <w:tc>
          <w:tcPr/>
          <w:p>
            <w:pPr>
              <w:pStyle w:val="Compact"/>
            </w:pPr>
            <w:r>
              <w:t xml:space="preserve">Teacher dashboard</w:t>
            </w:r>
          </w:p>
        </w:tc>
        <w:tc>
          <w:tcPr/>
          <w:p>
            <w:pPr>
              <w:pStyle w:val="Compact"/>
            </w:pPr>
            <w:r>
              <w:t xml:space="preserve">Design / UX Engineer</w:t>
            </w:r>
          </w:p>
        </w:tc>
      </w:tr>
      <w:tr>
        <w:tc>
          <w:tcPr/>
          <w:p>
            <w:pPr>
              <w:pStyle w:val="Compact"/>
            </w:pPr>
            <w:r>
              <w:t xml:space="preserve">School Administrator (STK-13)</w:t>
            </w:r>
          </w:p>
        </w:tc>
        <w:tc>
          <w:tcPr/>
          <w:p>
            <w:pPr>
              <w:pStyle w:val="Compact"/>
            </w:pPr>
            <w:r>
              <w:t xml:space="preserve">Session list and revocation, quota and spend dashboard, host audit export</w:t>
            </w:r>
          </w:p>
        </w:tc>
        <w:tc>
          <w:tcPr/>
          <w:p>
            <w:pPr>
              <w:pStyle w:val="Compact"/>
            </w:pPr>
            <w:r>
              <w:t xml:space="preserve">Continuous in host mode</w:t>
            </w:r>
          </w:p>
        </w:tc>
        <w:tc>
          <w:tcPr/>
          <w:p>
            <w:pPr>
              <w:pStyle w:val="Compact"/>
            </w:pPr>
            <w:r>
              <w:t xml:space="preserve">Administration console</w:t>
            </w:r>
          </w:p>
        </w:tc>
        <w:tc>
          <w:tcPr/>
          <w:p>
            <w:pPr>
              <w:pStyle w:val="Compact"/>
            </w:pPr>
            <w:r>
              <w:t xml:space="preserve">Engineering Lead</w:t>
            </w:r>
          </w:p>
        </w:tc>
      </w:tr>
    </w:tbl>
    <w:bookmarkEnd w:id="18"/>
    <w:bookmarkStart w:id="19" w:name="Xa58a4d28af8620b1547cc3c1d0d0d176bffe970"/>
    <w:p>
      <w:pPr>
        <w:pStyle w:val="Heading3"/>
      </w:pPr>
      <w:r>
        <w:t xml:space="preserve">Institutional and Community Communication (new in v2.0)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Stakeholder Group</w:t>
            </w:r>
          </w:p>
        </w:tc>
        <w:tc>
          <w:tcPr/>
          <w:p>
            <w:pPr>
              <w:pStyle w:val="Compact"/>
            </w:pPr>
            <w:r>
              <w:t xml:space="preserve">What</w:t>
            </w:r>
          </w:p>
        </w:tc>
        <w:tc>
          <w:tcPr/>
          <w:p>
            <w:pPr>
              <w:pStyle w:val="Compact"/>
            </w:pPr>
            <w:r>
              <w:t xml:space="preserve">Cadence</w:t>
            </w:r>
          </w:p>
        </w:tc>
        <w:tc>
          <w:tcPr/>
          <w:p>
            <w:pPr>
              <w:pStyle w:val="Compact"/>
            </w:pPr>
            <w:r>
              <w:t xml:space="preserve">Channel</w:t>
            </w:r>
          </w:p>
        </w:tc>
        <w:tc>
          <w:tcPr/>
          <w:p>
            <w:pPr>
              <w:pStyle w:val="Compact"/>
            </w:pPr>
            <w:r>
              <w:t xml:space="preserve">Owner</w:t>
            </w:r>
          </w:p>
        </w:tc>
      </w:tr>
      <w:tr>
        <w:tc>
          <w:tcPr/>
          <w:p>
            <w:pPr>
              <w:pStyle w:val="Compact"/>
            </w:pPr>
            <w:r>
              <w:t xml:space="preserve">School (STK-14)</w:t>
            </w:r>
          </w:p>
        </w:tc>
        <w:tc>
          <w:tcPr/>
          <w:p>
            <w:pPr>
              <w:pStyle w:val="Compact"/>
            </w:pPr>
            <w:r>
              <w:t xml:space="preserve">Classroom deployment pack: DPIA screening output, minors' data controls summary (CTRL-032), audit-export and revocation runbook, licensing terms</w:t>
            </w:r>
          </w:p>
        </w:tc>
        <w:tc>
          <w:tcPr/>
          <w:p>
            <w:pPr>
              <w:pStyle w:val="Compact"/>
            </w:pPr>
            <w:r>
              <w:t xml:space="preserve">Per deployment; updated per release affecting classroom scope</w:t>
            </w:r>
          </w:p>
        </w:tc>
        <w:tc>
          <w:tcPr/>
          <w:p>
            <w:pPr>
              <w:pStyle w:val="Compact"/>
            </w:pPr>
            <w:r>
              <w:t xml:space="preserve">Deployment documentation + admin console export</w:t>
            </w:r>
          </w:p>
        </w:tc>
        <w:tc>
          <w:tcPr/>
          <w:p>
            <w:pPr>
              <w:pStyle w:val="Compact"/>
            </w:pPr>
            <w:r>
              <w:t xml:space="preserve">Product Owner</w:t>
            </w:r>
          </w:p>
        </w:tc>
      </w:tr>
      <w:tr>
        <w:tc>
          <w:tcPr/>
          <w:p>
            <w:pPr>
              <w:pStyle w:val="Compact"/>
            </w:pPr>
            <w:r>
              <w:t xml:space="preserve">Extension Developer / Contributor (STK-15)</w:t>
            </w:r>
          </w:p>
        </w:tc>
        <w:tc>
          <w:tcPr/>
          <w:p>
            <w:pPr>
              <w:pStyle w:val="Compact"/>
            </w:pPr>
            <w:r>
              <w:t xml:space="preserve">Extension SDK documentation and read-API contract (FR-EXT-001/002), contribution and security policy (</w:t>
            </w:r>
            <w:r>
              <w:rPr>
                <w:rStyle w:val="VerbatimChar"/>
              </w:rPr>
              <w:t xml:space="preserve">CONTRIBUTING.md</w:t>
            </w:r>
            <w:r>
              <w:t xml:space="preserve">,</w:t>
            </w:r>
            <w:r>
              <w:t xml:space="preserve"> </w:t>
            </w:r>
            <w:r>
              <w:rPr>
                <w:rStyle w:val="VerbatimChar"/>
              </w:rPr>
              <w:t xml:space="preserve">SECURITY.md</w:t>
            </w:r>
            <w:r>
              <w:t xml:space="preserve">), release notes</w:t>
            </w:r>
          </w:p>
        </w:tc>
        <w:tc>
          <w:tcPr/>
          <w:p>
            <w:pPr>
              <w:pStyle w:val="Compact"/>
            </w:pPr>
            <w:r>
              <w:t xml:space="preserve">Per public release; SDK docs when FR-EXT ships</w:t>
            </w:r>
          </w:p>
        </w:tc>
        <w:tc>
          <w:tcPr/>
          <w:p>
            <w:pPr>
              <w:pStyle w:val="Compact"/>
            </w:pPr>
            <w:r>
              <w:t xml:space="preserve">GitHub repository and releases</w:t>
            </w:r>
          </w:p>
        </w:tc>
        <w:tc>
          <w:tcPr/>
          <w:p>
            <w:pPr>
              <w:pStyle w:val="Compact"/>
            </w:pPr>
            <w:r>
              <w:t xml:space="preserve">Engineering Lead</w:t>
            </w:r>
          </w:p>
        </w:tc>
      </w:tr>
      <w:tr>
        <w:tc>
          <w:tcPr/>
          <w:p>
            <w:pPr>
              <w:pStyle w:val="Compact"/>
            </w:pPr>
            <w:r>
              <w:t xml:space="preserve">Store / Platform Reviewer (STK-16)</w:t>
            </w:r>
          </w:p>
        </w:tc>
        <w:tc>
          <w:tcPr/>
          <w:p>
            <w:pPr>
              <w:pStyle w:val="Compact"/>
            </w:pPr>
            <w:r>
              <w:t xml:space="preserve">Signed MSIX and notarized DMG submissions with privacy declarations</w:t>
            </w:r>
          </w:p>
        </w:tc>
        <w:tc>
          <w:tcPr/>
          <w:p>
            <w:pPr>
              <w:pStyle w:val="Compact"/>
            </w:pPr>
            <w:r>
              <w:t xml:space="preserve">Per store submission (Phase 22)</w:t>
            </w:r>
          </w:p>
        </w:tc>
        <w:tc>
          <w:tcPr/>
          <w:p>
            <w:pPr>
              <w:pStyle w:val="Compact"/>
            </w:pPr>
            <w:r>
              <w:t xml:space="preserve">Store submission portals</w:t>
            </w:r>
          </w:p>
        </w:tc>
        <w:tc>
          <w:tcPr/>
          <w:p>
            <w:pPr>
              <w:pStyle w:val="Compact"/>
            </w:pPr>
            <w:r>
              <w:t xml:space="preserve">Engineering Lead</w:t>
            </w:r>
          </w:p>
        </w:tc>
      </w:tr>
    </w:tbl>
    <w:bookmarkEnd w:id="19"/>
    <w:bookmarkEnd w:id="20"/>
    <w:bookmarkStart w:id="23" w:name="approval-matrix-for-ogma-library"/>
    <w:p>
      <w:pPr>
        <w:pStyle w:val="Heading2"/>
      </w:pPr>
      <w:r>
        <w:t xml:space="preserve">Approval Matrix for Ogma Library</w:t>
      </w:r>
    </w:p>
    <w:p>
      <w:pPr>
        <w:pStyle w:val="FirstParagraph"/>
      </w:pPr>
      <w:r>
        <w:t xml:space="preserve">This matrix records which role approves each engagement artefact and which gate the approval satisfies, under the hybrid (Water-Scrum-Fall) governance model: a formal SRS baseline is signed off, then delivery proceeds across the grand-plan build phases under release gates. Baseline v2.0 supersedes the signed v1.0 baseline under a Change Impact Analysis and itself requires product-owner sign-off before Phases 19–23 artefacts are gated against it.</w:t>
      </w:r>
    </w:p>
    <w:p>
      <w:pPr>
        <w:pStyle w:val="BodyText"/>
      </w:pPr>
      <w:r>
        <w:t xml:space="preserve">Under the hybrid cross-cutting rule, the</w:t>
      </w:r>
      <w:r>
        <w:t xml:space="preserve"> </w:t>
      </w:r>
      <w:r>
        <w:rPr>
          <w:rStyle w:val="VerbatimChar"/>
        </w:rPr>
        <w:t xml:space="preserve">hybrid-synchronization</w:t>
      </w:r>
      <w:r>
        <w:t xml:space="preserve"> </w:t>
      </w:r>
      <w:r>
        <w:t xml:space="preserve">step runs after the Phase 02 Waterfall SRS is signed off and before any Phase 07 Agile artefact is generated; the kernel blocks Phase 07 outputs until</w:t>
      </w:r>
      <w:r>
        <w:t xml:space="preserve"> </w:t>
      </w:r>
      <w:r>
        <w:rPr>
          <w:rStyle w:val="VerbatimChar"/>
        </w:rPr>
        <w:t xml:space="preserve">python -m engine validate Ogma-Library</w:t>
      </w:r>
      <w:r>
        <w:t xml:space="preserve"> </w:t>
      </w:r>
      <w:r>
        <w:t xml:space="preserve">passes the hybrid gate.</w:t>
      </w:r>
    </w:p>
    <w:bookmarkStart w:id="21" w:name="approval-authority-by-artefact"/>
    <w:p>
      <w:pPr>
        <w:pStyle w:val="Heading3"/>
      </w:pPr>
      <w:r>
        <w:t xml:space="preserve">Approval Authority by Artefact</w:t>
      </w:r>
    </w:p>
    <w:p>
      <w:pPr>
        <w:pStyle w:val="FirstParagraph"/>
      </w:pPr>
      <w:r>
        <w:t xml:space="preserve">Each artefact has exactly one accountable approver; other roles prepare or review.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Artefact</w:t>
            </w:r>
          </w:p>
        </w:tc>
        <w:tc>
          <w:tcPr/>
          <w:p>
            <w:pPr>
              <w:pStyle w:val="Compact"/>
            </w:pPr>
            <w:r>
              <w:t xml:space="preserve">Preparer</w:t>
            </w:r>
          </w:p>
        </w:tc>
        <w:tc>
          <w:tcPr/>
          <w:p>
            <w:pPr>
              <w:pStyle w:val="Compact"/>
            </w:pPr>
            <w:r>
              <w:t xml:space="preserve">Accountable Approver</w:t>
            </w:r>
          </w:p>
        </w:tc>
        <w:tc>
          <w:tcPr/>
          <w:p>
            <w:pPr>
              <w:pStyle w:val="Compact"/>
            </w:pPr>
            <w:r>
              <w:t xml:space="preserve">Gate</w:t>
            </w:r>
          </w:p>
        </w:tc>
      </w:tr>
      <w:tr>
        <w:tc>
          <w:tcPr/>
          <w:p>
            <w:pPr>
              <w:pStyle w:val="Compact"/>
            </w:pPr>
            <w:r>
              <w:t xml:space="preserve">Vision and Product Requirements Document (PRD)</w:t>
            </w:r>
          </w:p>
        </w:tc>
        <w:tc>
          <w:tcPr/>
          <w:p>
            <w:pPr>
              <w:pStyle w:val="Compact"/>
            </w:pPr>
            <w:r>
              <w:t xml:space="preserve">Product Owner</w:t>
            </w:r>
          </w:p>
        </w:tc>
        <w:tc>
          <w:tcPr/>
          <w:p>
            <w:pPr>
              <w:pStyle w:val="Compact"/>
            </w:pPr>
            <w:r>
              <w:t xml:space="preserve">Product Owner (STK-01)</w:t>
            </w:r>
          </w:p>
        </w:tc>
        <w:tc>
          <w:tcPr/>
          <w:p>
            <w:pPr>
              <w:pStyle w:val="Compact"/>
            </w:pPr>
            <w:r>
              <w:t xml:space="preserve">Phase 01 strategic-vision gate</w:t>
            </w:r>
          </w:p>
        </w:tc>
      </w:tr>
      <w:tr>
        <w:tc>
          <w:tcPr/>
          <w:p>
            <w:pPr>
              <w:pStyle w:val="Compact"/>
            </w:pPr>
            <w:r>
              <w:t xml:space="preserve">SRS baseline v2.0 (supersedes v1.0)</w:t>
            </w:r>
          </w:p>
        </w:tc>
        <w:tc>
          <w:tcPr/>
          <w:p>
            <w:pPr>
              <w:pStyle w:val="Compact"/>
            </w:pPr>
            <w:r>
              <w:t xml:space="preserve">Lead Consultant with QA / Verification Engineer</w:t>
            </w:r>
          </w:p>
        </w:tc>
        <w:tc>
          <w:tcPr/>
          <w:p>
            <w:pPr>
              <w:pStyle w:val="Compact"/>
            </w:pPr>
            <w:r>
              <w:t xml:space="preserve">Product Owner (STK-01)</w:t>
            </w:r>
          </w:p>
        </w:tc>
        <w:tc>
          <w:tcPr/>
          <w:p>
            <w:pPr>
              <w:pStyle w:val="Compact"/>
            </w:pPr>
            <w:r>
              <w:t xml:space="preserve">Phase 02 SRS re-baseline sign-off (hybrid baseline)</w:t>
            </w:r>
          </w:p>
        </w:tc>
      </w:tr>
      <w:tr>
        <w:tc>
          <w:tcPr/>
          <w:p>
            <w:pPr>
              <w:pStyle w:val="Compact"/>
            </w:pPr>
            <w:r>
              <w:t xml:space="preserve">Change Impact Analysis for the v1.0 → v2.0 scope expansion</w:t>
            </w:r>
          </w:p>
        </w:tc>
        <w:tc>
          <w:tcPr/>
          <w:p>
            <w:pPr>
              <w:pStyle w:val="Compact"/>
            </w:pPr>
            <w:r>
              <w:t xml:space="preserve">Engineering Lead</w:t>
            </w:r>
          </w:p>
        </w:tc>
        <w:tc>
          <w:tcPr/>
          <w:p>
            <w:pPr>
              <w:pStyle w:val="Compact"/>
            </w:pPr>
            <w:r>
              <w:t xml:space="preserve">Product Owner (STK-01)</w:t>
            </w:r>
          </w:p>
        </w:tc>
        <w:tc>
          <w:tcPr/>
          <w:p>
            <w:pPr>
              <w:pStyle w:val="Compact"/>
            </w:pPr>
            <w:r>
              <w:t xml:space="preserve">Precondition of the v2.0 sign-off</w:t>
            </w:r>
          </w:p>
        </w:tc>
      </w:tr>
      <w:tr>
        <w:tc>
          <w:tcPr/>
          <w:p>
            <w:pPr>
              <w:pStyle w:val="Compact"/>
            </w:pPr>
            <w:r>
              <w:t xml:space="preserve">Architecture ADRs, incl. ADR-0010 (opt-in host mode amends CI-2), ADR-0011 (classroom identity and private state), ADR-0012 (school-managed AI), EF Core alignment amendment (OI-2)</w:t>
            </w:r>
          </w:p>
        </w:tc>
        <w:tc>
          <w:tcPr/>
          <w:p>
            <w:pPr>
              <w:pStyle w:val="Compact"/>
            </w:pPr>
            <w:r>
              <w:t xml:space="preserve">Engineering Lead</w:t>
            </w:r>
          </w:p>
        </w:tc>
        <w:tc>
          <w:tcPr/>
          <w:p>
            <w:pPr>
              <w:pStyle w:val="Compact"/>
            </w:pPr>
            <w:r>
              <w:t xml:space="preserve">Product Owner (STK-01) ratifies; Engineering Lead (STK-02) authors</w:t>
            </w:r>
          </w:p>
        </w:tc>
        <w:tc>
          <w:tcPr/>
          <w:p>
            <w:pPr>
              <w:pStyle w:val="Compact"/>
            </w:pPr>
            <w:r>
              <w:t xml:space="preserve">Per-decision ratification at the relevant phase gate</w:t>
            </w:r>
          </w:p>
        </w:tc>
      </w:tr>
      <w:tr>
        <w:tc>
          <w:tcPr/>
          <w:p>
            <w:pPr>
              <w:pStyle w:val="Compact"/>
            </w:pPr>
            <w:r>
              <w:t xml:space="preserve">AI gateway and privacy-tier specification, incl. classroom proxy and quota policy</w:t>
            </w:r>
          </w:p>
        </w:tc>
        <w:tc>
          <w:tcPr/>
          <w:p>
            <w:pPr>
              <w:pStyle w:val="Compact"/>
            </w:pPr>
            <w:r>
              <w:t xml:space="preserve">AI Engineer</w:t>
            </w:r>
          </w:p>
        </w:tc>
        <w:tc>
          <w:tcPr/>
          <w:p>
            <w:pPr>
              <w:pStyle w:val="Compact"/>
            </w:pPr>
            <w:r>
              <w:t xml:space="preserve">Product Owner (STK-01) ratifies; AI Engineer (STK-03) authors</w:t>
            </w:r>
          </w:p>
        </w:tc>
        <w:tc>
          <w:tcPr/>
          <w:p>
            <w:pPr>
              <w:pStyle w:val="Compact"/>
            </w:pPr>
            <w:r>
              <w:t xml:space="preserve">AI feature gates; Phase 18 evidence review</w:t>
            </w:r>
          </w:p>
        </w:tc>
      </w:tr>
      <w:tr>
        <w:tc>
          <w:tcPr/>
          <w:p>
            <w:pPr>
              <w:pStyle w:val="Compact"/>
            </w:pPr>
            <w:r>
              <w:t xml:space="preserve">DPIA screening per off-device feature; classroom DPIA naming the school as data controller</w:t>
            </w:r>
          </w:p>
        </w:tc>
        <w:tc>
          <w:tcPr/>
          <w:p>
            <w:pPr>
              <w:pStyle w:val="Compact"/>
            </w:pPr>
            <w:r>
              <w:t xml:space="preserve">AI Engineer with Engineering Lead</w:t>
            </w:r>
          </w:p>
        </w:tc>
        <w:tc>
          <w:tcPr/>
          <w:p>
            <w:pPr>
              <w:pStyle w:val="Compact"/>
            </w:pPr>
            <w:r>
              <w:t xml:space="preserve">Product Owner (STK-01); the deploying school (STK-14) accepts its deployment DPIA</w:t>
            </w:r>
          </w:p>
        </w:tc>
        <w:tc>
          <w:tcPr/>
          <w:p>
            <w:pPr>
              <w:pStyle w:val="Compact"/>
            </w:pPr>
            <w:r>
              <w:t xml:space="preserve">Before the feature's release gate; per classroom deployment</w:t>
            </w:r>
          </w:p>
        </w:tc>
      </w:tr>
      <w:tr>
        <w:tc>
          <w:tcPr/>
          <w:p>
            <w:pPr>
              <w:pStyle w:val="Compact"/>
            </w:pPr>
            <w:r>
              <w:t xml:space="preserve">Test strategy, golden-corpus coverage, planned TC- backlog</w:t>
            </w:r>
          </w:p>
        </w:tc>
        <w:tc>
          <w:tcPr/>
          <w:p>
            <w:pPr>
              <w:pStyle w:val="Compact"/>
            </w:pPr>
            <w:r>
              <w:t xml:space="preserve">QA / Verification Engineer</w:t>
            </w:r>
          </w:p>
        </w:tc>
        <w:tc>
          <w:tcPr/>
          <w:p>
            <w:pPr>
              <w:pStyle w:val="Compact"/>
            </w:pPr>
            <w:r>
              <w:t xml:space="preserve">QA / Verification Engineer (STK-04)</w:t>
            </w:r>
          </w:p>
        </w:tc>
        <w:tc>
          <w:tcPr/>
          <w:p>
            <w:pPr>
              <w:pStyle w:val="Compact"/>
            </w:pPr>
            <w:r>
              <w:t xml:space="preserve">Release gates through Phase 23</w:t>
            </w:r>
          </w:p>
        </w:tc>
      </w:tr>
      <w:tr>
        <w:tc>
          <w:tcPr/>
          <w:p>
            <w:pPr>
              <w:pStyle w:val="Compact"/>
            </w:pPr>
            <w:r>
              <w:t xml:space="preserve">Phase 20 NFR acceptance evidence (W-REF-01 / M-REF-01)</w:t>
            </w:r>
          </w:p>
        </w:tc>
        <w:tc>
          <w:tcPr/>
          <w:p>
            <w:pPr>
              <w:pStyle w:val="Compact"/>
            </w:pPr>
            <w:r>
              <w:t xml:space="preserve">QA / Verification Engineer</w:t>
            </w:r>
          </w:p>
        </w:tc>
        <w:tc>
          <w:tcPr/>
          <w:p>
            <w:pPr>
              <w:pStyle w:val="Compact"/>
            </w:pPr>
            <w:r>
              <w:t xml:space="preserve">Product Owner (STK-01)</w:t>
            </w:r>
          </w:p>
        </w:tc>
        <w:tc>
          <w:tcPr/>
          <w:p>
            <w:pPr>
              <w:pStyle w:val="Compact"/>
            </w:pPr>
            <w:r>
              <w:t xml:space="preserve">Phase 20 performance gate</w:t>
            </w:r>
          </w:p>
        </w:tc>
      </w:tr>
      <w:tr>
        <w:tc>
          <w:tcPr/>
          <w:p>
            <w:pPr>
              <w:pStyle w:val="Compact"/>
            </w:pPr>
            <w:r>
              <w:t xml:space="preserve">WCAG 2.2 AA audit report</w:t>
            </w:r>
          </w:p>
        </w:tc>
        <w:tc>
          <w:tcPr/>
          <w:p>
            <w:pPr>
              <w:pStyle w:val="Compact"/>
            </w:pPr>
            <w:r>
              <w:t xml:space="preserve">Design / UX Engineer</w:t>
            </w:r>
          </w:p>
        </w:tc>
        <w:tc>
          <w:tcPr/>
          <w:p>
            <w:pPr>
              <w:pStyle w:val="Compact"/>
            </w:pPr>
            <w:r>
              <w:t xml:space="preserve">Product Owner (STK-01)</w:t>
            </w:r>
          </w:p>
        </w:tc>
        <w:tc>
          <w:tcPr/>
          <w:p>
            <w:pPr>
              <w:pStyle w:val="Compact"/>
            </w:pPr>
            <w:r>
              <w:t xml:space="preserve">Phase 21 accessibility gate</w:t>
            </w:r>
          </w:p>
        </w:tc>
      </w:tr>
      <w:tr>
        <w:tc>
          <w:tcPr/>
          <w:p>
            <w:pPr>
              <w:pStyle w:val="Compact"/>
            </w:pPr>
            <w:r>
              <w:t xml:space="preserve">Security hardening evidence (threat model, at-rest encryption, SAST)</w:t>
            </w:r>
          </w:p>
        </w:tc>
        <w:tc>
          <w:tcPr/>
          <w:p>
            <w:pPr>
              <w:pStyle w:val="Compact"/>
            </w:pPr>
            <w:r>
              <w:t xml:space="preserve">Engineering Lead</w:t>
            </w:r>
          </w:p>
        </w:tc>
        <w:tc>
          <w:tcPr/>
          <w:p>
            <w:pPr>
              <w:pStyle w:val="Compact"/>
            </w:pPr>
            <w:r>
              <w:t xml:space="preserve">Product Owner (STK-01)</w:t>
            </w:r>
          </w:p>
        </w:tc>
        <w:tc>
          <w:tcPr/>
          <w:p>
            <w:pPr>
              <w:pStyle w:val="Compact"/>
            </w:pPr>
            <w:r>
              <w:t xml:space="preserve">Phase 19 security gate</w:t>
            </w:r>
          </w:p>
        </w:tc>
      </w:tr>
      <w:tr>
        <w:tc>
          <w:tcPr/>
          <w:p>
            <w:pPr>
              <w:pStyle w:val="Compact"/>
            </w:pPr>
            <w:r>
              <w:t xml:space="preserve">Packaging, signing, and store submissions (Velopack, MSIX, DMG)</w:t>
            </w:r>
          </w:p>
        </w:tc>
        <w:tc>
          <w:tcPr/>
          <w:p>
            <w:pPr>
              <w:pStyle w:val="Compact"/>
            </w:pPr>
            <w:r>
              <w:t xml:space="preserve">Engineering Lead</w:t>
            </w:r>
          </w:p>
        </w:tc>
        <w:tc>
          <w:tcPr/>
          <w:p>
            <w:pPr>
              <w:pStyle w:val="Compact"/>
            </w:pPr>
            <w:r>
              <w:t xml:space="preserve">Product Owner (STK-01); store reviewers (STK-16) hold channel veto</w:t>
            </w:r>
          </w:p>
        </w:tc>
        <w:tc>
          <w:tcPr/>
          <w:p>
            <w:pPr>
              <w:pStyle w:val="Compact"/>
            </w:pPr>
            <w:r>
              <w:t xml:space="preserve">Phase 22 packaging gate</w:t>
            </w:r>
          </w:p>
        </w:tc>
      </w:tr>
      <w:tr>
        <w:tc>
          <w:tcPr/>
          <w:p>
            <w:pPr>
              <w:pStyle w:val="Compact"/>
            </w:pPr>
            <w:r>
              <w:t xml:space="preserve">Extension SDK and read-API contract (FR-EXT-001/002)</w:t>
            </w:r>
          </w:p>
        </w:tc>
        <w:tc>
          <w:tcPr/>
          <w:p>
            <w:pPr>
              <w:pStyle w:val="Compact"/>
            </w:pPr>
            <w:r>
              <w:t xml:space="preserve">Engineering Lead</w:t>
            </w:r>
          </w:p>
        </w:tc>
        <w:tc>
          <w:tcPr/>
          <w:p>
            <w:pPr>
              <w:pStyle w:val="Compact"/>
            </w:pPr>
            <w:r>
              <w:t xml:space="preserve">Product Owner (STK-01)</w:t>
            </w:r>
          </w:p>
        </w:tc>
        <w:tc>
          <w:tcPr/>
          <w:p>
            <w:pPr>
              <w:pStyle w:val="Compact"/>
            </w:pPr>
            <w:r>
              <w:t xml:space="preserve">Before any public SDK release</w:t>
            </w:r>
          </w:p>
        </w:tc>
      </w:tr>
      <w:tr>
        <w:tc>
          <w:tcPr/>
          <w:p>
            <w:pPr>
              <w:pStyle w:val="Compact"/>
            </w:pPr>
            <w:r>
              <w:t xml:space="preserve">Release readiness per phase; launch readiness</w:t>
            </w:r>
          </w:p>
        </w:tc>
        <w:tc>
          <w:tcPr/>
          <w:p>
            <w:pPr>
              <w:pStyle w:val="Compact"/>
            </w:pPr>
            <w:r>
              <w:t xml:space="preserve">QA / Verification Engineer (with Design / UX Engineer at launch)</w:t>
            </w:r>
          </w:p>
        </w:tc>
        <w:tc>
          <w:tcPr/>
          <w:p>
            <w:pPr>
              <w:pStyle w:val="Compact"/>
            </w:pPr>
            <w:r>
              <w:t xml:space="preserve">Product Owner (STK-01)</w:t>
            </w:r>
          </w:p>
        </w:tc>
        <w:tc>
          <w:tcPr/>
          <w:p>
            <w:pPr>
              <w:pStyle w:val="Compact"/>
            </w:pPr>
            <w:r>
              <w:t xml:space="preserve">Per-phase release gate; Phase 23 launch gate</w:t>
            </w:r>
          </w:p>
        </w:tc>
      </w:tr>
    </w:tbl>
    <w:bookmarkEnd w:id="21"/>
    <w:bookmarkStart w:id="22" w:name="approval-rules"/>
    <w:p>
      <w:pPr>
        <w:pStyle w:val="Heading3"/>
      </w:pPr>
      <w:r>
        <w:t xml:space="preserve">Approval Rules</w:t>
      </w:r>
    </w:p>
    <w:p>
      <w:pPr>
        <w:pStyle w:val="Compact"/>
        <w:numPr>
          <w:ilvl w:val="0"/>
          <w:numId w:val="1003"/>
        </w:numPr>
      </w:pPr>
      <w:r>
        <w:t xml:space="preserve">Exactly one role is accountable per artefact. Where an artefact lists an author and a ratifier, the author owns the technical content and the Product Owner ratifies at the gate.</w:t>
      </w:r>
    </w:p>
    <w:p>
      <w:pPr>
        <w:pStyle w:val="Compact"/>
        <w:numPr>
          <w:ilvl w:val="0"/>
          <w:numId w:val="1003"/>
        </w:numPr>
      </w:pPr>
      <w:r>
        <w:t xml:space="preserve">Any change to a baselined FR, non-functional requirement (NFR), or control (CTRL) requires a Change Impact Analysis entry with a rollback plan before acceptance — including changes to the 101-FR closed inventory.</w:t>
      </w:r>
    </w:p>
    <w:p>
      <w:pPr>
        <w:pStyle w:val="Compact"/>
        <w:numPr>
          <w:ilvl w:val="0"/>
          <w:numId w:val="1003"/>
        </w:numPr>
      </w:pPr>
      <w:r>
        <w:t xml:space="preserve">No Phase 07 launch artefact is generated until the hybrid gate passes.</w:t>
      </w:r>
    </w:p>
    <w:p>
      <w:pPr>
        <w:pStyle w:val="Compact"/>
        <w:numPr>
          <w:ilvl w:val="0"/>
          <w:numId w:val="1003"/>
        </w:numPr>
      </w:pPr>
      <w:r>
        <w:t xml:space="preserve">Each gate sign-off is recorded in the sign-off ledger before the next phase begins; each phase closure produces a baseline snapshot.</w:t>
      </w:r>
    </w:p>
    <w:p>
      <w:pPr>
        <w:pStyle w:val="Compact"/>
        <w:numPr>
          <w:ilvl w:val="0"/>
          <w:numId w:val="1003"/>
        </w:numPr>
      </w:pPr>
      <w:r>
        <w:t xml:space="preserve">Classroom deployments add a second, external approval: the deploying school (STK-14) accepts its deployment DPIA and licensing terms; Chwezi Core cannot approve on the school's behalf because the school is the data controller.</w:t>
      </w:r>
    </w:p>
    <w:p>
      <w:pPr>
        <w:pStyle w:val="FirstParagraph"/>
      </w:pPr>
      <w:r>
        <w:rPr>
          <w:i/>
          <w:iCs/>
        </w:rPr>
        <w:t xml:space="preserve">The Product Owner and the Chwezi Core Systems executive function remain the same individual, so the Product Owner is the terminal internal approver for every artefact. The v2.0 model now names two genuinely external approval authorities — the deploying school (per deployment) and the store reviewers (per channel) — which removes the v1.0 open question about an independent approver for externally consequential artefacts.</w:t>
      </w:r>
    </w:p>
    <w:bookmarkEnd w:id="22"/>
    <w:bookmarkEnd w:id="23"/>
    <w:bookmarkStart w:id="28" w:name="raci-matrix-for-ogma-library"/>
    <w:p>
      <w:pPr>
        <w:pStyle w:val="Heading2"/>
      </w:pPr>
      <w:r>
        <w:t xml:space="preserve">RACI Matrix for Ogma Library</w:t>
      </w:r>
    </w:p>
    <w:p>
      <w:pPr>
        <w:pStyle w:val="FirstParagraph"/>
      </w:pPr>
      <w:r>
        <w:t xml:space="preserve">This matrix assigns Responsible, Accountable, Consulted, and Informed (RACI) roles across the 10 core engagement activities — the 7 v1.0 activities plus 3 added for the classroom product and the open-source/Extension ambitions. Each cell holds a single RACI code; a blank cell means no involvement.</w:t>
      </w:r>
    </w:p>
    <w:bookmarkStart w:id="24" w:name="raci-definitions"/>
    <w:p>
      <w:pPr>
        <w:pStyle w:val="Heading3"/>
      </w:pPr>
      <w:r>
        <w:t xml:space="preserve">RACI Definitions</w:t>
      </w:r>
    </w:p>
    <w:p>
      <w:pPr>
        <w:pStyle w:val="FirstParagraph"/>
      </w:pPr>
      <w:r>
        <w:t xml:space="preserve">RACI definitions follow the organisational responsibility model of IEEE Std 610.12-1990.</w:t>
      </w:r>
    </w:p>
    <w:p>
      <w:pPr>
        <w:pStyle w:val="Compact"/>
        <w:numPr>
          <w:ilvl w:val="0"/>
          <w:numId w:val="1004"/>
        </w:numPr>
      </w:pPr>
      <w:r>
        <w:rPr>
          <w:b/>
          <w:bCs/>
        </w:rPr>
        <w:t xml:space="preserve">R</w:t>
      </w:r>
      <w:r>
        <w:t xml:space="preserve"> </w:t>
      </w:r>
      <w:r>
        <w:t xml:space="preserve">— Responsible: executes the activity or produces the artefact.</w:t>
      </w:r>
    </w:p>
    <w:p>
      <w:pPr>
        <w:pStyle w:val="Compact"/>
        <w:numPr>
          <w:ilvl w:val="0"/>
          <w:numId w:val="1004"/>
        </w:numPr>
      </w:pPr>
      <w:r>
        <w:rPr>
          <w:b/>
          <w:bCs/>
        </w:rPr>
        <w:t xml:space="preserve">A</w:t>
      </w:r>
      <w:r>
        <w:t xml:space="preserve"> </w:t>
      </w:r>
      <w:r>
        <w:t xml:space="preserve">— Accountable: owns the outcome and holds final sign-off authority. Exactly one</w:t>
      </w:r>
      <w:r>
        <w:t xml:space="preserve"> </w:t>
      </w:r>
      <w:r>
        <w:rPr>
          <w:i/>
          <w:iCs/>
        </w:rPr>
        <w:t xml:space="preserve">A</w:t>
      </w:r>
      <w:r>
        <w:t xml:space="preserve"> </w:t>
      </w:r>
      <w:r>
        <w:t xml:space="preserve">per row.</w:t>
      </w:r>
    </w:p>
    <w:p>
      <w:pPr>
        <w:pStyle w:val="Compact"/>
        <w:numPr>
          <w:ilvl w:val="0"/>
          <w:numId w:val="1004"/>
        </w:numPr>
      </w:pPr>
      <w:r>
        <w:rPr>
          <w:b/>
          <w:bCs/>
        </w:rPr>
        <w:t xml:space="preserve">C</w:t>
      </w:r>
      <w:r>
        <w:t xml:space="preserve"> </w:t>
      </w:r>
      <w:r>
        <w:t xml:space="preserve">— Consulted: provides input before the decision; two-way communication.</w:t>
      </w:r>
    </w:p>
    <w:p>
      <w:pPr>
        <w:pStyle w:val="Compact"/>
        <w:numPr>
          <w:ilvl w:val="0"/>
          <w:numId w:val="1004"/>
        </w:numPr>
      </w:pPr>
      <w:r>
        <w:rPr>
          <w:b/>
          <w:bCs/>
        </w:rPr>
        <w:t xml:space="preserve">I</w:t>
      </w:r>
      <w:r>
        <w:t xml:space="preserve"> </w:t>
      </w:r>
      <w:r>
        <w:t xml:space="preserve">— Informed: notified of the outcome; one-way communication.</w:t>
      </w:r>
    </w:p>
    <w:bookmarkEnd w:id="24"/>
    <w:bookmarkStart w:id="25" w:name="raci-roles"/>
    <w:p>
      <w:pPr>
        <w:pStyle w:val="Heading3"/>
      </w:pPr>
      <w:r>
        <w:t xml:space="preserve">RACI Roles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Role</w:t>
            </w:r>
          </w:p>
        </w:tc>
        <w:tc>
          <w:tcPr/>
          <w:p>
            <w:pPr>
              <w:pStyle w:val="Compact"/>
            </w:pPr>
            <w:r>
              <w:t xml:space="preserve">Holder</w:t>
            </w:r>
          </w:p>
        </w:tc>
      </w:tr>
      <w:tr>
        <w:tc>
          <w:tcPr/>
          <w:p>
            <w:pPr>
              <w:pStyle w:val="Compact"/>
            </w:pPr>
            <w:r>
              <w:t xml:space="preserve">PO</w:t>
            </w:r>
          </w:p>
        </w:tc>
        <w:tc>
          <w:tcPr/>
          <w:p>
            <w:pPr>
              <w:pStyle w:val="Compact"/>
            </w:pPr>
            <w:r>
              <w:t xml:space="preserve">Product Owner</w:t>
            </w:r>
          </w:p>
        </w:tc>
        <w:tc>
          <w:tcPr/>
          <w:p>
            <w:pPr>
              <w:pStyle w:val="Compact"/>
            </w:pPr>
            <w:r>
              <w:t xml:space="preserve">Peter Bamuhigire, Chwezi Core Systems</w:t>
            </w:r>
          </w:p>
        </w:tc>
      </w:tr>
      <w:tr>
        <w:tc>
          <w:tcPr/>
          <w:p>
            <w:pPr>
              <w:pStyle w:val="Compact"/>
            </w:pPr>
            <w:r>
              <w:t xml:space="preserve">EL</w:t>
            </w:r>
          </w:p>
        </w:tc>
        <w:tc>
          <w:tcPr/>
          <w:p>
            <w:pPr>
              <w:pStyle w:val="Compact"/>
            </w:pPr>
            <w:r>
              <w:t xml:space="preserve">Engineering Lead</w:t>
            </w:r>
          </w:p>
        </w:tc>
        <w:tc>
          <w:tcPr/>
          <w:p>
            <w:pPr>
              <w:pStyle w:val="Compact"/>
            </w:pPr>
            <w:r>
              <w:t xml:space="preserve">Internal delivery team</w:t>
            </w:r>
          </w:p>
        </w:tc>
      </w:tr>
      <w:tr>
        <w:tc>
          <w:tcPr/>
          <w:p>
            <w:pPr>
              <w:pStyle w:val="Compact"/>
            </w:pPr>
            <w:r>
              <w:t xml:space="preserve">AI</w:t>
            </w:r>
          </w:p>
        </w:tc>
        <w:tc>
          <w:tcPr/>
          <w:p>
            <w:pPr>
              <w:pStyle w:val="Compact"/>
            </w:pPr>
            <w:r>
              <w:t xml:space="preserve">AI Engineer</w:t>
            </w:r>
          </w:p>
        </w:tc>
        <w:tc>
          <w:tcPr/>
          <w:p>
            <w:pPr>
              <w:pStyle w:val="Compact"/>
            </w:pPr>
            <w:r>
              <w:t xml:space="preserve">Internal delivery team</w:t>
            </w:r>
          </w:p>
        </w:tc>
      </w:tr>
      <w:tr>
        <w:tc>
          <w:tcPr/>
          <w:p>
            <w:pPr>
              <w:pStyle w:val="Compact"/>
            </w:pPr>
            <w:r>
              <w:t xml:space="preserve">QA</w:t>
            </w:r>
          </w:p>
        </w:tc>
        <w:tc>
          <w:tcPr/>
          <w:p>
            <w:pPr>
              <w:pStyle w:val="Compact"/>
            </w:pPr>
            <w:r>
              <w:t xml:space="preserve">QA / Verification Engineer</w:t>
            </w:r>
          </w:p>
        </w:tc>
        <w:tc>
          <w:tcPr/>
          <w:p>
            <w:pPr>
              <w:pStyle w:val="Compact"/>
            </w:pPr>
            <w:r>
              <w:t xml:space="preserve">Internal delivery team</w:t>
            </w:r>
          </w:p>
        </w:tc>
      </w:tr>
      <w:tr>
        <w:tc>
          <w:tcPr/>
          <w:p>
            <w:pPr>
              <w:pStyle w:val="Compact"/>
            </w:pPr>
            <w:r>
              <w:t xml:space="preserve">UX</w:t>
            </w:r>
          </w:p>
        </w:tc>
        <w:tc>
          <w:tcPr/>
          <w:p>
            <w:pPr>
              <w:pStyle w:val="Compact"/>
            </w:pPr>
            <w:r>
              <w:t xml:space="preserve">Design / UX Engineer</w:t>
            </w:r>
          </w:p>
        </w:tc>
        <w:tc>
          <w:tcPr/>
          <w:p>
            <w:pPr>
              <w:pStyle w:val="Compact"/>
            </w:pPr>
            <w:r>
              <w:t xml:space="preserve">Internal delivery team</w:t>
            </w:r>
          </w:p>
        </w:tc>
      </w:tr>
      <w:tr>
        <w:tc>
          <w:tcPr/>
          <w:p>
            <w:pPr>
              <w:pStyle w:val="Compact"/>
            </w:pPr>
            <w:r>
              <w:t xml:space="preserve">SCH</w:t>
            </w:r>
          </w:p>
        </w:tc>
        <w:tc>
          <w:tcPr/>
          <w:p>
            <w:pPr>
              <w:pStyle w:val="Compact"/>
            </w:pPr>
            <w:r>
              <w:t xml:space="preserve">Deploying School (STK-14)</w:t>
            </w:r>
          </w:p>
        </w:tc>
        <w:tc>
          <w:tcPr/>
          <w:p>
            <w:pPr>
              <w:pStyle w:val="Compact"/>
            </w:pPr>
            <w:r>
              <w:t xml:space="preserve">External, per classroom deployment</w:t>
            </w:r>
          </w:p>
        </w:tc>
      </w:tr>
    </w:tbl>
    <w:p>
      <w:pPr>
        <w:pStyle w:val="BodyText"/>
      </w:pPr>
      <w:r>
        <w:t xml:space="preserve">The 8 user personas (STK-06 through STK-13) are</w:t>
      </w:r>
      <w:r>
        <w:t xml:space="preserve"> </w:t>
      </w:r>
      <w:r>
        <w:rPr>
          <w:i/>
          <w:iCs/>
        </w:rPr>
        <w:t xml:space="preserve">Informed</w:t>
      </w:r>
      <w:r>
        <w:t xml:space="preserve"> </w:t>
      </w:r>
      <w:r>
        <w:t xml:space="preserve">across all activities through validation evidence and in-product surfaces; the extension community (STK-15) and store reviewers (STK-16) are</w:t>
      </w:r>
      <w:r>
        <w:t xml:space="preserve"> </w:t>
      </w:r>
      <w:r>
        <w:rPr>
          <w:i/>
          <w:iCs/>
        </w:rPr>
        <w:t xml:space="preserve">Informed</w:t>
      </w:r>
      <w:r>
        <w:t xml:space="preserve"> </w:t>
      </w:r>
      <w:r>
        <w:t xml:space="preserve">except where a row names them. Personas are omitted from the columns to keep exactly one accountable role per row.</w:t>
      </w:r>
    </w:p>
    <w:bookmarkEnd w:id="25"/>
    <w:bookmarkStart w:id="26" w:name="raci-table"/>
    <w:p>
      <w:pPr>
        <w:pStyle w:val="Heading3"/>
      </w:pPr>
      <w:r>
        <w:t xml:space="preserve">RACI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Activity</w:t>
            </w:r>
          </w:p>
        </w:tc>
        <w:tc>
          <w:tcPr/>
          <w:p>
            <w:pPr>
              <w:pStyle w:val="Compact"/>
            </w:pPr>
            <w:r>
              <w:t xml:space="preserve">PO</w:t>
            </w:r>
          </w:p>
        </w:tc>
        <w:tc>
          <w:tcPr/>
          <w:p>
            <w:pPr>
              <w:pStyle w:val="Compact"/>
            </w:pPr>
            <w:r>
              <w:t xml:space="preserve">EL</w:t>
            </w:r>
          </w:p>
        </w:tc>
        <w:tc>
          <w:tcPr/>
          <w:p>
            <w:pPr>
              <w:pStyle w:val="Compact"/>
            </w:pPr>
            <w:r>
              <w:t xml:space="preserve">AI</w:t>
            </w:r>
          </w:p>
        </w:tc>
        <w:tc>
          <w:tcPr/>
          <w:p>
            <w:pPr>
              <w:pStyle w:val="Compact"/>
            </w:pPr>
            <w:r>
              <w:t xml:space="preserve">QA</w:t>
            </w:r>
          </w:p>
        </w:tc>
        <w:tc>
          <w:tcPr/>
          <w:p>
            <w:pPr>
              <w:pStyle w:val="Compact"/>
            </w:pPr>
            <w:r>
              <w:t xml:space="preserve">UX</w:t>
            </w:r>
          </w:p>
        </w:tc>
        <w:tc>
          <w:tcPr/>
          <w:p>
            <w:pPr>
              <w:pStyle w:val="Compact"/>
            </w:pPr>
            <w:r>
              <w:t xml:space="preserve">SCH</w:t>
            </w:r>
          </w:p>
        </w:tc>
      </w:tr>
      <w:tr>
        <w:tc>
          <w:tcPr/>
          <w:p>
            <w:pPr>
              <w:pStyle w:val="Compact"/>
            </w:pPr>
            <w:r>
              <w:t xml:space="preserve">Vision and PRD</w:t>
            </w:r>
          </w:p>
        </w:tc>
        <w:tc>
          <w:tcPr/>
          <w:p>
            <w:pPr>
              <w:pStyle w:val="Compact"/>
            </w:pPr>
            <w:r>
              <w:rPr>
                <w:b/>
                <w:bCs/>
              </w:rPr>
              <w:t xml:space="preserve">A</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I</w:t>
            </w:r>
          </w:p>
        </w:tc>
        <w:tc>
          <w:tcPr/>
          <w:p>
            <w:pPr>
              <w:pStyle w:val="Compact"/>
            </w:pPr>
            <w:r>
              <w:rPr>
                <w:b/>
                <w:bCs/>
              </w:rPr>
              <w:t xml:space="preserve">C</w:t>
            </w:r>
          </w:p>
        </w:tc>
        <w:tc>
          <w:tcPr/>
          <w:p>
            <w:pPr>
              <w:pStyle w:val="Compact"/>
            </w:pPr>
          </w:p>
        </w:tc>
      </w:tr>
      <w:tr>
        <w:tc>
          <w:tcPr/>
          <w:p>
            <w:pPr>
              <w:pStyle w:val="Compact"/>
            </w:pPr>
            <w:r>
              <w:t xml:space="preserve">SRS baseline v2.0 (re-baseline + CIA)</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R</w:t>
            </w:r>
          </w:p>
        </w:tc>
        <w:tc>
          <w:tcPr/>
          <w:p>
            <w:pPr>
              <w:pStyle w:val="Compact"/>
            </w:pPr>
            <w:r>
              <w:rPr>
                <w:b/>
                <w:bCs/>
              </w:rPr>
              <w:t xml:space="preserve">C</w:t>
            </w:r>
          </w:p>
        </w:tc>
        <w:tc>
          <w:tcPr/>
          <w:p>
            <w:pPr>
              <w:pStyle w:val="Compact"/>
            </w:pPr>
          </w:p>
        </w:tc>
      </w:tr>
      <w:tr>
        <w:tc>
          <w:tcPr/>
          <w:p>
            <w:pPr>
              <w:pStyle w:val="Compact"/>
            </w:pPr>
            <w:r>
              <w:t xml:space="preserve">Architecture ADRs (incl. ADR-0010–0012)</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I</w:t>
            </w:r>
          </w:p>
        </w:tc>
        <w:tc>
          <w:tcPr/>
          <w:p>
            <w:pPr>
              <w:pStyle w:val="Compact"/>
            </w:pPr>
            <w:r>
              <w:rPr>
                <w:b/>
                <w:bCs/>
              </w:rPr>
              <w:t xml:space="preserve">C</w:t>
            </w:r>
          </w:p>
        </w:tc>
        <w:tc>
          <w:tcPr/>
          <w:p>
            <w:pPr>
              <w:pStyle w:val="Compact"/>
            </w:pPr>
          </w:p>
        </w:tc>
      </w:tr>
      <w:tr>
        <w:tc>
          <w:tcPr/>
          <w:p>
            <w:pPr>
              <w:pStyle w:val="Compact"/>
            </w:pPr>
            <w:r>
              <w:t xml:space="preserve">Risk spikes (WebView bridge, PDFium, FTS5, AI gateway, LAN transport)</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I</w:t>
            </w:r>
          </w:p>
        </w:tc>
        <w:tc>
          <w:tcPr/>
          <w:p>
            <w:pPr>
              <w:pStyle w:val="Compact"/>
            </w:pPr>
          </w:p>
        </w:tc>
      </w:tr>
      <w:tr>
        <w:tc>
          <w:tcPr/>
          <w:p>
            <w:pPr>
              <w:pStyle w:val="Compact"/>
            </w:pPr>
            <w:r>
              <w:t xml:space="preserve">Test strategy and TC- backlog</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A</w:t>
            </w:r>
          </w:p>
        </w:tc>
        <w:tc>
          <w:tcPr/>
          <w:p>
            <w:pPr>
              <w:pStyle w:val="Compact"/>
            </w:pPr>
            <w:r>
              <w:rPr>
                <w:b/>
                <w:bCs/>
              </w:rPr>
              <w:t xml:space="preserve">I</w:t>
            </w:r>
          </w:p>
        </w:tc>
        <w:tc>
          <w:tcPr/>
          <w:p>
            <w:pPr>
              <w:pStyle w:val="Compact"/>
            </w:pPr>
          </w:p>
        </w:tc>
      </w:tr>
      <w:tr>
        <w:tc>
          <w:tcPr/>
          <w:p>
            <w:pPr>
              <w:pStyle w:val="Compact"/>
            </w:pPr>
            <w:r>
              <w:t xml:space="preserve">Release gates (incl. Phase 19–21 evidence)</w:t>
            </w:r>
          </w:p>
        </w:tc>
        <w:tc>
          <w:tcPr/>
          <w:p>
            <w:pPr>
              <w:pStyle w:val="Compact"/>
            </w:pPr>
            <w:r>
              <w:rPr>
                <w:b/>
                <w:bCs/>
              </w:rPr>
              <w:t xml:space="preserve">A</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R</w:t>
            </w:r>
          </w:p>
        </w:tc>
        <w:tc>
          <w:tcPr/>
          <w:p>
            <w:pPr>
              <w:pStyle w:val="Compact"/>
            </w:pPr>
            <w:r>
              <w:rPr>
                <w:b/>
                <w:bCs/>
              </w:rPr>
              <w:t xml:space="preserve">C</w:t>
            </w:r>
          </w:p>
        </w:tc>
        <w:tc>
          <w:tcPr/>
          <w:p>
            <w:pPr>
              <w:pStyle w:val="Compact"/>
            </w:pPr>
          </w:p>
        </w:tc>
      </w:tr>
      <w:tr>
        <w:tc>
          <w:tcPr/>
          <w:p>
            <w:pPr>
              <w:pStyle w:val="Compact"/>
            </w:pPr>
            <w:r>
              <w:t xml:space="preserve">Classroom architecture and managed AI (Phases 16–18: host, client, admin)</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I</w:t>
            </w:r>
          </w:p>
        </w:tc>
      </w:tr>
      <w:tr>
        <w:tc>
          <w:tcPr/>
          <w:p>
            <w:pPr>
              <w:pStyle w:val="Compact"/>
            </w:pPr>
            <w:r>
              <w:t xml:space="preserve">DPIA and minors' data compliance (CTRL-024, CTRL-032)</w:t>
            </w:r>
          </w:p>
        </w:tc>
        <w:tc>
          <w:tcPr/>
          <w:p>
            <w:pPr>
              <w:pStyle w:val="Compact"/>
            </w:pPr>
            <w:r>
              <w:rPr>
                <w:b/>
                <w:bCs/>
              </w:rPr>
              <w:t xml:space="preserve">A</w:t>
            </w:r>
          </w:p>
        </w:tc>
        <w:tc>
          <w:tcPr/>
          <w:p>
            <w:pPr>
              <w:pStyle w:val="Compact"/>
            </w:pPr>
            <w:r>
              <w:rPr>
                <w:b/>
                <w:bCs/>
              </w:rPr>
              <w:t xml:space="preserve">C</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I</w:t>
            </w:r>
          </w:p>
        </w:tc>
        <w:tc>
          <w:tcPr/>
          <w:p>
            <w:pPr>
              <w:pStyle w:val="Compact"/>
            </w:pPr>
            <w:r>
              <w:rPr>
                <w:b/>
                <w:bCs/>
              </w:rPr>
              <w:t xml:space="preserve">C</w:t>
            </w:r>
          </w:p>
        </w:tc>
      </w:tr>
      <w:tr>
        <w:tc>
          <w:tcPr/>
          <w:p>
            <w:pPr>
              <w:pStyle w:val="Compact"/>
            </w:pPr>
            <w:r>
              <w:t xml:space="preserve">Extension SDK and open-source readiness (FR-EXT, CONTRIBUTING/SECURITY policy)</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I</w:t>
            </w:r>
          </w:p>
        </w:tc>
        <w:tc>
          <w:tcPr/>
          <w:p>
            <w:pPr>
              <w:pStyle w:val="Compact"/>
            </w:pPr>
          </w:p>
        </w:tc>
      </w:tr>
      <w:tr>
        <w:tc>
          <w:tcPr/>
          <w:p>
            <w:pPr>
              <w:pStyle w:val="Compact"/>
            </w:pPr>
            <w:r>
              <w:t xml:space="preserve">Launch (packaging, stores, beta)</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R</w:t>
            </w:r>
          </w:p>
        </w:tc>
        <w:tc>
          <w:tcPr/>
          <w:p>
            <w:pPr>
              <w:pStyle w:val="Compact"/>
            </w:pPr>
            <w:r>
              <w:rPr>
                <w:b/>
                <w:bCs/>
              </w:rPr>
              <w:t xml:space="preserve">R</w:t>
            </w:r>
          </w:p>
        </w:tc>
        <w:tc>
          <w:tcPr/>
          <w:p>
            <w:pPr>
              <w:pStyle w:val="Compact"/>
            </w:pPr>
          </w:p>
        </w:tc>
      </w:tr>
    </w:tbl>
    <w:bookmarkEnd w:id="26"/>
    <w:bookmarkStart w:id="27" w:name="notes"/>
    <w:p>
      <w:pPr>
        <w:pStyle w:val="Heading3"/>
      </w:pPr>
      <w:r>
        <w:t xml:space="preserve">Notes</w:t>
      </w:r>
    </w:p>
    <w:p>
      <w:pPr>
        <w:pStyle w:val="Compact"/>
        <w:numPr>
          <w:ilvl w:val="0"/>
          <w:numId w:val="1005"/>
        </w:numPr>
      </w:pPr>
      <w:r>
        <w:rPr>
          <w:b/>
          <w:bCs/>
        </w:rPr>
        <w:t xml:space="preserve">SRS baseline v2.0:</w:t>
      </w:r>
      <w:r>
        <w:t xml:space="preserve"> </w:t>
      </w:r>
      <w:r>
        <w:t xml:space="preserve">the Engineering Lead and QA / Verification Engineer are jointly responsible for a verifiable specification; the Product Owner holds sole sign-off at the re-baseline gate, which also accepts the Change Impact Analysis superseding v1.0.</w:t>
      </w:r>
    </w:p>
    <w:p>
      <w:pPr>
        <w:pStyle w:val="Compact"/>
        <w:numPr>
          <w:ilvl w:val="0"/>
          <w:numId w:val="1005"/>
        </w:numPr>
      </w:pPr>
      <w:r>
        <w:rPr>
          <w:b/>
          <w:bCs/>
        </w:rPr>
        <w:t xml:space="preserve">Classroom architecture and managed AI:</w:t>
      </w:r>
      <w:r>
        <w:t xml:space="preserve"> </w:t>
      </w:r>
      <w:r>
        <w:t xml:space="preserve">the Engineering Lead is responsible for the host and client contexts (Kestrel listener, discovery, trust store, sync) and the AI Engineer for the school AI proxy, entitlements, and quotas. The deploying school is informed of the architecture through the deployment pack; it does not shape the codebase.</w:t>
      </w:r>
    </w:p>
    <w:p>
      <w:pPr>
        <w:pStyle w:val="Compact"/>
        <w:numPr>
          <w:ilvl w:val="0"/>
          <w:numId w:val="1005"/>
        </w:numPr>
      </w:pPr>
      <w:r>
        <w:rPr>
          <w:b/>
          <w:bCs/>
        </w:rPr>
        <w:t xml:space="preserve">DPIA and minors' data compliance:</w:t>
      </w:r>
      <w:r>
        <w:t xml:space="preserve"> </w:t>
      </w:r>
      <w:r>
        <w:t xml:space="preserve">the AI Engineer produces each screening; the deploying school is consulted because it is the data controller and must accept its deployment DPIA (approval matrix). The Product Owner remains accountable for shipping only screened features.</w:t>
      </w:r>
    </w:p>
    <w:p>
      <w:pPr>
        <w:pStyle w:val="Compact"/>
        <w:numPr>
          <w:ilvl w:val="0"/>
          <w:numId w:val="1005"/>
        </w:numPr>
      </w:pPr>
      <w:r>
        <w:rPr>
          <w:b/>
          <w:bCs/>
        </w:rPr>
        <w:t xml:space="preserve">Extension SDK and open-source readiness:</w:t>
      </w:r>
      <w:r>
        <w:t xml:space="preserve"> </w:t>
      </w:r>
      <w:r>
        <w:t xml:space="preserve">the Engineering Lead is responsible for interface stability and the read-API contract; QA is consulted on contract tests per plugin interface; the community is informed through repository releases.</w:t>
      </w:r>
    </w:p>
    <w:p>
      <w:pPr>
        <w:pStyle w:val="Compact"/>
        <w:numPr>
          <w:ilvl w:val="0"/>
          <w:numId w:val="1005"/>
        </w:numPr>
      </w:pPr>
      <w:r>
        <w:rPr>
          <w:b/>
          <w:bCs/>
        </w:rPr>
        <w:t xml:space="preserve">Launch:</w:t>
      </w:r>
      <w:r>
        <w:t xml:space="preserve"> </w:t>
      </w:r>
      <w:r>
        <w:t xml:space="preserve">no launch artefact is generated until the hybrid gate passes; store reviewers exercise their channel veto at Phase 22 rather than holding a RACI role inside the engagement.</w:t>
      </w:r>
    </w:p>
    <w:bookmarkEnd w:id="27"/>
    <w:bookmarkEnd w:id="28"/>
    <w:bookmarkEnd w:id="29"/>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Analysis</dc:title>
  <dc:creator/>
  <cp:keywords/>
  <dcterms:created xsi:type="dcterms:W3CDTF">2026-07-06T19:43:04Z</dcterms:created>
  <dcterms:modified xsi:type="dcterms:W3CDTF">2026-07-06T19:43:04Z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2026-07-06</vt:lpwstr>
  </property>
  <property fmtid="{D5CDD505-2E9C-101B-9397-08002B2CF9AE}" pid="3" name="version">
    <vt:lpwstr>2.0</vt:lpwstr>
  </property>
</Properties>
</file>